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2018-07-16 iki 2018-08-31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830b4f33b0b845b18a0c2baf11769f43"/>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eca51e6157b14f45b2486ceef3a5c5c6"/>
                        <w:lock w:val="sdtLocked"/>
                        <w:richText/>
                      </w:sdtPr>
                      <w:sdtContent>
                        <w:p>
                          <w:pPr>
                            <w:spacing w:line="360" w:lineRule="auto"/>
                            <w:ind w:firstLine="720"/>
                            <w:jc w:val="both"/>
                            <w:rPr>
                              <w:rFonts w:eastAsia="Helvetica Neue"/>
                              <w:szCs w:val="24"/>
                              <w:lang w:eastAsia="lt-LT"/>
                            </w:rPr>
                          </w:pPr>
                          <w:sdt>
                            <w:sdtPr>
                              <w:alias w:val="Numeris"/>
                              <w:tag w:val="nr_eca51e6157b14f45b2486ceef3a5c5c6"/>
                              <w:lock w:val="sdtLocked"/>
                              <w:richText/>
                            </w:sdtPr>
                            <w:sdtContent>
                              <w:r>
                                <w:rPr>
                                  <w:szCs w:val="24"/>
                                </w:rPr>
                                <w:t>3</w:t>
                              </w:r>
                            </w:sdtContent>
                          </w:sdt>
                          <w:r>
                            <w:rPr>
                              <w:szCs w:val="24"/>
                            </w:rPr>
                            <w:t>. Pranešimas valstybės ar savivaldybės institucijai ar įstaigai apie darbdavio daromus darbo ar kitų teisės normų pažeidimus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85be3219d2bd4493b56ef88f4f23d5fe"/>
                        <w:lock w:val="sdtLocked"/>
                        <w:richText/>
                      </w:sdtPr>
                      <w:sdtContent>
                        <w:p>
                          <w:pPr>
                            <w:spacing w:line="360" w:lineRule="auto"/>
                            <w:ind w:firstLine="720"/>
                            <w:jc w:val="both"/>
                            <w:rPr>
                              <w:rFonts w:eastAsia="Helvetica Neue"/>
                              <w:bCs/>
                              <w:szCs w:val="24"/>
                              <w:lang w:eastAsia="lt-LT"/>
                            </w:rPr>
                          </w:pPr>
                          <w:sdt>
                            <w:sdtPr>
                              <w:alias w:val="Numeris"/>
                              <w:tag w:val="nr_85be3219d2bd4493b56ef88f4f23d5fe"/>
                              <w:lock w:val="sdtLocked"/>
                              <w:richText/>
                            </w:sdtPr>
                            <w:sdtContent>
                              <w:r>
                                <w:rPr>
                                  <w:rFonts w:eastAsia="Helvetica Neue"/>
                                  <w:bCs/>
                                  <w:szCs w:val="24"/>
                                  <w:lang w:eastAsia="lt-LT"/>
                                </w:rPr>
                                <w:t>2</w:t>
                              </w:r>
                            </w:sdtContent>
                          </w:sdt>
                          <w:r>
                            <w:rPr>
                              <w:rFonts w:eastAsia="Helvetica Neue"/>
                              <w:bCs/>
                              <w:szCs w:val="24"/>
                              <w:lang w:eastAsia="lt-LT"/>
                            </w:rPr>
                            <w:t xml:space="preserve">. Darbo sutartis šio straipsnio pagrindu negali būti nutraukta dėl dalyvavimo </w:t>
                          </w:r>
                          <w:r>
                            <w:rPr>
                              <w:szCs w:val="24"/>
                              <w:lang w:eastAsia="lt-LT"/>
                            </w:rPr>
                            <w:t>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p>
                        <w:p>
                          <w:pPr>
                            <w:spacing w:line="360" w:lineRule="auto"/>
                            <w:ind w:firstLine="720"/>
                            <w:jc w:val="both"/>
                            <w:rPr>
                              <w:rFonts w:eastAsia="Helvetica Neue"/>
                              <w:b/>
                              <w:bCs/>
                              <w:szCs w:val="24"/>
                              <w:lang w:eastAsia="lt-LT"/>
                            </w:rPr>
                          </w:pPr>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12c8d5d4c3b843fea3914a2f17e1c5d6"/>
                        <w:lock w:val="sdtLocked"/>
                        <w:richText/>
                      </w:sdtPr>
                      <w:sdtContent>
                        <w:p>
                          <w:pPr>
                            <w:spacing w:line="360" w:lineRule="auto"/>
                            <w:ind w:firstLine="720"/>
                            <w:jc w:val="both"/>
                            <w:rPr>
                              <w:szCs w:val="24"/>
                              <w:lang w:eastAsia="lt-LT"/>
                            </w:rPr>
                          </w:pPr>
                          <w:sdt>
                            <w:sdtPr>
                              <w:alias w:val="Numeris"/>
                              <w:tag w:val="nr_12c8d5d4c3b843fea3914a2f17e1c5d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Apie numatomą grupės darbuotojų atleidimą darbdavys privalo raštu pranešti teritorinei darbo biržai Lietuvos Respublikos socialinės apsaugos ir darbo ministro nustatyta tvarka, pasibaigus konsultacijoms su darbo taryba</w:t>
                          </w:r>
                          <w:r>
                            <w:rPr>
                              <w:szCs w:val="24"/>
                            </w:rPr>
                            <w:t xml:space="preserve"> ar darbdavio lygmeniu veikiančia profesine sąjunga</w:t>
                          </w:r>
                          <w:r>
                            <w:rPr>
                              <w:szCs w:val="24"/>
                              <w:lang w:eastAsia="lt-LT"/>
                            </w:rPr>
                            <w:t>, ir ne vėliau kaip prieš trisdešimt dienų iki darbo santykių pasibaigimo, bet ne vėliau kaip įspėdamas grupės darbuotojus apie jų atleidimą.</w:t>
                          </w:r>
                          <w:r>
                            <w:rPr>
                              <w:szCs w:val="24"/>
                            </w:rPr>
                            <w:t xml:space="preserve"> </w:t>
                          </w:r>
                          <w:r>
                            <w:rPr>
                              <w:szCs w:val="24"/>
                              <w:lang w:eastAsia="lt-LT"/>
                            </w:rPr>
                            <w:t xml:space="preserve">Darbdavys tokio pranešimo kopiją pateikia darbo tarybai ar </w:t>
                          </w:r>
                          <w:r>
                            <w:rPr>
                              <w:szCs w:val="24"/>
                            </w:rPr>
                            <w:t>darbdavio lygmeniu veikiančiai profesinei sąjungai</w:t>
                          </w:r>
                          <w:r>
                            <w:rPr>
                              <w:szCs w:val="24"/>
                              <w:lang w:eastAsia="lt-LT"/>
                            </w:rPr>
                            <w:t>, kuri gali pateikti teritorinei darbo biržai savo pastabas ir pasiūlymus.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5 d."/>
                        <w:tag w:val="part_f2b233b9b8f1477187992e4b032fe03d"/>
                        <w:lock w:val="sdtLocked"/>
                        <w:richText/>
                      </w:sdtPr>
                      <w:sdtContent>
                        <w:p>
                          <w:pPr>
                            <w:spacing w:line="360" w:lineRule="auto"/>
                            <w:ind w:firstLine="720"/>
                            <w:jc w:val="both"/>
                            <w:rPr>
                              <w:rFonts w:eastAsia="Helvetica Neue"/>
                              <w:szCs w:val="24"/>
                              <w:lang w:eastAsia="lt-LT"/>
                            </w:rPr>
                          </w:pPr>
                          <w:sdt>
                            <w:sdtPr>
                              <w:alias w:val="Numeris"/>
                              <w:tag w:val="nr_f2b233b9b8f1477187992e4b032fe03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Darbo sutartis negali būti nutraukta pažeidus pareigą pranešti teritorinei darbo biržai apie numatomą grupės darbuotojų atleidimą ar pareigą konsultuotis su darbo taryba </w:t>
                          </w:r>
                          <w:r>
                            <w:rPr>
                              <w:szCs w:val="24"/>
                            </w:rPr>
                            <w:t>ar su darbdavio lygmeniu veikiančia profesine sąjunga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d93546a737f84bc38046372f42b4db31"/>
                        <w:lock w:val="sdtLocked"/>
                        <w:richText/>
                      </w:sdtPr>
                      <w:sdtContent>
                        <w:p>
                          <w:pPr>
                            <w:spacing w:line="360" w:lineRule="auto"/>
                            <w:ind w:firstLine="720"/>
                            <w:jc w:val="both"/>
                            <w:rPr>
                              <w:rFonts w:eastAsia="Helvetica Neue"/>
                              <w:szCs w:val="24"/>
                              <w:lang w:eastAsia="lt-LT"/>
                            </w:rPr>
                          </w:pPr>
                          <w:sdt>
                            <w:sdtPr>
                              <w:alias w:val="Numeris"/>
                              <w:tag w:val="nr_d93546a737f84bc38046372f42b4db31"/>
                              <w:lock w:val="sdtLocked"/>
                              <w:richText/>
                            </w:sdtPr>
                            <w:sdtContent>
                              <w:r>
                                <w:rPr>
                                  <w:szCs w:val="24"/>
                                  <w:lang w:eastAsia="lt-LT"/>
                                </w:rPr>
                                <w:t>4</w:t>
                              </w:r>
                            </w:sdtContent>
                          </w:sdt>
                          <w:r>
                            <w:rPr>
                              <w:szCs w:val="24"/>
                              <w:lang w:eastAsia="lt-LT"/>
                            </w:rPr>
                            <w:t>. Išskaitų iš darbo užmokesčio, neviršijančio Lietuvos Respublikos Vyriausybės patvirtintos minimaliosios mėnesinės algos, dydis negali viršyti dvidešimt procentų išmokėtino darbo užmokesčio, o išieškant išlaikymą periodinėmis išmokomis žalos, padarytos suluošinimu ar kitokiu sveikatos sužalojimu, taip pat maitintojo gyvybės atėmimu, atlyginimą ir žalos, padarytos nusikalstama veika, atlyginimą, – iki penkiasdešimt procentų darbuotojui išmokėtino darbo užmokesčio.</w:t>
                          </w:r>
                        </w:p>
                      </w:sdtContent>
                    </w:sdt>
                    <w:sdt>
                      <w:sdtPr>
                        <w:alias w:val="150 str. 5 d."/>
                        <w:tag w:val="part_197bd850c58540fcae064063145a75a9"/>
                        <w:lock w:val="sdtLocked"/>
                        <w:richText/>
                      </w:sdtPr>
                      <w:sdtContent>
                        <w:p>
                          <w:pPr>
                            <w:spacing w:line="360" w:lineRule="auto"/>
                            <w:ind w:firstLine="720"/>
                            <w:jc w:val="both"/>
                            <w:rPr>
                              <w:rFonts w:eastAsia="Helvetica Neue"/>
                              <w:szCs w:val="24"/>
                              <w:lang w:eastAsia="lt-LT"/>
                            </w:rPr>
                          </w:pPr>
                          <w:sdt>
                            <w:sdtPr>
                              <w:alias w:val="Numeris"/>
                              <w:tag w:val="nr_197bd850c58540fcae064063145a75a9"/>
                              <w:lock w:val="sdtLocked"/>
                              <w:richText/>
                            </w:sdtPr>
                            <w:sdtContent>
                              <w:r>
                                <w:rPr>
                                  <w:rFonts w:eastAsia="Calibri"/>
                                  <w:szCs w:val="24"/>
                                  <w:lang w:eastAsia="lt-LT"/>
                                </w:rPr>
                                <w:t>5</w:t>
                              </w:r>
                            </w:sdtContent>
                          </w:sdt>
                          <w:r>
                            <w:rPr>
                              <w:rFonts w:eastAsia="Calibri"/>
                              <w:szCs w:val="24"/>
                              <w:lang w:eastAsia="lt-LT"/>
                            </w:rPr>
                            <w:t>. Darant išskaitas iš darbo užmokesčio, neviršijančio Lietuvos Respublikos Vyriausybės patvirtintos minimaliosios mėnesinės algos, pagal kelis vykdomuosius dokumentus, darbuotojui turi būti paliekama penkiasdešimt procentų išmokėtino darbo užmokesčio.</w:t>
                          </w:r>
                        </w:p>
                      </w:sdtContent>
                    </w:sdt>
                    <w:sdt>
                      <w:sdtPr>
                        <w:alias w:val="150 str. 6 d."/>
                        <w:tag w:val="part_8ac1a601f9774dbaa6e06b6a676ee643"/>
                        <w:lock w:val="sdtLocked"/>
                        <w:richText/>
                      </w:sdtPr>
                      <w:sdtContent>
                        <w:p>
                          <w:pPr>
                            <w:spacing w:line="360" w:lineRule="auto"/>
                            <w:ind w:firstLine="720"/>
                            <w:jc w:val="both"/>
                            <w:rPr>
                              <w:szCs w:val="24"/>
                              <w:lang w:eastAsia="lt-LT"/>
                            </w:rPr>
                          </w:pPr>
                          <w:sdt>
                            <w:sdtPr>
                              <w:alias w:val="Numeris"/>
                              <w:tag w:val="nr_8ac1a601f9774dbaa6e06b6a676ee643"/>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Iš darbo užmokesčio dalies, viršijančios Lietuvos Respublikos Vyriausybės patvirtintos minimaliosios mėnesinės algos dydį, išskaitoma septyniasdešimt procentų išmokėtino darbo užmokesčio, jeigu darbo ginčą nagrinėjęs organas nenustato mažesnio išskaitų dydžio.</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dc5c0eaa49294aa6bef7794f0cc154bf"/>
                            <w:lock w:val="sdtLocked"/>
                            <w:richText/>
                          </w:sdtPr>
                          <w:sdtContent>
                            <w:p>
                              <w:pPr>
                                <w:spacing w:line="360" w:lineRule="auto"/>
                                <w:ind w:firstLine="720"/>
                                <w:jc w:val="both"/>
                                <w:rPr>
                                  <w:rFonts w:eastAsia="Helvetica Neue"/>
                                  <w:szCs w:val="24"/>
                                  <w:u w:color="222222"/>
                                  <w:lang w:eastAsia="lt-LT"/>
                                </w:rPr>
                              </w:pPr>
                              <w:sdt>
                                <w:sdtPr>
                                  <w:alias w:val="Numeris"/>
                                  <w:tag w:val="nr_dc5c0eaa49294aa6bef7794f0cc154bf"/>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w:t>
                              </w:r>
                              <w:r>
                                <w:t xml:space="preserve">sąjungai įsteigti būtina, kad ji turėtų dvidešimt steigėjų arba steigėjais </w:t>
                              </w:r>
                              <w:r>
                                <w:rPr>
                                  <w:szCs w:val="24"/>
                                </w:rPr>
                                <w:t>būtų ne mažiau kaip 1/10 visų darbdavio darbuotojų, bet ne mažiau kaip trys.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94029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830b4f33b0b845b18a0c2baf11769f43">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eca51e6157b14f45b2486ceef3a5c5c6"/>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85be3219d2bd4493b56ef88f4f23d5fe"/>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12c8d5d4c3b843fea3914a2f17e1c5d6"/>
          <Part Type="strDalis" Nr="5" Abbr="63 str. 5 d." DocPartId="b480db2effd0456db2976a1bcdeeab30" PartId="f2b233b9b8f1477187992e4b032fe03d"/>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d93546a737f84bc38046372f42b4db31"/>
          <Part Type="strDalis" Nr="5" Abbr="150 str. 5 d." DocPartId="b44e3ddb25274ca69c796c560b0e1414" PartId="197bd850c58540fcae064063145a75a9"/>
          <Part Type="strDalis" Nr="6" Abbr="150 str. 6 d." DocPartId="6bf0e1d6d5c144dca3952c83ebb53f54" PartId="8ac1a601f9774dbaa6e06b6a676ee643"/>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dc5c0eaa49294aa6bef7794f0cc154bf"/>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1121D6B8-1B41-4E74-BA93-AB04956D91AB}">
  <ds:schemaRefs>
    <ds:schemaRef ds:uri="http://lrs.lt/TAIS/DocParts"/>
  </ds:schemaRefs>
</ds:datastoreItem>
</file>

<file path=docProps/app.xml><?xml version="1.0" encoding="utf-8"?>
<Properties xmlns="http://schemas.openxmlformats.org/officeDocument/2006/extended-properties">
  <Template>Normal.dotm</Template>
  <TotalTime>33</TotalTime>
  <Pages>144</Pages>
  <Words>223752</Words>
  <Characters>127539</Characters>
  <Application>Microsoft Office Word</Application>
  <DocSecurity>0</DocSecurity>
  <Lines>1062</Lines>
  <Paragraphs>701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350590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2018-07-12T10:59:00Z</dcterms:modified>
  <revision>21</revision>
</coreProperties>
</file>