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2022-01-01 iki 2022-02-01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9a07d318aa4b469e93b5f506058b66c9"/>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dcae9f186bab4e25ade5540cdbf209b5"/>
                        <w:lock w:val="sdtLocked"/>
                        <w:richText/>
                      </w:sdtPr>
                      <w:sdtContent>
                        <w:p>
                          <w:pPr>
                            <w:spacing w:line="360" w:lineRule="auto"/>
                            <w:ind w:firstLine="720"/>
                            <w:jc w:val="both"/>
                            <w:rPr>
                              <w:szCs w:val="24"/>
                              <w:lang w:eastAsia="lt-LT"/>
                            </w:rPr>
                          </w:pPr>
                          <w:sdt>
                            <w:sdtPr>
                              <w:alias w:val="Numeris"/>
                              <w:tag w:val="nr_dcae9f186bab4e25ade5540cdbf209b5"/>
                              <w:lock w:val="sdtLocked"/>
                              <w:richText/>
                            </w:sdtPr>
                            <w:sdtContent>
                              <w:r>
                                <w:t>3</w:t>
                              </w:r>
                            </w:sdtContent>
                          </w:sdt>
                          <w: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w:t>
                          </w:r>
                          <w:r>
                            <w:rPr>
                              <w:szCs w:val="24"/>
                            </w:rPr>
                            <w:t xml:space="preserve">, </w:t>
                          </w:r>
                          <w:r>
                            <w:rPr>
                              <w:bCs/>
                              <w:color w:val="000000"/>
                              <w:szCs w:val="24"/>
                            </w:rPr>
                            <w:t>išskyrus jūrininkus, kuriems taikoma Lietuvos Respublikos prekybinės laivybos įstatymo nustatyta darbo užmokesčio mokėjimo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c1e13c45dcb746f7afbf41af55861c93"/>
        <w:lock w:val="sdtLocked"/>
        <w:richText/>
      </w:sdtPr>
      <w:sdtContent>
        <w:p>
          <w:pPr>
            <w:ind w:firstLine="6237"/>
            <w:jc w:val="both"/>
            <w:sectPr>
              <w:pgSz w:w="11907" w:h="16840" w:code="9"/>
              <w:pgMar w:top="1134" w:right="851" w:bottom="1134" w:left="1701" w:header="706" w:footer="706" w:gutter="0"/>
              <w:pgNumType w:start="1"/>
              <w:cols w:space="1296"/>
              <w:titlePg/>
              <w:docGrid w:linePitch="326"/>
            </w:sectPr>
          </w:pPr>
        </w:p>
        <w:p>
          <w:pPr>
            <w:ind w:firstLine="6237"/>
            <w:jc w:val="both"/>
            <w:rPr>
              <w:szCs w:val="24"/>
              <w:lang w:eastAsia="lt-LT"/>
            </w:rPr>
          </w:pPr>
          <w:r>
            <w:rPr>
              <w:szCs w:val="24"/>
              <w:lang w:eastAsia="lt-LT"/>
            </w:rPr>
            <w:t>Lietuvos Respublikos</w:t>
          </w:r>
        </w:p>
        <w:p>
          <w:pPr>
            <w:ind w:firstLine="6237"/>
            <w:jc w:val="both"/>
            <w:rPr>
              <w:szCs w:val="24"/>
              <w:lang w:eastAsia="lt-LT"/>
            </w:rPr>
          </w:pPr>
          <w:r>
            <w:rPr>
              <w:szCs w:val="24"/>
              <w:lang w:eastAsia="lt-LT"/>
            </w:rPr>
            <w:t xml:space="preserve">darbo kodekso </w:t>
          </w:r>
        </w:p>
        <w:p>
          <w:pPr>
            <w:ind w:firstLine="6237"/>
            <w:jc w:val="both"/>
            <w:rPr>
              <w:szCs w:val="24"/>
              <w:lang w:eastAsia="lt-LT"/>
            </w:rPr>
          </w:pPr>
          <w:r>
            <w:rPr>
              <w:szCs w:val="24"/>
              <w:lang w:eastAsia="lt-LT"/>
            </w:rPr>
            <w:t>priedas</w:t>
          </w:r>
        </w:p>
        <w:p>
          <w:pPr>
            <w:spacing w:line="360" w:lineRule="auto"/>
            <w:rPr>
              <w:b/>
              <w:bCs/>
              <w:szCs w:val="24"/>
              <w:lang w:eastAsia="lt-LT"/>
            </w:rPr>
          </w:pPr>
        </w:p>
        <w:p>
          <w:pPr>
            <w:spacing w:line="360" w:lineRule="auto"/>
            <w:jc w:val="center"/>
            <w:rPr>
              <w:b/>
              <w:szCs w:val="24"/>
              <w:lang w:eastAsia="lt-LT"/>
            </w:rPr>
          </w:pPr>
          <w:sdt>
            <w:sdtPr>
              <w:alias w:val="Pavadinimas"/>
              <w:tag w:val="title_c1e13c45dcb746f7afbf41af55861c93"/>
              <w:lock w:val="sdtLocked"/>
              <w:richText/>
            </w:sdtPr>
            <w:sdtContent>
              <w:r>
                <w:rPr>
                  <w:b/>
                  <w:bCs/>
                  <w:szCs w:val="24"/>
                  <w:lang w:eastAsia="lt-LT"/>
                </w:rPr>
                <w:t>ĮGYVENDINAMI EUROPOS SĄJUNGOS TEISĖS AKTAI</w:t>
              </w:r>
            </w:sdtContent>
          </w:sdt>
        </w:p>
        <w:p>
          <w:pPr>
            <w:spacing w:line="360" w:lineRule="auto"/>
            <w:jc w:val="both"/>
            <w:rPr>
              <w:szCs w:val="24"/>
              <w:lang w:eastAsia="lt-LT"/>
            </w:rPr>
          </w:pPr>
        </w:p>
        <w:sdt>
          <w:sdtPr>
            <w:alias w:val="pr. 1 p."/>
            <w:tag w:val="part_8bbc229daa2f4970bc7ea20e1c5c8650"/>
            <w:lock w:val="sdtLocked"/>
            <w:richText/>
          </w:sdtPr>
          <w:sdtContent>
            <w:p>
              <w:pPr>
                <w:spacing w:line="360" w:lineRule="auto"/>
                <w:ind w:firstLine="720"/>
                <w:jc w:val="both"/>
                <w:rPr>
                  <w:szCs w:val="24"/>
                  <w:lang w:eastAsia="lt-LT"/>
                </w:rPr>
              </w:pPr>
              <w:sdt>
                <w:sdtPr>
                  <w:alias w:val="Numeris"/>
                  <w:tag w:val="nr_8bbc229daa2f4970bc7ea20e1c5c865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9578f2d7406944438def71a2a635c8ea"/>
            <w:lock w:val="sdtLocked"/>
            <w:richText/>
          </w:sdtPr>
          <w:sdtContent>
            <w:p>
              <w:pPr>
                <w:spacing w:line="360" w:lineRule="auto"/>
                <w:ind w:firstLine="720"/>
                <w:jc w:val="both"/>
                <w:rPr>
                  <w:szCs w:val="24"/>
                  <w:lang w:eastAsia="lt-LT"/>
                </w:rPr>
              </w:pPr>
              <w:sdt>
                <w:sdtPr>
                  <w:alias w:val="Numeris"/>
                  <w:tag w:val="nr_9578f2d7406944438def71a2a635c8ea"/>
                  <w:lock w:val="sdtLocked"/>
                  <w:richText/>
                </w:sdtPr>
                <w:sdtContent>
                  <w:r>
                    <w:rPr>
                      <w:szCs w:val="24"/>
                      <w:lang w:eastAsia="lt-LT"/>
                    </w:rPr>
                    <w:t>2</w:t>
                  </w:r>
                </w:sdtContent>
              </w:sdt>
              <w:r>
                <w:rPr>
                  <w:szCs w:val="24"/>
                  <w:lang w:eastAsia="lt-LT"/>
                </w:rPr>
                <w:t>. 1991 m. spalio 14 d. Tarybos direktyva 91/533/EEB dėl darbdavio pareigos informuoti darbuotojus apie galiojančias sutarties arba darbo santykių sąlygas.</w:t>
              </w:r>
            </w:p>
          </w:sdtContent>
        </w:sdt>
        <w:sdt>
          <w:sdtPr>
            <w:alias w:val="pr. 3 p."/>
            <w:tag w:val="part_0dee84cd5e814eb79da3c8b6c13c55ed"/>
            <w:lock w:val="sdtLocked"/>
            <w:richText/>
          </w:sdtPr>
          <w:sdtContent>
            <w:p>
              <w:pPr>
                <w:spacing w:line="360" w:lineRule="auto"/>
                <w:ind w:firstLine="720"/>
                <w:jc w:val="both"/>
                <w:rPr>
                  <w:szCs w:val="24"/>
                  <w:lang w:eastAsia="lt-LT"/>
                </w:rPr>
              </w:pPr>
              <w:sdt>
                <w:sdtPr>
                  <w:alias w:val="Numeris"/>
                  <w:tag w:val="nr_0dee84cd5e814eb79da3c8b6c13c55ed"/>
                  <w:lock w:val="sdtLocked"/>
                  <w:richText/>
                </w:sdtPr>
                <w:sdtContent>
                  <w:r>
                    <w:rPr>
                      <w:szCs w:val="24"/>
                      <w:lang w:eastAsia="lt-LT"/>
                    </w:rPr>
                    <w:t>3</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4 p."/>
            <w:tag w:val="part_a78518a5e9e84d51b91889fde80e0295"/>
            <w:lock w:val="sdtLocked"/>
            <w:richText/>
          </w:sdtPr>
          <w:sdtContent>
            <w:p>
              <w:pPr>
                <w:spacing w:line="360" w:lineRule="auto"/>
                <w:ind w:firstLine="720"/>
                <w:jc w:val="both"/>
                <w:rPr>
                  <w:szCs w:val="24"/>
                  <w:lang w:eastAsia="lt-LT"/>
                </w:rPr>
              </w:pPr>
              <w:sdt>
                <w:sdtPr>
                  <w:alias w:val="Numeris"/>
                  <w:tag w:val="nr_a78518a5e9e84d51b91889fde80e0295"/>
                  <w:lock w:val="sdtLocked"/>
                  <w:richText/>
                </w:sdtPr>
                <w:sdtContent>
                  <w:r>
                    <w:rPr>
                      <w:szCs w:val="24"/>
                      <w:lang w:eastAsia="lt-LT"/>
                    </w:rPr>
                    <w:t>4</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5 p."/>
            <w:tag w:val="part_5b1b0144b5a641de9e5db2ff7ada17b3"/>
            <w:lock w:val="sdtLocked"/>
            <w:richText/>
          </w:sdtPr>
          <w:sdtContent>
            <w:p>
              <w:pPr>
                <w:spacing w:line="360" w:lineRule="auto"/>
                <w:ind w:firstLine="720"/>
                <w:jc w:val="both"/>
                <w:rPr>
                  <w:szCs w:val="24"/>
                  <w:lang w:eastAsia="lt-LT"/>
                </w:rPr>
              </w:pPr>
              <w:sdt>
                <w:sdtPr>
                  <w:alias w:val="Numeris"/>
                  <w:tag w:val="nr_5b1b0144b5a641de9e5db2ff7ada17b3"/>
                  <w:lock w:val="sdtLocked"/>
                  <w:richText/>
                </w:sdtPr>
                <w:sdtContent>
                  <w:r>
                    <w:rPr>
                      <w:szCs w:val="24"/>
                      <w:lang w:eastAsia="lt-LT"/>
                    </w:rPr>
                    <w:t>5</w:t>
                  </w:r>
                </w:sdtContent>
              </w:sdt>
              <w:r>
                <w:rPr>
                  <w:szCs w:val="24"/>
                  <w:lang w:eastAsia="lt-LT"/>
                </w:rPr>
                <w:t>. 1998 m. liepos 20 d. Tarybos direktyva 98/59/EB dėl valstybių narių įstatymų, susijusių su kolektyviniu atleidimu iš darbo, suderinimo</w:t>
              </w:r>
              <w:r>
                <w:rPr>
                  <w:szCs w:val="24"/>
                </w:rPr>
                <w:t xml:space="preserve"> </w:t>
              </w:r>
              <w:r>
                <w:rPr>
                  <w:szCs w:val="24"/>
                  <w:lang w:eastAsia="lt-LT"/>
                </w:rPr>
                <w:t>su paskutiniais pakeitimais, padarytais 2015 m. spalio 6 d. Europos Parlamento ir Tarybos direktyva (ES) 2015/1794.</w:t>
              </w:r>
            </w:p>
          </w:sdtContent>
        </w:sdt>
        <w:sdt>
          <w:sdtPr>
            <w:alias w:val="pr. 6 p."/>
            <w:tag w:val="part_156b6a9d3f3244dca67686677a29ee82"/>
            <w:lock w:val="sdtLocked"/>
            <w:richText/>
          </w:sdtPr>
          <w:sdtContent>
            <w:p>
              <w:pPr>
                <w:spacing w:line="360" w:lineRule="auto"/>
                <w:ind w:firstLine="720"/>
                <w:jc w:val="both"/>
                <w:rPr>
                  <w:szCs w:val="24"/>
                  <w:lang w:eastAsia="lt-LT"/>
                </w:rPr>
              </w:pPr>
              <w:sdt>
                <w:sdtPr>
                  <w:alias w:val="Numeris"/>
                  <w:tag w:val="nr_156b6a9d3f3244dca67686677a29ee82"/>
                  <w:lock w:val="sdtLocked"/>
                  <w:richText/>
                </w:sdtPr>
                <w:sdtContent>
                  <w:r>
                    <w:rPr>
                      <w:szCs w:val="24"/>
                      <w:lang w:eastAsia="lt-LT"/>
                    </w:rPr>
                    <w:t>6</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7 p."/>
            <w:tag w:val="part_b6327b159e884f1f913a8b7b7b0fdfdc"/>
            <w:lock w:val="sdtLocked"/>
            <w:richText/>
          </w:sdtPr>
          <w:sdtContent>
            <w:p>
              <w:pPr>
                <w:spacing w:line="360" w:lineRule="auto"/>
                <w:ind w:firstLine="720"/>
                <w:jc w:val="both"/>
                <w:rPr>
                  <w:szCs w:val="24"/>
                  <w:lang w:eastAsia="lt-LT"/>
                </w:rPr>
              </w:pPr>
              <w:sdt>
                <w:sdtPr>
                  <w:alias w:val="Numeris"/>
                  <w:tag w:val="nr_b6327b159e884f1f913a8b7b7b0fdfdc"/>
                  <w:lock w:val="sdtLocked"/>
                  <w:richText/>
                </w:sdtPr>
                <w:sdtContent>
                  <w:r>
                    <w:rPr>
                      <w:szCs w:val="24"/>
                      <w:lang w:eastAsia="lt-LT"/>
                    </w:rPr>
                    <w:t>7</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8 p."/>
            <w:tag w:val="part_32b44119b34a4e90a48a036dc9d6ff21"/>
            <w:lock w:val="sdtLocked"/>
            <w:richText/>
          </w:sdtPr>
          <w:sdtContent>
            <w:p>
              <w:pPr>
                <w:spacing w:line="360" w:lineRule="auto"/>
                <w:ind w:firstLine="720"/>
                <w:jc w:val="both"/>
                <w:rPr>
                  <w:szCs w:val="24"/>
                  <w:lang w:eastAsia="lt-LT"/>
                </w:rPr>
              </w:pPr>
              <w:sdt>
                <w:sdtPr>
                  <w:alias w:val="Numeris"/>
                  <w:tag w:val="nr_32b44119b34a4e90a48a036dc9d6ff21"/>
                  <w:lock w:val="sdtLocked"/>
                  <w:richText/>
                </w:sdtPr>
                <w:sdtContent>
                  <w:r>
                    <w:rPr>
                      <w:szCs w:val="24"/>
                      <w:lang w:eastAsia="lt-LT"/>
                    </w:rPr>
                    <w:t>8</w:t>
                  </w:r>
                </w:sdtContent>
              </w:sdt>
              <w:r>
                <w:rPr>
                  <w:szCs w:val="24"/>
                  <w:lang w:eastAsia="lt-LT"/>
                </w:rPr>
                <w:t>. 2000 m. lapkričio 27 d. Tarybos direktyva 2000/78/EB, nustatanti vienodo požiūrio užimtumo ir profesinėje srityje bendruosius pagrindus.</w:t>
              </w:r>
            </w:p>
          </w:sdtContent>
        </w:sdt>
        <w:sdt>
          <w:sdtPr>
            <w:alias w:val="pr. 9 p."/>
            <w:tag w:val="part_3ee7f9e2b91b41d6878260456c62f5af"/>
            <w:lock w:val="sdtLocked"/>
            <w:richText/>
          </w:sdtPr>
          <w:sdtContent>
            <w:p>
              <w:pPr>
                <w:spacing w:line="360" w:lineRule="auto"/>
                <w:ind w:firstLine="720"/>
                <w:jc w:val="both"/>
                <w:rPr>
                  <w:szCs w:val="24"/>
                  <w:lang w:eastAsia="lt-LT"/>
                </w:rPr>
              </w:pPr>
              <w:sdt>
                <w:sdtPr>
                  <w:alias w:val="Numeris"/>
                  <w:tag w:val="nr_3ee7f9e2b91b41d6878260456c62f5af"/>
                  <w:lock w:val="sdtLocked"/>
                  <w:richText/>
                </w:sdtPr>
                <w:sdtContent>
                  <w:r>
                    <w:rPr>
                      <w:szCs w:val="24"/>
                      <w:lang w:eastAsia="lt-LT"/>
                    </w:rPr>
                    <w:t>9</w:t>
                  </w:r>
                </w:sdtContent>
              </w:sdt>
              <w:r>
                <w:rPr>
                  <w:szCs w:val="24"/>
                  <w:lang w:eastAsia="lt-LT"/>
                </w:rPr>
                <w:t>. 2001 m. kovo 12 d. Tarybos direktyva 2001/23/EB dėl valstybių narių įstatymų, skirtų darbuotojų teisių apsaugai įmonių, verslo arba įmonių ar verslo dalių perdavimo atveju, suderinimo</w:t>
              </w:r>
              <w:r>
                <w:rPr>
                  <w:szCs w:val="24"/>
                </w:rPr>
                <w:t xml:space="preserve"> </w:t>
              </w:r>
              <w:r>
                <w:rPr>
                  <w:szCs w:val="24"/>
                  <w:lang w:eastAsia="lt-LT"/>
                </w:rPr>
                <w:t>su paskutiniais pakeitimais, padarytais 2015 m. spalio 6 d. Europos Parlamento ir Tarybos direktyva (ES) 2015/1794.</w:t>
              </w:r>
            </w:p>
          </w:sdtContent>
        </w:sdt>
        <w:sdt>
          <w:sdtPr>
            <w:alias w:val="pr. 10 p."/>
            <w:tag w:val="part_d434dc5688f14422b1694c62ec80337f"/>
            <w:lock w:val="sdtLocked"/>
            <w:richText/>
          </w:sdtPr>
          <w:sdtContent>
            <w:p>
              <w:pPr>
                <w:spacing w:line="360" w:lineRule="auto"/>
                <w:ind w:firstLine="720"/>
                <w:jc w:val="both"/>
                <w:rPr>
                  <w:szCs w:val="24"/>
                  <w:lang w:eastAsia="lt-LT"/>
                </w:rPr>
              </w:pPr>
              <w:sdt>
                <w:sdtPr>
                  <w:alias w:val="Numeris"/>
                  <w:tag w:val="nr_d434dc5688f14422b1694c62ec80337f"/>
                  <w:lock w:val="sdtLocked"/>
                  <w:richText/>
                </w:sdtPr>
                <w:sdtContent>
                  <w:r>
                    <w:rPr>
                      <w:szCs w:val="24"/>
                      <w:lang w:eastAsia="lt-LT"/>
                    </w:rPr>
                    <w:t>10</w:t>
                  </w:r>
                </w:sdtContent>
              </w:sdt>
              <w:r>
                <w:rPr>
                  <w:szCs w:val="24"/>
                  <w:lang w:eastAsia="lt-LT"/>
                </w:rPr>
                <w:t>. 2002 m. kovo 11 d. Europos Parlamento ir Tarybos direktyva 2002/14/EB dėl bendros darbuotojų informavimo ir konsultavimosi su jais sistemos sukūrimo Europos bendrijoje</w:t>
              </w:r>
              <w:r>
                <w:rPr>
                  <w:szCs w:val="24"/>
                </w:rPr>
                <w:t xml:space="preserve"> </w:t>
              </w:r>
              <w:r>
                <w:rPr>
                  <w:szCs w:val="24"/>
                  <w:lang w:eastAsia="lt-LT"/>
                </w:rPr>
                <w:t>su paskutiniais pakeitimais, padarytais 2015 m. spalio 6 d. Europos Parlamento ir Tarybos direktyva (ES) 2015/1794.</w:t>
              </w:r>
            </w:p>
          </w:sdtContent>
        </w:sdt>
        <w:sdt>
          <w:sdtPr>
            <w:alias w:val="pr. 11 p."/>
            <w:tag w:val="part_819261b8397947b48d4456a7105b5848"/>
            <w:lock w:val="sdtLocked"/>
            <w:richText/>
          </w:sdtPr>
          <w:sdtContent>
            <w:p>
              <w:pPr>
                <w:spacing w:line="360" w:lineRule="auto"/>
                <w:ind w:firstLine="720"/>
                <w:jc w:val="both"/>
                <w:rPr>
                  <w:szCs w:val="24"/>
                  <w:lang w:eastAsia="lt-LT"/>
                </w:rPr>
              </w:pPr>
              <w:sdt>
                <w:sdtPr>
                  <w:alias w:val="Numeris"/>
                  <w:tag w:val="nr_819261b8397947b48d4456a7105b5848"/>
                  <w:lock w:val="sdtLocked"/>
                  <w:richText/>
                </w:sdtPr>
                <w:sdtContent>
                  <w:r>
                    <w:rPr>
                      <w:szCs w:val="24"/>
                      <w:lang w:eastAsia="lt-LT"/>
                    </w:rPr>
                    <w:t>11</w:t>
                  </w:r>
                </w:sdtContent>
              </w:sdt>
              <w:r>
                <w:rPr>
                  <w:szCs w:val="24"/>
                  <w:lang w:eastAsia="lt-LT"/>
                </w:rPr>
                <w:t xml:space="preserve">. 2003 m. lapkričio 4 d. Europos Parlamento ir Tarybos direktyva 2003/88/EB dėl tam tikrų darbo laiko organizavimo aspektų. </w:t>
              </w:r>
            </w:p>
          </w:sdtContent>
        </w:sdt>
        <w:sdt>
          <w:sdtPr>
            <w:alias w:val="pr. 12 p."/>
            <w:tag w:val="part_54e3f82cbac74beb83046e3a082f99af"/>
            <w:lock w:val="sdtLocked"/>
            <w:richText/>
          </w:sdtPr>
          <w:sdtContent>
            <w:p>
              <w:pPr>
                <w:spacing w:line="360" w:lineRule="auto"/>
                <w:ind w:firstLine="720"/>
                <w:jc w:val="both"/>
                <w:rPr>
                  <w:szCs w:val="24"/>
                  <w:lang w:eastAsia="lt-LT"/>
                </w:rPr>
              </w:pPr>
              <w:sdt>
                <w:sdtPr>
                  <w:alias w:val="Numeris"/>
                  <w:tag w:val="nr_54e3f82cbac74beb83046e3a082f99af"/>
                  <w:lock w:val="sdtLocked"/>
                  <w:richText/>
                </w:sdtPr>
                <w:sdtContent>
                  <w:r>
                    <w:rPr>
                      <w:szCs w:val="24"/>
                      <w:lang w:eastAsia="lt-LT"/>
                    </w:rPr>
                    <w:t>12</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3 p."/>
            <w:tag w:val="part_355cd927978e40dbb0103f614919b71e"/>
            <w:lock w:val="sdtLocked"/>
            <w:richText/>
          </w:sdtPr>
          <w:sdtContent>
            <w:p>
              <w:pPr>
                <w:spacing w:line="360" w:lineRule="auto"/>
                <w:ind w:firstLine="720"/>
                <w:jc w:val="both"/>
                <w:rPr>
                  <w:szCs w:val="24"/>
                  <w:lang w:eastAsia="lt-LT"/>
                </w:rPr>
              </w:pPr>
              <w:sdt>
                <w:sdtPr>
                  <w:alias w:val="Numeris"/>
                  <w:tag w:val="nr_355cd927978e40dbb0103f614919b71e"/>
                  <w:lock w:val="sdtLocked"/>
                  <w:richText/>
                </w:sdtPr>
                <w:sdtContent>
                  <w:r>
                    <w:rPr>
                      <w:szCs w:val="24"/>
                      <w:lang w:eastAsia="lt-LT"/>
                    </w:rPr>
                    <w:t>13</w:t>
                  </w:r>
                </w:sdtContent>
              </w:sdt>
              <w:r>
                <w:rPr>
                  <w:szCs w:val="24"/>
                  <w:lang w:eastAsia="lt-LT"/>
                </w:rPr>
                <w:t>. 2008 m. spalio 22 d. Europos Parlamento ir Tarybos direktyva 2008/94/EB dėl darbuotojų apsaugos jų darbdaviui tapus nemokiam (kodifikuota redakcija)</w:t>
              </w:r>
              <w:r>
                <w:rPr>
                  <w:szCs w:val="24"/>
                </w:rPr>
                <w:t xml:space="preserve"> </w:t>
              </w:r>
              <w:r>
                <w:rPr>
                  <w:szCs w:val="24"/>
                  <w:lang w:eastAsia="lt-LT"/>
                </w:rPr>
                <w:t>su paskutiniais pakeitimais, padarytais 2015 m. spalio 6 d. Europos Parlamento ir Tarybos direktyva (ES) 2015/1794.</w:t>
              </w:r>
            </w:p>
          </w:sdtContent>
        </w:sdt>
        <w:sdt>
          <w:sdtPr>
            <w:alias w:val="pr. 14 p."/>
            <w:tag w:val="part_4f911ea34f2f4bc3876558c0737f150d"/>
            <w:lock w:val="sdtLocked"/>
            <w:richText/>
          </w:sdtPr>
          <w:sdtContent>
            <w:p>
              <w:pPr>
                <w:spacing w:line="360" w:lineRule="auto"/>
                <w:ind w:firstLine="720"/>
                <w:jc w:val="both"/>
                <w:rPr>
                  <w:szCs w:val="24"/>
                  <w:lang w:eastAsia="lt-LT"/>
                </w:rPr>
              </w:pPr>
              <w:sdt>
                <w:sdtPr>
                  <w:alias w:val="Numeris"/>
                  <w:tag w:val="nr_4f911ea34f2f4bc3876558c0737f150d"/>
                  <w:lock w:val="sdtLocked"/>
                  <w:richText/>
                </w:sdtPr>
                <w:sdtContent>
                  <w:r>
                    <w:rPr>
                      <w:szCs w:val="24"/>
                      <w:lang w:eastAsia="lt-LT"/>
                    </w:rPr>
                    <w:t>14</w:t>
                  </w:r>
                </w:sdtContent>
              </w:sdt>
              <w:r>
                <w:rPr>
                  <w:szCs w:val="24"/>
                  <w:lang w:eastAsia="lt-LT"/>
                </w:rPr>
                <w:t>. 2008 m. lapkričio 19 d. Europos Parlamento ir Tarybos direktyva 2008/104/EB dėl darbo per laikinojo įdarbinimo įmones.</w:t>
              </w:r>
            </w:p>
          </w:sdtContent>
        </w:sdt>
        <w:sdt>
          <w:sdtPr>
            <w:alias w:val="pr. 15 p."/>
            <w:tag w:val="part_3a315b78fea9421184ab579f4da34279"/>
            <w:lock w:val="sdtLocked"/>
            <w:richText/>
          </w:sdtPr>
          <w:sdtContent>
            <w:p>
              <w:pPr>
                <w:spacing w:line="360" w:lineRule="auto"/>
                <w:ind w:firstLine="720"/>
                <w:jc w:val="both"/>
                <w:rPr>
                  <w:szCs w:val="24"/>
                  <w:lang w:eastAsia="lt-LT"/>
                </w:rPr>
              </w:pPr>
              <w:sdt>
                <w:sdtPr>
                  <w:alias w:val="Numeris"/>
                  <w:tag w:val="nr_3a315b78fea9421184ab579f4da34279"/>
                  <w:lock w:val="sdtLocked"/>
                  <w:richText/>
                </w:sdtPr>
                <w:sdtContent>
                  <w:r>
                    <w:rPr>
                      <w:szCs w:val="24"/>
                      <w:lang w:eastAsia="lt-LT"/>
                    </w:rPr>
                    <w:t>15</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6 p."/>
            <w:tag w:val="part_340e6b748a3f4acf81801b10a5864d73"/>
            <w:lock w:val="sdtLocked"/>
            <w:richText/>
          </w:sdtPr>
          <w:sdtContent>
            <w:p>
              <w:pPr>
                <w:spacing w:line="360" w:lineRule="auto"/>
                <w:ind w:firstLine="720"/>
                <w:jc w:val="both"/>
              </w:pPr>
              <w:sdt>
                <w:sdtPr>
                  <w:alias w:val="Numeris"/>
                  <w:tag w:val="nr_340e6b748a3f4acf81801b10a5864d73"/>
                  <w:lock w:val="sdtLocked"/>
                  <w:richText/>
                </w:sdtPr>
                <w:sdtContent>
                  <w:r>
                    <w:rPr>
                      <w:szCs w:val="24"/>
                      <w:lang w:eastAsia="lt-LT"/>
                    </w:rPr>
                    <w:t>16</w:t>
                  </w:r>
                </w:sdtContent>
              </w:sdt>
              <w:r>
                <w:rPr>
                  <w:szCs w:val="24"/>
                  <w:lang w:eastAsia="lt-LT"/>
                </w:rPr>
                <w:t>. 2010 m. kovo 8 d. Tarybos direktyva 2010/18/ES, įgyvendinanti patikslintą BUSINESSEUROPE, UEAPME, CEEP ir ETUC sudarytą Bendrąjį susitarimą dėl vaiko priežiūros atostogų ir panaikinanti Direktyvą 96/34/EB.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2.xml"/>
  <Relationship Id="rId11" Type="http://schemas.openxmlformats.org/officeDocument/2006/relationships/header" Target="header83.xml"/>
  <Relationship Id="rId12" Type="http://schemas.openxmlformats.org/officeDocument/2006/relationships/footer" Target="footer82.xml"/>
  <Relationship Id="rId13" Type="http://schemas.openxmlformats.org/officeDocument/2006/relationships/footer" Target="footer83.xml"/>
  <Relationship Id="rId14" Type="http://schemas.openxmlformats.org/officeDocument/2006/relationships/header" Target="header84.xml"/>
  <Relationship Id="rId15" Type="http://schemas.openxmlformats.org/officeDocument/2006/relationships/footer" Target="footer8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9a07d318aa4b469e93b5f506058b66c9">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dcae9f186bab4e25ade5540cdbf209b5"/>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c1e13c45dcb746f7afbf41af55861c93">
    <Part Type="punktas" Nr="1" Abbr="pr. 1 p." DocPartId="1d9ee6eb9abe4ebda84a036fb08d7784" PartId="8bbc229daa2f4970bc7ea20e1c5c8650"/>
    <Part Type="punktas" Nr="2" Abbr="pr. 2 p." DocPartId="a8bcf831306548998f9776e52560c359" PartId="9578f2d7406944438def71a2a635c8ea"/>
    <Part Type="punktas" Nr="3" Abbr="pr. 3 p." DocPartId="2f82c6b9975b45b49d63c415efe5e066" PartId="0dee84cd5e814eb79da3c8b6c13c55ed"/>
    <Part Type="punktas" Nr="4" Abbr="pr. 4 p." DocPartId="bdbf30d4c75a4b5cb16ddf18f12506af" PartId="a78518a5e9e84d51b91889fde80e0295"/>
    <Part Type="punktas" Nr="5" Abbr="pr. 5 p." DocPartId="0d342c7ad12e4b10912b30cfaa8826a6" PartId="5b1b0144b5a641de9e5db2ff7ada17b3"/>
    <Part Type="punktas" Nr="6" Abbr="pr. 6 p." DocPartId="1c56d37b064c41d4b58257f4c2525c42" PartId="156b6a9d3f3244dca67686677a29ee82"/>
    <Part Type="punktas" Nr="7" Abbr="pr. 7 p." DocPartId="ddc9d8c302f34570aeb160897bedfab5" PartId="b6327b159e884f1f913a8b7b7b0fdfdc"/>
    <Part Type="punktas" Nr="8" Abbr="pr. 8 p." DocPartId="c5fc81a4a46548bbbb31c5e2fd3b918d" PartId="32b44119b34a4e90a48a036dc9d6ff21"/>
    <Part Type="punktas" Nr="9" Abbr="pr. 9 p." DocPartId="fb980078cd1e40fcb9d5ae834a3c5e22" PartId="3ee7f9e2b91b41d6878260456c62f5af"/>
    <Part Type="punktas" Nr="10" Abbr="pr. 10 p." DocPartId="b71831e4af7d4bb2bb7fe7d14b6bd129" PartId="d434dc5688f14422b1694c62ec80337f"/>
    <Part Type="punktas" Nr="11" Abbr="pr. 11 p." DocPartId="07d845b9ef964321b0e8cf0dae01c953" PartId="819261b8397947b48d4456a7105b5848"/>
    <Part Type="punktas" Nr="12" Abbr="pr. 12 p." DocPartId="4a5deb176cc04efe8ea7e108f0859878" PartId="54e3f82cbac74beb83046e3a082f99af"/>
    <Part Type="punktas" Nr="13" Abbr="pr. 13 p." DocPartId="603ce22bbe1b4eea966604da831d1889" PartId="355cd927978e40dbb0103f614919b71e"/>
    <Part Type="punktas" Nr="14" Abbr="pr. 14 p." DocPartId="be9379eafec044168608fe3794b0aec9" PartId="4f911ea34f2f4bc3876558c0737f150d"/>
    <Part Type="punktas" Nr="15" Abbr="pr. 15 p." DocPartId="681c28b86add452580bb7010f515c7e8" PartId="3a315b78fea9421184ab579f4da34279"/>
    <Part Type="punktas" Nr="16" Abbr="pr. 16 p." DocPartId="6dd7b30f25aa4132939c1e8a81b23a28" PartId="340e6b748a3f4acf81801b10a5864d73"/>
  </Part>
</Parts>
</file>

<file path=customXml/itemProps1.xml><?xml version="1.0" encoding="utf-8"?>
<ds:datastoreItem xmlns:ds="http://schemas.openxmlformats.org/officeDocument/2006/customXml" ds:itemID="{0C83B608-DFFB-42FC-B0D0-B56E7A788875}">
  <ds:schemaRefs>
    <ds:schemaRef ds:uri="http://lrs.lt/TAIS/DocParts"/>
  </ds:schemaRefs>
</ds:datastoreItem>
</file>

<file path=docProps/app.xml><?xml version="1.0" encoding="utf-8"?>
<Properties xmlns="http://schemas.openxmlformats.org/officeDocument/2006/extended-properties">
  <Template>Normal.dotm</Template>
  <TotalTime>67</TotalTime>
  <Pages>150</Pages>
  <Words>46216</Words>
  <Characters>326066</Characters>
  <Application>Microsoft Office Word</Application>
  <DocSecurity>0</DocSecurity>
  <Lines>2717</Lines>
  <Paragraphs>743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371539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GUMBYTĖ Danguolė</lastModifiedBy>
  <lastPrinted>2016-09-15T05:43:00Z</lastPrinted>
  <dcterms:modified xsi:type="dcterms:W3CDTF">2021-07-20T08:14:00Z</dcterms:modified>
  <revision>65</revision>
</coreProperties>
</file>