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2022-08-01 iki 2022-08-31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4dac25c829ce4a2fadd31091969b2857"/>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2-1 d."/>
                        <w:tag w:val="part_7b523abaf4a2448bbad673247addc17b"/>
                        <w:lock w:val="sdtLocked"/>
                        <w:richText/>
                      </w:sdtPr>
                      <w:sdtContent>
                        <w:p>
                          <w:pPr>
                            <w:spacing w:line="360" w:lineRule="auto"/>
                            <w:ind w:firstLine="720"/>
                            <w:jc w:val="both"/>
                            <w:rPr>
                              <w:rFonts w:eastAsia="Helvetica Neue"/>
                              <w:szCs w:val="24"/>
                              <w:lang w:eastAsia="lt-LT"/>
                            </w:rPr>
                          </w:pPr>
                          <w:sdt>
                            <w:sdtPr>
                              <w:alias w:val="Numeris"/>
                              <w:tag w:val="nr_7b523abaf4a2448bbad673247addc17b"/>
                              <w:lock w:val="sdtLocked"/>
                              <w:richText/>
                            </w:sdtPr>
                            <w:sdtContent>
                              <w:r>
                                <w:rPr>
                                  <w:szCs w:val="24"/>
                                </w:rPr>
                                <w:t>2</w:t>
                              </w:r>
                              <w:r>
                                <w:rPr>
                                  <w:szCs w:val="24"/>
                                  <w:vertAlign w:val="superscript"/>
                                </w:rPr>
                                <w:t>1</w:t>
                              </w:r>
                            </w:sdtContent>
                          </w:sdt>
                          <w:r>
                            <w:rPr>
                              <w:szCs w:val="24"/>
                            </w:rPr>
                            <w:t>. Mobilizaciją ir karo padėtį reglamentuojančiuose įstatymuose 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70723b4490064ccf9852b3cd87f8787c"/>
                        <w:lock w:val="sdtLocked"/>
                        <w:richText/>
                      </w:sdtPr>
                      <w:sdtContent>
                        <w:p>
                          <w:pPr>
                            <w:spacing w:line="400" w:lineRule="atLeast"/>
                            <w:ind w:firstLine="720"/>
                            <w:jc w:val="both"/>
                            <w:rPr>
                              <w:szCs w:val="24"/>
                              <w:lang w:eastAsia="lt-LT"/>
                            </w:rPr>
                          </w:pPr>
                          <w:sdt>
                            <w:sdtPr>
                              <w:alias w:val="Numeris"/>
                              <w:tag w:val="nr_70723b4490064ccf9852b3cd87f8787c"/>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kai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c0e8106d4ba141b2aa548753e0d4f2cf"/>
                            <w:lock w:val="sdtLocked"/>
                            <w:richText/>
                          </w:sdtPr>
                          <w:sdtContent>
                            <w:p>
                              <w:pPr>
                                <w:spacing w:line="400" w:lineRule="atLeast"/>
                                <w:ind w:firstLine="720"/>
                                <w:jc w:val="both"/>
                                <w:rPr>
                                  <w:rFonts w:eastAsia="Helvetica Neue"/>
                                  <w:szCs w:val="24"/>
                                  <w:bdr w:val="nil"/>
                                  <w:lang w:eastAsia="lt-LT"/>
                                </w:rPr>
                              </w:pPr>
                              <w:sdt>
                                <w:sdtPr>
                                  <w:alias w:val="Numeris"/>
                                  <w:tag w:val="nr_c0e8106d4ba141b2aa548753e0d4f2cf"/>
                                  <w:lock w:val="sdtLocked"/>
                                  <w:richText/>
                                </w:sdtPr>
                                <w:sdtContent>
                                  <w:r>
                                    <w:rPr>
                                      <w:bCs/>
                                      <w:szCs w:val="24"/>
                                    </w:rPr>
                                    <w:t>6</w:t>
                                  </w:r>
                                </w:sdtContent>
                              </w:sdt>
                              <w:r>
                                <w:rPr>
                                  <w:bCs/>
                                  <w:szCs w:val="24"/>
                                </w:rPr>
                                <w:t>) imtis tinkamų priemonių, kad neįgaliesiems būtų sudarytos sąlygos gauti darbą, dirbti, siekti karjeros arba mokytis, įskaitant tinkamą darbo sąlygų sudarymą, jeigu dėl tokių priemonių nebus neproporcingai apsunkinamos darbdavio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758e4eb2e398459f905916056b4f9b96"/>
                        <w:lock w:val="sdtLocked"/>
                        <w:richText/>
                      </w:sdtPr>
                      <w:sdtContent>
                        <w:p>
                          <w:pPr>
                            <w:spacing w:line="400" w:lineRule="atLeast"/>
                            <w:ind w:firstLine="720"/>
                            <w:jc w:val="both"/>
                            <w:rPr>
                              <w:rFonts w:eastAsia="Helvetica Neue"/>
                              <w:bCs/>
                              <w:szCs w:val="24"/>
                              <w:lang w:eastAsia="lt-LT"/>
                            </w:rPr>
                          </w:pPr>
                          <w:sdt>
                            <w:sdtPr>
                              <w:alias w:val="Numeris"/>
                              <w:tag w:val="nr_758e4eb2e398459f905916056b4f9b96"/>
                              <w:lock w:val="sdtLocked"/>
                              <w:richText/>
                            </w:sdtPr>
                            <w:sdtContent>
                              <w:r>
                                <w:rPr>
                                  <w:szCs w:val="24"/>
                                </w:rPr>
                                <w:t>2</w:t>
                              </w:r>
                            </w:sdtContent>
                          </w:sdt>
                          <w:r>
                            <w:rPr>
                              <w:szCs w:val="24"/>
                            </w:rPr>
                            <w:t>. Darbdavys imasi visų būtinų priemonių psichologinio smurto darbo aplinkoje prevencijai užtikrinti, informaciją apie jas paskelbdamas įprastais darbovietėje būdais, ir imasi aktyvių veiksmų pagalbai asmenims, patyrusiems psichologinį smurtą darbo aplinkoje, suteikti.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a25d62a09b014c12bbcd76aa394fd316"/>
                            <w:lock w:val="sdtLocked"/>
                            <w:richText/>
                          </w:sdtPr>
                          <w:sdtContent>
                            <w:p>
                              <w:pPr>
                                <w:spacing w:line="400" w:lineRule="atLeast"/>
                                <w:ind w:firstLine="720"/>
                                <w:jc w:val="both"/>
                                <w:rPr>
                                  <w:rFonts w:eastAsia="Helvetica Neue"/>
                                  <w:szCs w:val="24"/>
                                  <w:lang w:eastAsia="lt-LT"/>
                                </w:rPr>
                              </w:pPr>
                              <w:sdt>
                                <w:sdtPr>
                                  <w:alias w:val="Numeris"/>
                                  <w:tag w:val="nr_a25d62a09b014c12bbcd76aa394fd316"/>
                                  <w:lock w:val="sdtLocked"/>
                                  <w:richText/>
                                </w:sdtPr>
                                <w:sdtContent>
                                  <w:r>
                                    <w:rPr>
                                      <w:szCs w:val="24"/>
                                      <w:lang w:eastAsia="lt-LT"/>
                                    </w:rPr>
                                    <w:t>5</w:t>
                                  </w:r>
                                </w:sdtContent>
                              </w:sdt>
                              <w:r>
                                <w:rPr>
                                  <w:szCs w:val="24"/>
                                  <w:lang w:eastAsia="lt-LT"/>
                                </w:rPr>
                                <w:t>. Šio straipsnio 4 dalyje nustatyti ribojimai dėl ne viso darbo laiko trukmės ir jo nustatymo negalioja, jei darbdavys sutinka su kitokiomis darbuotojo pasiūlytomis ne viso darbo laiko sąlygomis arba jei darbuotojo prašymas pagal sveikatos priežiūros įstaigos išvadą pagrįstas darbuotojo sveikatos būkle, neįgalumu arba būtinybe slaugyti (prižiūrėti) šeimos narį ar kartu su darbuotoju gyvenantį asmenį, taip pat jei to reikalauja nėščia, neseniai pagimdžiusi ar krūtimi maitinanti darbuotoja, darbuotojas, auginantis vaiką iki aštuonerių metų, ir darbuotojas, vienas auginantis vaiką iki keturiolikos metų arba neįgalų vaiką iki aštuoniolikos metų. Šie asmenys grįžti dirbti viso darbo laiko sąlygomis gali raštu įspėję darbdavį prieš dvi savaites, išskyrus atvejus, kai darbdavys sutinka nesilaikyti šio termino.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6949779ec2ad48d489e03b9b24191c3c"/>
                        <w:lock w:val="sdtLocked"/>
                        <w:richText/>
                      </w:sdtPr>
                      <w:sdtContent>
                        <w:p>
                          <w:pPr>
                            <w:spacing w:line="400" w:lineRule="atLeast"/>
                            <w:ind w:firstLine="720"/>
                            <w:jc w:val="both"/>
                            <w:rPr>
                              <w:szCs w:val="24"/>
                              <w:lang w:eastAsia="lt-LT"/>
                            </w:rPr>
                          </w:pPr>
                          <w:sdt>
                            <w:sdtPr>
                              <w:alias w:val="Numeris"/>
                              <w:tag w:val="nr_6949779ec2ad48d489e03b9b24191c3c"/>
                              <w:lock w:val="sdtLocked"/>
                              <w:richText/>
                            </w:sdtPr>
                            <w:sdtContent>
                              <w:r>
                                <w:rPr>
                                  <w:szCs w:val="24"/>
                                </w:rPr>
                                <w:t>2</w:t>
                              </w:r>
                            </w:sdtContent>
                          </w:sdt>
                          <w:r>
                            <w:rPr>
                              <w:szCs w:val="24"/>
                            </w:rPr>
                            <w:t xml:space="preserve">.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kai to reikalauja nėščia, neseniai pagimdžiusi ar krūtimi maitinanti darbuotoja, darbuotojas, auginantis vaiką iki aštuonerių metų, ir darbuotojas, vienas auginantis vaiką iki keturiolikos metų arba neįgalų vaiką iki aštuoniolikos metų, arba darbuotojas, pagal sveikatos priežiūros įstaigos išvadą pateikęs prašymą, pagrįstą sveikatos būkle, neįgalumu arba būtinybe slaugyti </w:t>
                          </w:r>
                          <w:r>
                            <w:rPr>
                              <w:szCs w:val="24"/>
                              <w:lang w:eastAsia="lt-LT"/>
                            </w:rPr>
                            <w:t xml:space="preserve">(prižiūrėti) </w:t>
                          </w:r>
                          <w:r>
                            <w:rPr>
                              <w:szCs w:val="24"/>
                            </w:rPr>
                            <w:t>šeimos narį ar kartu su darbuotoju gyvenantį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68726b108d96492e8cb0d4952003770f"/>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68726b108d96492e8cb0d4952003770f"/>
                                  <w:lock w:val="sdtLocked"/>
                                  <w:richText/>
                                </w:sdtPr>
                                <w:sdtContent>
                                  <w:r>
                                    <w:rPr>
                                      <w:bCs/>
                                      <w:szCs w:val="24"/>
                                    </w:rPr>
                                    <w:t>3</w:t>
                                  </w:r>
                                </w:sdtContent>
                              </w:sdt>
                              <w:r>
                                <w:rPr>
                                  <w:bCs/>
                                  <w:szCs w:val="24"/>
                                </w:rPr>
                                <w:t xml:space="preserve">) darbuotojas negali tinkamai atlikti savo darbo funkcijos dėl ligos ar neįgalumo arba dėl to, kad namuose slaugo šeimos narį (vaiką, tėvą (įtėvį, rūpintoją), motiną (įmotę, rūpintoją), vyrą, žmoną) ar kartu su darbuotoju gyvenantį asmenį,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165f361c09f14182bd73508b07e34cc2"/>
                            <w:lock w:val="sdtLocked"/>
                            <w:richText/>
                          </w:sdtPr>
                          <w:sdtContent>
                            <w:p>
                              <w:pPr>
                                <w:spacing w:line="400" w:lineRule="atLeast"/>
                                <w:ind w:firstLine="720"/>
                                <w:jc w:val="both"/>
                                <w:rPr>
                                  <w:lang w:eastAsia="lt-LT"/>
                                </w:rPr>
                              </w:pPr>
                              <w:sdt>
                                <w:sdtPr>
                                  <w:alias w:val="Numeris"/>
                                  <w:tag w:val="nr_165f361c09f14182bd73508b07e34cc2"/>
                                  <w:lock w:val="sdtLocked"/>
                                  <w:richText/>
                                </w:sdtPr>
                                <w:sdtContent>
                                  <w:r>
                                    <w:rPr>
                                      <w:bCs/>
                                      <w:color w:val="000000"/>
                                      <w:szCs w:val="24"/>
                                    </w:rPr>
                                    <w:t>2</w:t>
                                  </w:r>
                                </w:sdtContent>
                              </w:sdt>
                              <w:r>
                                <w:rPr>
                                  <w:bCs/>
                                  <w:color w:val="000000"/>
                                  <w:szCs w:val="24"/>
                                </w:rPr>
                                <w:t>) kurie augina tris ir daugiau vaikų iki keturiolikos metų arba vieni augina vaiką iki keturiolikos metų ar neįgalų vaiką iki aštuoniolikos metų, arba vieni prižiūri kitus šeimos narius, kuriems nustatytas mažesnis negu penkiasdešimt penkių procentų darbingumo lygis, arba senatvės pensijos amžių sukakusius šeimos narius,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3e8dd207cdaf4db292ffca3776334445"/>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3e8dd207cdaf4db292ffca3776334445"/>
                              <w:lock w:val="sdtLocked"/>
                              <w:richText/>
                            </w:sdtPr>
                            <w:sdtContent>
                              <w:r>
                                <w:rPr>
                                  <w:bCs/>
                                  <w:color w:val="000000"/>
                                  <w:szCs w:val="24"/>
                                </w:rPr>
                                <w:t>7</w:t>
                              </w:r>
                            </w:sdtContent>
                          </w:sdt>
                          <w:r>
                            <w:rPr>
                              <w:bCs/>
                              <w:color w:val="000000"/>
                              <w:szCs w:val="24"/>
                            </w:rPr>
                            <w:t xml:space="preserve">.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ir darbuotojams, kurie augina neįgalų vaiką iki aštuoniolikos metų, </w:t>
                          </w:r>
                          <w:r>
                            <w:rPr>
                              <w:bCs/>
                              <w:color w:val="000000"/>
                              <w:szCs w:val="24"/>
                              <w:lang w:eastAsia="lt-LT"/>
                            </w:rPr>
                            <w:t xml:space="preserve">nėščioms darbuotojoms, </w:t>
                          </w:r>
                          <w:r>
                            <w:rPr>
                              <w:bCs/>
                              <w:color w:val="000000"/>
                              <w:szCs w:val="24"/>
                            </w:rPr>
                            <w:t>neįgaliems darbuotojams ir darbuotojams, pateikusiems išrašą dėl ligos, įtrauktos į Lietuvos Respublikos sveikatos apsaugos ministro įsakymu patvirtintą sunkių ligų sąrašą, taip pat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239b37c435c141199259aaa03c54d68d"/>
                            <w:lock w:val="sdtLocked"/>
                            <w:richText/>
                          </w:sdtPr>
                          <w:sdtContent>
                            <w:p>
                              <w:pPr>
                                <w:spacing w:line="400" w:lineRule="atLeast"/>
                                <w:ind w:firstLine="720"/>
                                <w:jc w:val="both"/>
                                <w:rPr>
                                  <w:rFonts w:eastAsia="Helvetica Neue"/>
                                  <w:szCs w:val="24"/>
                                  <w:lang w:eastAsia="lt-LT"/>
                                </w:rPr>
                              </w:pPr>
                              <w:sdt>
                                <w:sdtPr>
                                  <w:alias w:val="Numeris"/>
                                  <w:tag w:val="nr_239b37c435c141199259aaa03c54d68d"/>
                                  <w:lock w:val="sdtLocked"/>
                                  <w:richText/>
                                </w:sdtPr>
                                <w:sdtContent>
                                  <w:r>
                                    <w:rPr>
                                      <w:bCs/>
                                      <w:color w:val="000000"/>
                                      <w:szCs w:val="24"/>
                                    </w:rPr>
                                    <w:t>1</w:t>
                                  </w:r>
                                </w:sdtContent>
                              </w:sdt>
                              <w:r>
                                <w:rPr>
                                  <w:bCs/>
                                  <w:color w:val="000000"/>
                                  <w:szCs w:val="24"/>
                                </w:rPr>
                                <w:t xml:space="preserve">. Darbo laiko režimas – darbo laiko normos paskirstymas per darbo dieną (pamainą), savaitę, mėnesį ar kitą apskaitinį laikotarpį, kuris negali viršyti trijų paeiliui einančių mėnesių. Darbdavys privalo tenkinti prašymą dirbti darbuotojo pageidaujamu darbo laiko režimu, kai to reikalauja nėščia, neseniai pagimdžiusi ar krūtimi maitinanti darbuotoja, darbuotojas, auginantis vaiką iki aštuonerių metų, ir darbuotojas, vienas auginantis vaiką iki keturiolikos metų arba neįgalų vaiką iki aštuoniolikos metų, darbuotojas, pateikęs prašymą, pagrįstą sveikatos priežiūros įstaigos išvada apie jo sveikatos būklę arba būtinybe slaugyti </w:t>
                              </w:r>
                              <w:r>
                                <w:rPr>
                                  <w:szCs w:val="24"/>
                                  <w:lang w:eastAsia="lt-LT"/>
                                </w:rPr>
                                <w:t xml:space="preserve">(prižiūrėti) </w:t>
                              </w:r>
                              <w:r>
                                <w:rPr>
                                  <w:bCs/>
                                  <w:color w:val="000000"/>
                                  <w:szCs w:val="24"/>
                                </w:rPr>
                                <w:t>šeimos narį ar kartu su darbuotoju gyvenantį asmenį, jeigu dėl gamybinio būtinumo ar darbo organizavimo ypatumų tai nesudarytų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 d."/>
                            <w:tag w:val="part_48912760a67d4692a9996205b915774a"/>
                            <w:lock w:val="sdtLocked"/>
                            <w:richText/>
                          </w:sdtPr>
                          <w:sdtContent>
                            <w:p>
                              <w:pPr>
                                <w:spacing w:line="400" w:lineRule="atLeast"/>
                                <w:ind w:firstLine="720"/>
                                <w:jc w:val="both"/>
                                <w:rPr>
                                  <w:rFonts w:eastAsia="Helvetica Neue"/>
                                  <w:szCs w:val="24"/>
                                  <w:lang w:eastAsia="lt-LT"/>
                                </w:rPr>
                              </w:pPr>
                              <w:sdt>
                                <w:sdtPr>
                                  <w:alias w:val="Numeris"/>
                                  <w:tag w:val="nr_48912760a67d4692a9996205b915774a"/>
                                  <w:lock w:val="sdtLocked"/>
                                  <w:richText/>
                                </w:sdtPr>
                                <w:sdtContent>
                                  <w:r>
                                    <w:rPr>
                                      <w:bCs/>
                                      <w:color w:val="000000"/>
                                      <w:szCs w:val="24"/>
                                      <w:lang w:eastAsia="lt-LT"/>
                                    </w:rPr>
                                    <w:t>3</w:t>
                                  </w:r>
                                </w:sdtContent>
                              </w:sdt>
                              <w:r>
                                <w:rPr>
                                  <w:bCs/>
                                  <w:color w:val="000000"/>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darbo dienas per savaitę) arba trisdešimt darbo dienų kasmetinės atostogos (jeigu dirbama šešias darbo dienas per savaitę). Jeigu darbo dienų per savaitę skaičius yra mažesnis arba skirtingas, šioje dalyje nurodytiems darbuotojams turi būti suteiktos penkių savaičių trukmės atostogos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08ba070b7df243d1a40241113a9b7bc3"/>
                                <w:lock w:val="sdtLocked"/>
                                <w:richText/>
                              </w:sdtPr>
                              <w:sdtContent>
                                <w:p>
                                  <w:pPr>
                                    <w:spacing w:line="400" w:lineRule="atLeast"/>
                                    <w:ind w:firstLine="720"/>
                                    <w:jc w:val="both"/>
                                    <w:rPr>
                                      <w:color w:val="000000"/>
                                      <w:szCs w:val="24"/>
                                      <w:lang w:eastAsia="lt-LT"/>
                                    </w:rPr>
                                  </w:pPr>
                                  <w:sdt>
                                    <w:sdtPr>
                                      <w:alias w:val="Numeris"/>
                                      <w:tag w:val="nr_08ba070b7df243d1a40241113a9b7bc3"/>
                                      <w:lock w:val="sdtLocked"/>
                                      <w:richText/>
                                    </w:sdtPr>
                                    <w:sdtContent>
                                      <w:r>
                                        <w:rPr>
                                          <w:color w:val="000000"/>
                                          <w:szCs w:val="24"/>
                                          <w:lang w:eastAsia="lt-LT"/>
                                        </w:rPr>
                                        <w:t>2</w:t>
                                      </w:r>
                                    </w:sdtContent>
                                  </w:sdt>
                                  <w:r>
                                    <w:rPr>
                                      <w:color w:val="000000"/>
                                      <w:szCs w:val="24"/>
                                      <w:lang w:eastAsia="lt-LT"/>
                                    </w:rPr>
                                    <w:t>) 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2c62e57f4a534973b64c7440de5f13cd"/>
                            <w:lock w:val="sdtLocked"/>
                            <w:richText/>
                          </w:sdtPr>
                          <w:sdtContent>
                            <w:p>
                              <w:pPr>
                                <w:spacing w:line="400" w:lineRule="atLeast"/>
                                <w:ind w:firstLine="720"/>
                                <w:jc w:val="both"/>
                                <w:rPr>
                                  <w:szCs w:val="24"/>
                                  <w:lang w:eastAsia="lt-LT"/>
                                </w:rPr>
                              </w:pPr>
                              <w:sdt>
                                <w:sdtPr>
                                  <w:alias w:val="Numeris"/>
                                  <w:tag w:val="nr_2c62e57f4a534973b64c7440de5f13cd"/>
                                  <w:lock w:val="sdtLocked"/>
                                  <w:richText/>
                                </w:sdtPr>
                                <w:sdtContent>
                                  <w:r>
                                    <w:rPr>
                                      <w:bCs/>
                                      <w:szCs w:val="24"/>
                                    </w:rPr>
                                    <w:t>3</w:t>
                                  </w:r>
                                </w:sdtContent>
                              </w:sdt>
                              <w:r>
                                <w:rPr>
                                  <w:bCs/>
                                  <w:szCs w:val="24"/>
                                </w:rPr>
                                <w:t xml:space="preserve">. Darbuotojams, </w:t>
                              </w:r>
                              <w:r>
                                <w:rPr>
                                  <w:szCs w:val="24"/>
                                  <w:lang w:eastAsia="lt-LT"/>
                                </w:rPr>
                                <w:t xml:space="preserve">auginantiems vieną vaiką iki dvylikos metų, suteikiama viena papildoma poilsio diena per tris mėnesius (arba sutrumpinamas darbo laikas aštuoniomis valandomis per tris mėnesius), darbuotojams, </w:t>
                              </w:r>
                              <w:r>
                                <w:rPr>
                                  <w:bCs/>
                                  <w:szCs w:val="24"/>
                                </w:rPr>
                                <w:t xml:space="preserve">auginantiems neįgalų vaiką iki aštuoniolikos metų arba du vaikus iki dvylikos metų, suteikiama viena papildoma poilsio diena per mėnesį (arba sutrumpinamas darbo laikas dviem valandomis per savaitę), </w:t>
                              </w:r>
                              <w:r>
                                <w:rPr>
                                  <w:szCs w:val="24"/>
                                  <w:lang w:eastAsia="lt-LT"/>
                                </w:rPr>
                                <w:t xml:space="preserve">o darbuotojams, auginantiems tris ir daugiau vaikų iki dvylikos metų </w:t>
                              </w:r>
                              <w:r>
                                <w:rPr>
                                  <w:color w:val="000000"/>
                                  <w:szCs w:val="24"/>
                                </w:rPr>
                                <w:t xml:space="preserve">arba auginantiems du vaikus iki dvylikos metų, kai vienas arba abu vaikai yra neįgalūs, </w:t>
                              </w:r>
                              <w:r>
                                <w:rPr>
                                  <w:bCs/>
                                  <w:szCs w:val="24"/>
                                </w:rPr>
                                <w:t>–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213ac8fe4c424bb2ae6653bcf13c23e2"/>
                        <w:lock w:val="sdtLocked"/>
                        <w:richText/>
                      </w:sdtPr>
                      <w:sdtContent>
                        <w:p>
                          <w:pPr>
                            <w:spacing w:line="360" w:lineRule="auto"/>
                            <w:ind w:firstLine="720"/>
                            <w:jc w:val="both"/>
                            <w:rPr>
                              <w:szCs w:val="24"/>
                              <w:lang w:eastAsia="lt-LT"/>
                            </w:rPr>
                          </w:pPr>
                          <w:sdt>
                            <w:sdtPr>
                              <w:alias w:val="Numeris"/>
                              <w:tag w:val="nr_213ac8fe4c424bb2ae6653bcf13c23e2"/>
                              <w:lock w:val="sdtLocked"/>
                              <w:richText/>
                            </w:sdtPr>
                            <w:sdtContent>
                              <w:r>
                                <w:rPr>
                                  <w:color w:val="000000"/>
                                  <w:szCs w:val="24"/>
                                  <w:lang w:eastAsia="lt-LT"/>
                                </w:rPr>
                                <w:t>8</w:t>
                              </w:r>
                            </w:sdtContent>
                          </w:sdt>
                          <w:r>
                            <w:rPr>
                              <w:color w:val="000000"/>
                              <w:szCs w:val="24"/>
                              <w:lang w:eastAsia="lt-LT"/>
                            </w:rPr>
                            <w:t xml:space="preserve">. Darbuotojams, kurių darbas yra kilnojamojo pobūdžio </w:t>
                          </w:r>
                          <w:r>
                            <w:rPr>
                              <w:bCs/>
                              <w:color w:val="000000"/>
                              <w:szCs w:val="24"/>
                              <w:lang w:eastAsia="lt-LT"/>
                            </w:rPr>
                            <w:t>arba atliekamas lauko sąlygomis,</w:t>
                          </w:r>
                          <w:r>
                            <w:rPr>
                              <w:color w:val="000000"/>
                              <w:szCs w:val="24"/>
                              <w:lang w:eastAsia="lt-LT"/>
                            </w:rPr>
                            <w:t xml:space="preserve">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neapmokamos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931346"/>
  <w15:docId w15:val="{C1FDC37B-A9E8-4606-AA62-644C77CA7FF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1.xml"/>
  <Relationship Id="rId11" Type="http://schemas.openxmlformats.org/officeDocument/2006/relationships/header" Target="header92.xml"/>
  <Relationship Id="rId12" Type="http://schemas.openxmlformats.org/officeDocument/2006/relationships/footer" Target="footer91.xml"/>
  <Relationship Id="rId13" Type="http://schemas.openxmlformats.org/officeDocument/2006/relationships/footer" Target="footer92.xml"/>
  <Relationship Id="rId14" Type="http://schemas.openxmlformats.org/officeDocument/2006/relationships/header" Target="header93.xml"/>
  <Relationship Id="rId15" Type="http://schemas.openxmlformats.org/officeDocument/2006/relationships/footer" Target="footer9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4dac25c829ce4a2fadd31091969b2857">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2-1 d." DocPartId="5dce8104f48d473a90cc469758d593a9" PartId="7b523abaf4a2448bbad673247addc17b"/>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70723b4490064ccf9852b3cd87f8787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c0e8106d4ba141b2aa548753e0d4f2cf"/>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758e4eb2e398459f905916056b4f9b96"/>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a25d62a09b014c12bbcd76aa394fd316"/>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6949779ec2ad48d489e03b9b24191c3c"/>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68726b108d96492e8cb0d4952003770f"/>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165f361c09f14182bd73508b07e34cc2"/>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3e8dd207cdaf4db292ffca3776334445"/>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239b37c435c141199259aaa03c54d68d"/>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3 d." DocPartId="0af214565d524e2493756912122df311" PartId="48912760a67d4692a9996205b915774a"/>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08ba070b7df243d1a40241113a9b7bc3"/>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2c62e57f4a534973b64c7440de5f13cd"/>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213ac8fe4c424bb2ae6653bcf13c23e2"/>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49afc534db9d4efa9013347a637220c3"/>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10B461A7-71B5-4D30-A2BC-AA455FE11AC8}">
  <ds:schemaRefs>
    <ds:schemaRef ds:uri="http://lrs.lt/TAIS/DocParts"/>
  </ds:schemaRefs>
</ds:datastoreItem>
</file>

<file path=docProps/app.xml><?xml version="1.0" encoding="utf-8"?>
<Properties xmlns="http://schemas.openxmlformats.org/officeDocument/2006/extended-properties">
  <Template>Normal.dotm</Template>
  <TotalTime>160</TotalTime>
  <Pages>162</Pages>
  <Words>50682</Words>
  <Characters>357812</Characters>
  <Application>Microsoft Office Word</Application>
  <DocSecurity>0</DocSecurity>
  <Lines>2981</Lines>
  <Paragraphs>815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407679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TAMALIŪNIENĖ Vilija</lastModifiedBy>
  <lastPrinted>2016-09-15T05:43:00Z</lastPrinted>
  <dcterms:modified xsi:type="dcterms:W3CDTF">2022-07-20T06:35:00Z</dcterms:modified>
  <revision>73</revision>
</coreProperties>
</file>