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e5002659025947259c6c1dacbce9f4a7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2026-01-01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Įsakymas paskelbtas: TAR 2023-01-16, i. k. 2023-00727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rPr>
              <w:rFonts w:ascii="Times New Roman" w:hAnsi="Times New Roman"/>
              <w:sz w:val="20"/>
              <w:b/>
              <w:i/>
            </w:rPr>
          </w:pPr>
          <w:r>
            <w:rPr>
              <w:rFonts w:ascii="Times New Roman" w:hAnsi="Times New Roman"/>
              <w:sz w:val="20"/>
              <w:b/>
              <w:i/>
            </w:rPr>
            <w:t>Nauja redakcija nuo 2026-01-01:</w:t>
          </w:r>
        </w:p>
        <w:p>
          <w:pPr>
            <w:rPr>
              <w:rFonts w:ascii="Times New Roman" w:hAnsi="Times New Roman"/>
              <w:sz w:val="20"/>
              <w:i/>
            </w:rPr>
          </w:pPr>
          <w:r>
            <w:rPr>
              <w:rFonts w:ascii="Times New Roman" w:hAnsi="Times New Roman"/>
              <w:sz w:val="20"/>
              <w:i/>
            </w:rPr>
            <w:t xml:space="preserve">Nr. </w:t>
          </w:r>
          <w:fldSimple w:instr="HYPERLINK https://www.e-tar.lt/portal/legalAct.html?documentId=7d9a5161e62111f08918e1adc7c5b1e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D1-217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2025-12-31,
paskelbta TAR 2025-12-31, i. k. 2025-23124                </w:t>
          </w:r>
        </w:p>
        <w:p>
          <w:pPr>
            <w:rPr>
              <w:rFonts w:ascii="Times New Roman" w:hAnsi="Times New Roman"/>
              <w:sz w:val="22"/>
            </w:rPr>
          </w:pPr>
        </w:p>
        <w:p>
          <w:pPr>
            <w:widowControl w:val="0"/>
            <w:suppressAutoHyphens/>
            <w:jc w:val="center"/>
            <w:rPr>
              <w:rFonts w:eastAsia="Andale Sans UI" w:cs="Tahoma"/>
              <w:b/>
              <w:bCs/>
              <w:szCs w:val="24"/>
              <w:lang w:bidi="en-US"/>
            </w:rPr>
          </w:pPr>
          <w:r>
            <w:rPr>
              <w:rFonts w:eastAsia="Andale Sans UI" w:cs="Tahoma"/>
              <w:b/>
              <w:bCs/>
              <w:szCs w:val="24"/>
              <w:lang w:bidi="en-US"/>
            </w:rPr>
            <w:t>LIETUVOS RESPUBLIKOS APLINKOS MINISTRAS</w:t>
          </w:r>
        </w:p>
        <w:p>
          <w:pPr>
            <w:widowControl w:val="0"/>
            <w:suppressAutoHyphens/>
            <w:jc w:val="center"/>
            <w:rPr>
              <w:rFonts w:eastAsia="Andale Sans UI" w:cs="Tahoma"/>
              <w:b/>
              <w:bCs/>
              <w:szCs w:val="24"/>
              <w:lang w:bidi="en-US"/>
            </w:rPr>
          </w:pPr>
        </w:p>
        <w:p>
          <w:pPr>
            <w:widowControl w:val="0"/>
            <w:suppressAutoHyphens/>
            <w:jc w:val="center"/>
            <w:rPr>
              <w:rFonts w:eastAsia="Andale Sans UI" w:cs="Tahoma"/>
              <w:b/>
              <w:bCs/>
              <w:szCs w:val="24"/>
              <w:lang w:bidi="en-US"/>
            </w:rPr>
          </w:pPr>
          <w:r>
            <w:rPr>
              <w:rFonts w:eastAsia="Andale Sans UI" w:cs="Tahoma"/>
              <w:b/>
              <w:bCs/>
              <w:szCs w:val="24"/>
              <w:lang w:bidi="en-US"/>
            </w:rPr>
            <w:t>ĮSAKYMAS</w:t>
          </w:r>
        </w:p>
        <w:p>
          <w:pPr>
            <w:widowControl w:val="0"/>
            <w:suppressAutoHyphens/>
            <w:jc w:val="center"/>
            <w:rPr>
              <w:rFonts w:eastAsia="Andale Sans UI" w:cs="Tahoma"/>
              <w:b/>
              <w:bCs/>
              <w:szCs w:val="24"/>
              <w:lang w:bidi="en-US"/>
            </w:rPr>
          </w:pPr>
          <w:r>
            <w:rPr>
              <w:rFonts w:ascii="Thorndale" w:eastAsia="Andale Sans UI" w:hAnsi="Thorndale" w:cs="Tahoma"/>
              <w:b/>
              <w:bCs/>
              <w:szCs w:val="24"/>
              <w:lang w:bidi="en-US"/>
            </w:rPr>
            <w:t>DĖL VERSLINĖS ŽVEJYBOS ĮRANKIŲ LIMITO 2023</w:t>
          </w:r>
          <w:r>
            <w:rPr>
              <w:rFonts w:ascii="Thorndale" w:eastAsia="Calibri" w:hAnsi="Thorndale" w:cs="Tahoma"/>
              <w:szCs w:val="24"/>
              <w:lang w:eastAsia="lt-LT" w:bidi="en-US"/>
            </w:rPr>
            <w:t>–</w:t>
          </w:r>
          <w:r>
            <w:rPr>
              <w:rFonts w:ascii="Thorndale" w:eastAsia="Andale Sans UI" w:hAnsi="Thorndale" w:cs="Tahoma"/>
              <w:b/>
              <w:bCs/>
              <w:szCs w:val="24"/>
              <w:lang w:bidi="en-US"/>
            </w:rPr>
            <w:t>2027 METAIS KURŠIŲ MARIOSE NUSTATYMO</w:t>
          </w:r>
        </w:p>
        <w:p>
          <w:pPr>
            <w:widowControl w:val="0"/>
            <w:tabs>
              <w:tab w:val="left" w:pos="2037"/>
            </w:tabs>
            <w:suppressAutoHyphens/>
            <w:jc w:val="center"/>
            <w:rPr>
              <w:rFonts w:eastAsia="Andale Sans UI" w:cs="Tahoma"/>
              <w:szCs w:val="24"/>
              <w:lang w:bidi="en-US"/>
            </w:rPr>
          </w:pPr>
        </w:p>
        <w:p>
          <w:pPr>
            <w:widowControl w:val="0"/>
            <w:tabs>
              <w:tab w:val="left" w:pos="2037"/>
            </w:tabs>
            <w:suppressAutoHyphens/>
            <w:jc w:val="center"/>
            <w:rPr>
              <w:rFonts w:eastAsia="Andale Sans UI" w:cs="Tahoma"/>
              <w:szCs w:val="24"/>
              <w:lang w:bidi="en-US"/>
            </w:rPr>
          </w:pPr>
          <w:r>
            <w:rPr>
              <w:rFonts w:eastAsia="Andale Sans UI" w:cs="Tahoma"/>
              <w:szCs w:val="24"/>
              <w:lang w:bidi="en-US"/>
            </w:rPr>
            <w:t>2023 m. sausio 16 d. Nr. D1-18</w:t>
          </w:r>
        </w:p>
        <w:p>
          <w:pPr>
            <w:widowControl w:val="0"/>
            <w:tabs>
              <w:tab w:val="left" w:pos="2037"/>
            </w:tabs>
            <w:suppressAutoHyphens/>
            <w:jc w:val="center"/>
            <w:rPr>
              <w:rFonts w:eastAsia="Andale Sans UI" w:cs="Tahoma"/>
              <w:szCs w:val="24"/>
              <w:lang w:bidi="en-US"/>
            </w:rPr>
          </w:pPr>
          <w:r>
            <w:rPr>
              <w:rFonts w:eastAsia="Andale Sans UI" w:cs="Tahoma"/>
              <w:szCs w:val="24"/>
              <w:lang w:bidi="en-US"/>
            </w:rPr>
            <w:t>Vilnius</w:t>
          </w:r>
        </w:p>
        <w:p>
          <w:pPr>
            <w:widowControl w:val="0"/>
            <w:tabs>
              <w:tab w:val="left" w:pos="2037"/>
            </w:tabs>
            <w:suppressAutoHyphens/>
            <w:jc w:val="center"/>
            <w:rPr>
              <w:rFonts w:eastAsia="Andale Sans UI" w:cs="Tahoma"/>
              <w:szCs w:val="24"/>
              <w:lang w:bidi="en-US"/>
            </w:rPr>
          </w:pPr>
        </w:p>
        <w:sdt>
          <w:sdtPr>
            <w:alias w:val="preambule"/>
            <w:tag w:val="part_7a373808ab57458dbdba874b7b54c7b2"/>
            <w:lock w:val="sdtLocked"/>
            <w:richText/>
          </w:sdtPr>
          <w:sdtContent>
            <w:p>
              <w:pPr>
                <w:widowControl w:val="0"/>
                <w:suppressAutoHyphens/>
                <w:ind w:firstLine="709"/>
                <w:jc w:val="both"/>
                <w:rPr>
                  <w:rFonts w:eastAsia="Courier New" w:cs="Courier New"/>
                  <w:szCs w:val="24"/>
                  <w:lang w:bidi="en-US"/>
                </w:rPr>
              </w:pPr>
              <w:r>
                <w:rPr>
                  <w:rFonts w:eastAsia="Courier New" w:cs="Courier New"/>
                  <w:szCs w:val="24"/>
                  <w:lang w:bidi="en-US"/>
                </w:rPr>
                <w:t>Vadovaudamasis Lietuvos Respublikos žuvininkystės įstatymo 6 straipsnio 3 dalimi ir 14 straipsnio 6 dalimi, atsižvelgdamas į 2023 ir 2024 m. atliktus žuvų išteklių mokslinius tyrimus ir siekdamas apsaugoti ir racionaliai naudoti Kuršių marių žuvų išteklius,</w:t>
              </w:r>
            </w:p>
          </w:sdtContent>
        </w:sdt>
        <w:sdt>
          <w:sdtPr>
            <w:alias w:val="pastraipa"/>
            <w:tag w:val="part_95980b86a56941d18cc2b232d38abc42"/>
            <w:lock w:val="sdtLocked"/>
            <w:richText/>
          </w:sdtPr>
          <w:sdtContent>
            <w:p>
              <w:pPr>
                <w:widowControl w:val="0"/>
                <w:suppressAutoHyphens/>
                <w:ind w:firstLine="709"/>
                <w:jc w:val="both"/>
                <w:rPr>
                  <w:rFonts w:eastAsia="Courier New" w:cs="Courier New"/>
                  <w:szCs w:val="24"/>
                  <w:lang w:bidi="en-US"/>
                </w:rPr>
              </w:pPr>
              <w:r>
                <w:rPr>
                  <w:rFonts w:eastAsia="Courier New" w:cs="Courier New"/>
                  <w:szCs w:val="24"/>
                  <w:lang w:bidi="en-US"/>
                </w:rPr>
                <w:t xml:space="preserve">n u s t a t a u  šiuos Kuršių mariose 2023–2027 metais leidžiamus naudoti žvejybos įrankius:</w:t>
              </w:r>
            </w:p>
          </w:sdtContent>
        </w:sdt>
        <w:sdt>
          <w:sdtPr>
            <w:alias w:val="1 p."/>
            <w:tag w:val="part_d076225886094c179a2df3d0b383483e"/>
            <w:lock w:val="sdtLocked"/>
            <w:richText/>
          </w:sdtPr>
          <w:sdtContent>
            <w:p>
              <w:pPr>
                <w:widowControl w:val="0"/>
                <w:suppressAutoHyphens/>
                <w:ind w:firstLine="709"/>
                <w:jc w:val="both"/>
                <w:rPr>
                  <w:rFonts w:eastAsia="Courier New" w:cs="Courier New"/>
                  <w:szCs w:val="24"/>
                  <w:lang w:bidi="en-US"/>
                </w:rPr>
              </w:pPr>
              <w:sdt>
                <w:sdtPr>
                  <w:alias w:val="Numeris"/>
                  <w:tag w:val="nr_d076225886094c179a2df3d0b383483e"/>
                  <w:lock w:val="sdtLocked"/>
                  <w:richText/>
                </w:sdtPr>
                <w:sdtContent>
                  <w:r>
                    <w:rPr>
                      <w:rFonts w:eastAsia="Courier New" w:cs="Courier New"/>
                      <w:szCs w:val="24"/>
                      <w:lang w:bidi="en-US"/>
                    </w:rPr>
                    <w:t>1</w:t>
                  </w:r>
                </w:sdtContent>
              </w:sdt>
              <w:r>
                <w:rPr>
                  <w:rFonts w:eastAsia="Courier New" w:cs="Courier New"/>
                  <w:szCs w:val="24"/>
                  <w:lang w:bidi="en-US"/>
                </w:rPr>
                <w:t xml:space="preserve">. iki 500 m ilgio traukiamieji tinklai </w:t>
              </w:r>
              <w:r>
                <w:rPr>
                  <w:szCs w:val="24"/>
                  <w:lang w:bidi="en-US"/>
                </w:rPr>
                <w:t>–</w:t>
              </w:r>
              <w:r>
                <w:rPr>
                  <w:rFonts w:eastAsia="Courier New" w:cs="Courier New"/>
                  <w:szCs w:val="24"/>
                  <w:lang w:bidi="en-US"/>
                </w:rPr>
                <w:t xml:space="preserve"> 1 vnt.;</w:t>
              </w:r>
            </w:p>
          </w:sdtContent>
        </w:sdt>
        <w:sdt>
          <w:sdtPr>
            <w:alias w:val="2 p."/>
            <w:tag w:val="part_30b0bbafcd4843698af5362111b4c26c"/>
            <w:lock w:val="sdtLocked"/>
            <w:richText/>
          </w:sdtPr>
          <w:sdtContent>
            <w:p>
              <w:pPr>
                <w:widowControl w:val="0"/>
                <w:suppressAutoHyphens/>
                <w:ind w:firstLine="709"/>
                <w:jc w:val="both"/>
                <w:rPr>
                  <w:rFonts w:eastAsia="Courier New" w:cs="Courier New"/>
                  <w:szCs w:val="24"/>
                  <w:lang w:bidi="en-US"/>
                </w:rPr>
              </w:pPr>
              <w:sdt>
                <w:sdtPr>
                  <w:alias w:val="Numeris"/>
                  <w:tag w:val="nr_30b0bbafcd4843698af5362111b4c26c"/>
                  <w:lock w:val="sdtLocked"/>
                  <w:richText/>
                </w:sdtPr>
                <w:sdtContent>
                  <w:r>
                    <w:rPr>
                      <w:rFonts w:eastAsia="Courier New" w:cs="Courier New"/>
                      <w:szCs w:val="24"/>
                      <w:lang w:bidi="en-US"/>
                    </w:rPr>
                    <w:t>2</w:t>
                  </w:r>
                </w:sdtContent>
              </w:sdt>
              <w:r>
                <w:rPr>
                  <w:rFonts w:eastAsia="Courier New" w:cs="Courier New"/>
                  <w:szCs w:val="24"/>
                  <w:lang w:bidi="en-US"/>
                </w:rPr>
                <w:t>. 45–50 mm akių dydžio statomieji tinklaičiai – 66 vnt.;</w:t>
              </w:r>
            </w:p>
          </w:sdtContent>
        </w:sdt>
        <w:sdt>
          <w:sdtPr>
            <w:alias w:val="3 p."/>
            <w:tag w:val="part_b5ad49ce9eae4fc787776f566dc37236"/>
            <w:lock w:val="sdtLocked"/>
            <w:richText/>
          </w:sdtPr>
          <w:sdtContent>
            <w:p>
              <w:pPr>
                <w:widowControl w:val="0"/>
                <w:suppressAutoHyphens/>
                <w:ind w:firstLine="709"/>
                <w:jc w:val="both"/>
                <w:rPr>
                  <w:rFonts w:eastAsia="Courier New" w:cs="Courier New"/>
                  <w:szCs w:val="24"/>
                  <w:lang w:bidi="en-US"/>
                </w:rPr>
              </w:pPr>
              <w:sdt>
                <w:sdtPr>
                  <w:alias w:val="Numeris"/>
                  <w:tag w:val="nr_b5ad49ce9eae4fc787776f566dc37236"/>
                  <w:lock w:val="sdtLocked"/>
                  <w:richText/>
                </w:sdtPr>
                <w:sdtContent>
                  <w:r>
                    <w:rPr>
                      <w:rFonts w:eastAsia="Courier New" w:cs="Courier New"/>
                      <w:szCs w:val="24"/>
                      <w:lang w:bidi="en-US"/>
                    </w:rPr>
                    <w:t>3</w:t>
                  </w:r>
                </w:sdtContent>
              </w:sdt>
              <w:r>
                <w:rPr>
                  <w:rFonts w:eastAsia="Courier New" w:cs="Courier New"/>
                  <w:szCs w:val="24"/>
                  <w:lang w:bidi="en-US"/>
                </w:rPr>
                <w:t>. 70–80 mm akių dydžio statomieji tinklaičiai – 198 vnt.;</w:t>
              </w:r>
            </w:p>
          </w:sdtContent>
        </w:sdt>
        <w:sdt>
          <w:sdtPr>
            <w:alias w:val="4 p."/>
            <w:tag w:val="part_bad074b14f4b4acb9544313c644ee736"/>
            <w:lock w:val="sdtLocked"/>
            <w:richText/>
          </w:sdtPr>
          <w:sdtContent>
            <w:p>
              <w:pPr>
                <w:widowControl w:val="0"/>
                <w:suppressAutoHyphens/>
                <w:ind w:firstLine="709"/>
                <w:jc w:val="both"/>
                <w:rPr>
                  <w:rFonts w:eastAsia="Courier New" w:cs="Courier New"/>
                  <w:szCs w:val="24"/>
                  <w:lang w:bidi="en-US"/>
                </w:rPr>
              </w:pPr>
              <w:sdt>
                <w:sdtPr>
                  <w:alias w:val="Numeris"/>
                  <w:tag w:val="nr_bad074b14f4b4acb9544313c644ee736"/>
                  <w:lock w:val="sdtLocked"/>
                  <w:richText/>
                </w:sdtPr>
                <w:sdtContent>
                  <w:r>
                    <w:rPr>
                      <w:rFonts w:eastAsia="Courier New" w:cs="Courier New"/>
                      <w:szCs w:val="24"/>
                      <w:lang w:bidi="en-US"/>
                    </w:rPr>
                    <w:t>4</w:t>
                  </w:r>
                </w:sdtContent>
              </w:sdt>
              <w:r>
                <w:rPr>
                  <w:rFonts w:eastAsia="Courier New" w:cs="Courier New"/>
                  <w:szCs w:val="24"/>
                  <w:lang w:bidi="en-US"/>
                </w:rPr>
                <w:t>. marinės gaudyklės – 121 vnt.;</w:t>
              </w:r>
            </w:p>
          </w:sdtContent>
        </w:sdt>
        <w:sdt>
          <w:sdtPr>
            <w:alias w:val="5 p."/>
            <w:tag w:val="part_1c7af429a5604b1ba0272338e3b4a108"/>
            <w:lock w:val="sdtLocked"/>
            <w:richText/>
          </w:sdtPr>
          <w:sdtContent>
            <w:p>
              <w:pPr>
                <w:widowControl w:val="0"/>
                <w:suppressAutoHyphens/>
                <w:ind w:firstLine="709"/>
                <w:jc w:val="both"/>
                <w:rPr>
                  <w:rFonts w:eastAsia="Courier New" w:cs="Courier New"/>
                  <w:szCs w:val="24"/>
                  <w:lang w:bidi="en-US"/>
                </w:rPr>
              </w:pPr>
              <w:sdt>
                <w:sdtPr>
                  <w:alias w:val="Numeris"/>
                  <w:tag w:val="nr_1c7af429a5604b1ba0272338e3b4a108"/>
                  <w:lock w:val="sdtLocked"/>
                  <w:richText/>
                </w:sdtPr>
                <w:sdtContent>
                  <w:r>
                    <w:rPr>
                      <w:rFonts w:eastAsia="Courier New" w:cs="Courier New"/>
                      <w:szCs w:val="24"/>
                      <w:lang w:bidi="en-US"/>
                    </w:rPr>
                    <w:t>5</w:t>
                  </w:r>
                </w:sdtContent>
              </w:sdt>
              <w:r>
                <w:rPr>
                  <w:rFonts w:eastAsia="Courier New" w:cs="Courier New"/>
                  <w:szCs w:val="24"/>
                  <w:lang w:bidi="en-US"/>
                </w:rPr>
                <w:t>. stambiaakės gaudyklės (vartos) – 27 vnt.;</w:t>
              </w:r>
            </w:p>
          </w:sdtContent>
        </w:sdt>
        <w:sdt>
          <w:sdtPr>
            <w:alias w:val="6 p."/>
            <w:tag w:val="part_25fa422eebe440cabe3aee69d86bece3"/>
            <w:lock w:val="sdtLocked"/>
            <w:richText/>
          </w:sdtPr>
          <w:sdtContent>
            <w:p>
              <w:pPr>
                <w:widowControl w:val="0"/>
                <w:suppressAutoHyphens/>
                <w:ind w:firstLine="709"/>
                <w:jc w:val="both"/>
                <w:rPr>
                  <w:rFonts w:eastAsia="Courier New" w:cs="Courier New"/>
                  <w:szCs w:val="24"/>
                  <w:lang w:bidi="en-US"/>
                </w:rPr>
              </w:pPr>
              <w:sdt>
                <w:sdtPr>
                  <w:alias w:val="Numeris"/>
                  <w:tag w:val="nr_25fa422eebe440cabe3aee69d86bece3"/>
                  <w:lock w:val="sdtLocked"/>
                  <w:richText/>
                </w:sdtPr>
                <w:sdtContent>
                  <w:r>
                    <w:rPr>
                      <w:rFonts w:eastAsia="Courier New" w:cs="Courier New"/>
                      <w:szCs w:val="24"/>
                      <w:lang w:bidi="en-US"/>
                    </w:rPr>
                    <w:t>6</w:t>
                  </w:r>
                </w:sdtContent>
              </w:sdt>
              <w:r>
                <w:rPr>
                  <w:rFonts w:eastAsia="Courier New" w:cs="Courier New"/>
                  <w:szCs w:val="24"/>
                  <w:lang w:bidi="en-US"/>
                </w:rPr>
                <w:t>. nėgių gaudyklės – 26 vnt. Vietoj nėgių gaudyklių nėgėms gaudyti leidžiama naudoti atitinkamą skaičių stintų gaudyklių;</w:t>
              </w:r>
            </w:p>
          </w:sdtContent>
        </w:sdt>
        <w:sdt>
          <w:sdtPr>
            <w:alias w:val="7 p."/>
            <w:tag w:val="part_fba9a4f853b9489dbed1ec2039e348fe"/>
            <w:lock w:val="sdtLocked"/>
            <w:richText/>
          </w:sdtPr>
          <w:sdtContent>
            <w:p>
              <w:pPr>
                <w:widowControl w:val="0"/>
                <w:suppressAutoHyphens/>
                <w:ind w:firstLine="709"/>
                <w:jc w:val="both"/>
                <w:rPr>
                  <w:rFonts w:eastAsia="Courier New" w:cs="Courier New"/>
                  <w:szCs w:val="24"/>
                  <w:lang w:bidi="en-US"/>
                </w:rPr>
              </w:pPr>
              <w:sdt>
                <w:sdtPr>
                  <w:alias w:val="Numeris"/>
                  <w:tag w:val="nr_fba9a4f853b9489dbed1ec2039e348fe"/>
                  <w:lock w:val="sdtLocked"/>
                  <w:richText/>
                </w:sdtPr>
                <w:sdtContent>
                  <w:r>
                    <w:rPr>
                      <w:rFonts w:eastAsia="Courier New" w:cs="Courier New"/>
                      <w:szCs w:val="24"/>
                      <w:lang w:bidi="en-US"/>
                    </w:rPr>
                    <w:t>7</w:t>
                  </w:r>
                </w:sdtContent>
              </w:sdt>
              <w:r>
                <w:rPr>
                  <w:rFonts w:eastAsia="Courier New" w:cs="Courier New"/>
                  <w:szCs w:val="24"/>
                  <w:lang w:bidi="en-US"/>
                </w:rPr>
                <w:t>. stintų gaudyklės – 54 vnt. Vietoj stintų gaudyklių stintoms gaudyti leidžiama naudoti atitinkamą skaičių nėgių gaudyklių;</w:t>
              </w:r>
            </w:p>
          </w:sdtContent>
        </w:sdt>
        <w:sdt>
          <w:sdtPr>
            <w:alias w:val="8 p."/>
            <w:tag w:val="part_2111fed494ab4dc8ac7532f220963234"/>
            <w:lock w:val="sdtLocked"/>
            <w:richText/>
          </w:sdtPr>
          <w:sdtContent>
            <w:p>
              <w:pPr>
                <w:widowControl w:val="0"/>
                <w:suppressAutoHyphens/>
                <w:ind w:firstLine="709"/>
                <w:jc w:val="both"/>
              </w:pPr>
              <w:sdt>
                <w:sdtPr>
                  <w:alias w:val="Numeris"/>
                  <w:tag w:val="nr_2111fed494ab4dc8ac7532f220963234"/>
                  <w:lock w:val="sdtLocked"/>
                  <w:richText/>
                </w:sdtPr>
                <w:sdtContent>
                  <w:r>
                    <w:rPr>
                      <w:rFonts w:eastAsia="Courier New" w:cs="Courier New"/>
                      <w:szCs w:val="24"/>
                      <w:lang w:bidi="en-US"/>
                    </w:rPr>
                    <w:t>8</w:t>
                  </w:r>
                </w:sdtContent>
              </w:sdt>
              <w:r>
                <w:rPr>
                  <w:rFonts w:eastAsia="Courier New" w:cs="Courier New"/>
                  <w:szCs w:val="24"/>
                  <w:lang w:bidi="en-US"/>
                </w:rPr>
                <w:t>. stintiniai tinklaičiai – 229 vnt.</w:t>
              </w:r>
              <w:r>
                <w:t xml:space="preserve"> </w:t>
              </w:r>
            </w:p>
          </w:sdtContent>
        </w:sdt>
        <w:sdt>
          <w:sdtPr>
            <w:alias w:val="signatura"/>
            <w:tag w:val="part_6d21a075e8c4447880defe26fb6400c9"/>
            <w:lock w:val="sdtLocked"/>
            <w:richText/>
          </w:sdtPr>
          <w:sdtContent>
            <w:p>
              <w:pPr>
                <w:widowControl w:val="0"/>
                <w:suppressAutoHyphens/>
                <w:ind w:firstLine="720"/>
                <w:jc w:val="both"/>
                <w:rPr>
                  <w:rFonts w:eastAsia="Courier New"/>
                  <w:szCs w:val="24"/>
                  <w:lang w:bidi="en-US"/>
                </w:rPr>
              </w:pPr>
            </w:p>
            <w:p>
              <w:pPr>
                <w:widowControl w:val="0"/>
                <w:suppressAutoHyphens/>
                <w:ind w:firstLine="720"/>
                <w:jc w:val="both"/>
                <w:rPr>
                  <w:rFonts w:eastAsia="Courier New"/>
                  <w:szCs w:val="24"/>
                  <w:lang w:bidi="en-US"/>
                </w:rPr>
              </w:pPr>
            </w:p>
            <w:p>
              <w:pPr>
                <w:widowControl w:val="0"/>
                <w:suppressAutoHyphens/>
                <w:ind w:firstLine="720"/>
                <w:jc w:val="both"/>
                <w:rPr>
                  <w:rFonts w:eastAsia="Courier New"/>
                  <w:szCs w:val="24"/>
                  <w:lang w:bidi="en-US"/>
                </w:rPr>
              </w:pPr>
            </w:p>
            <w:p>
              <w:pPr>
                <w:widowControl w:val="0"/>
                <w:suppressAutoHyphens/>
                <w:jc w:val="both"/>
                <w:rPr>
                  <w:rFonts w:eastAsia="Andale Sans UI"/>
                  <w:szCs w:val="24"/>
                  <w:lang w:bidi="en-US"/>
                </w:rPr>
              </w:pPr>
              <w:r>
                <w:rPr>
                  <w:rFonts w:eastAsia="Andale Sans UI" w:cs="Tahoma"/>
                  <w:szCs w:val="24"/>
                  <w:lang w:bidi="en-US"/>
                </w:rPr>
                <w:t xml:space="preserve">Aplinkos ministras </w:t>
                <w:tab/>
                <w:tab/>
                <w:tab/>
                <w:tab/>
                <w:tab/>
                <w:tab/>
                <w:tab/>
                <w:tab/>
                <w:tab/>
                <w:t>Simonas Gentvilas</w:t>
              </w:r>
            </w:p>
            <w:p>
              <w:pPr>
                <w:widowControl w:val="0"/>
                <w:suppressAutoHyphens/>
                <w:rPr>
                  <w:rFonts w:eastAsia="Andale Sans UI"/>
                  <w:szCs w:val="24"/>
                  <w:lang w:bidi="en-US"/>
                </w:rPr>
              </w:pPr>
            </w:p>
          </w:sdtContent>
        </w:sdt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aplinkos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b5700411e30a11ef84c3a3cb4f439b27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D1-12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2025-02-04,
paskelbta TAR 2025-02-05, i. k. 2025-01750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aplinkos ministro 2023 m. sausio 16 d. įsakymo Nr. D1-18 „Dėl verslinės žvejybos įrankių limito 2023–2027 metais Kuršių mariose nustatymo“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aplinkos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d9a5161e62111f08918e1adc7c5b1e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D1-217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2025-12-31,
paskelbta TAR 2025-12-31, i. k. 2025-23124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aplinkos ministro 2023 m. sausio 16 d. įsakymo Nr. D1-18 „Dėl verslinės žvejybos įrankių limito 2023–2027 metais Kuršių mariose nustatymo“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pgSz w:w="11905" w:h="16837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ndale Sans UI">
    <w:altName w:val="Times New Roman"/>
    <w:charset w:val="BA"/>
    <w:family w:val="swiss"/>
    <w:pitch w:val="variable"/>
    <w:sig w:usb0="00000007" w:usb1="00000000" w:usb2="00000000" w:usb3="00000000" w:csb0="00000081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horndale">
    <w:altName w:val="Times New Roman"/>
    <w:charset w:val="BA"/>
    <w:family w:val="roman"/>
    <w:pitch w:val="variable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62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396"/>
  <w:doNotHyphenateCaps/>
  <w:defaultTableStyle w:val="prastasis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6A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7EADA4AE"/>
  <w15:docId w15:val="{A9768635-91D7-412D-83F3-51C3009CFCDA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0ba61670053e4659b8a7d81182477cc4" PartId="e5002659025947259c6c1dacbce9f4a7">
    <Part Type="preambule" DocPartId="af995bb4a5d343da9e18a81390ebf287" PartId="7a373808ab57458dbdba874b7b54c7b2"/>
    <Part Type="pastraipa" DocPartId="84c9609464f54b4c84313c49cc9b7406" PartId="95980b86a56941d18cc2b232d38abc42"/>
    <Part Type="punktas" Nr="1" Abbr="1 p." DocPartId="68e0e1b4cf214701bc9b12a2313b6848" PartId="d076225886094c179a2df3d0b383483e"/>
    <Part Type="punktas" Nr="2" Abbr="2 p." DocPartId="7a2e77b6948b4a2fad2e54bb2c84e51e" PartId="30b0bbafcd4843698af5362111b4c26c"/>
    <Part Type="punktas" Nr="3" Abbr="3 p." DocPartId="89dc208380084e618b244c8cdfd5a1bc" PartId="b5ad49ce9eae4fc787776f566dc37236"/>
    <Part Type="punktas" Nr="4" Abbr="4 p." DocPartId="b65fad8debbf4697b6fc1f06d34c0b66" PartId="bad074b14f4b4acb9544313c644ee736"/>
    <Part Type="punktas" Nr="5" Abbr="5 p." DocPartId="7e7c6f23c00f4c60940c79fa0ade296d" PartId="1c7af429a5604b1ba0272338e3b4a108"/>
    <Part Type="punktas" Nr="6" Abbr="6 p." DocPartId="aeffbf0642d44859a19fed4a084a5a09" PartId="25fa422eebe440cabe3aee69d86bece3"/>
    <Part Type="punktas" Nr="7" Abbr="7 p." DocPartId="85d2d9d8e28b4e39a04d6b47b06bb27d" PartId="fba9a4f853b9489dbed1ec2039e348fe"/>
    <Part Type="punktas" Nr="8" Abbr="8 p." DocPartId="c073cac952834206ad4006e2b1b86508" PartId="2111fed494ab4dc8ac7532f220963234"/>
    <Part Type="signatura" DocPartId="45ccc5934d2d442db92ceccb3359d152" PartId="6d21a075e8c4447880defe26fb6400c9"/>
  </Part>
</Parts>
</file>

<file path=customXml/itemProps1.xml><?xml version="1.0" encoding="utf-8"?>
<ds:datastoreItem xmlns:ds="http://schemas.openxmlformats.org/officeDocument/2006/customXml" ds:itemID="{D1073419-3526-418C-9E77-60A3752C48A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3</TotalTime>
  <Pages>2</Pages>
  <Words>1463</Words>
  <Characters>835</Characters>
  <Application>Microsoft Office Word</Application>
  <DocSecurity>0</DocSecurity>
  <Lines>6</Lines>
  <Paragraphs>4</Paragraphs>
  <ScaleCrop>false</ScaleCrop>
  <HeadingPairs>
    <vt:vector xmlns:vt="http://schemas.openxmlformats.org/officeDocument/2006/docPropsVTypes" size="2" baseType="variant"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>Hewlett-Packard Company</Company>
  <LinksUpToDate>false</LinksUpToDate>
  <CharactersWithSpaces>2294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2023-01-16T09:02:00Z</dcterms:created>
  <dc:creator>G-Ladukas</dc:creator>
  <lastModifiedBy>JUOSPONIENĖ Karolina</lastModifiedBy>
  <lastPrinted>2018-11-14T07:33:00Z</lastPrinted>
  <dcterms:modified xsi:type="dcterms:W3CDTF">2026-01-02T12:13:00Z</dcterms:modified>
  <revision>7</revision>
</coreProperties>
</file>