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1225775a7d24c2b93fe0b6c46a31f87"/>
        <w:lock w:val="sdtLocked"/>
        <w:richText/>
      </w:sdtPr>
      <w:sdtContent>
        <w:p>
          <w:pPr>
            <w:jc w:val="both"/>
            <w:rPr>
              <w:rFonts w:ascii="Times New Roman" w:hAnsi="Times New Roman"/>
            </w:rPr>
          </w:pPr>
          <w:r>
            <w:rPr>
              <w:rFonts w:ascii="Times New Roman" w:hAnsi="Times New Roman"/>
              <w:b/>
              <w:i/>
            </w:rPr>
            <w:t>Suvestinė redakcija nuo 2019-05-16 iki 2020-12-04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2016-07-21:</w:t>
          </w:r>
        </w:p>
        <w:p>
          <w:pPr>
            <w:rPr>
              <w:rFonts w:ascii="Times New Roman" w:hAnsi="Times New Roman"/>
              <w:sz w:val="20"/>
              <w:i/>
            </w:rPr>
          </w:pPr>
          <w:r>
            <w:rPr>
              <w:rFonts w:ascii="Times New Roman" w:hAnsi="Times New Roman"/>
              <w:sz w:val="20"/>
              <w:i/>
            </w:rPr>
            <w:t xml:space="preserve">Nr. </w:t>
          </w:r>
          <w:fldSimple w:instr="HYPERLINK https://www.e-tar.lt/portal/legalAct.html?documentId=8c465fe04e3e11e6b72ff16034f7f796">
            <w:r w:rsidRPr="00532B9F">
              <w:rPr>
                <w:rFonts w:ascii="Times New Roman" w:eastAsia="MS Mincho" w:hAnsi="Times New Roman"/>
                <w:sz w:val="20"/>
                <w:i/>
                <w:iCs/>
                <w:color w:val="0000FF" w:themeColor="hyperlink"/>
                <w:u w:val="single"/>
              </w:rPr>
              <w:t>1V-503</w:t>
            </w:r>
          </w:fldSimple>
          <w:r>
            <w:rPr>
              <w:rFonts w:ascii="Times New Roman" w:eastAsia="MS Mincho" w:hAnsi="Times New Roman"/>
              <w:sz w:val="20"/>
              <w:i/>
              <w:iCs/>
            </w:rPr>
            <w:t>,
2016-07-20,
paskelbta TAR 2016-07-20, i. k. 2016-20812                </w:t>
          </w:r>
        </w:p>
        <w:p>
          <w:pPr>
            <w:rPr>
              <w:rFonts w:ascii="Times New Roman" w:hAnsi="Times New Roman"/>
              <w:sz w:val="22"/>
            </w:rPr>
          </w:pPr>
        </w:p>
        <w:p>
          <w:pPr>
            <w:jc w:val="center"/>
            <w:rPr>
              <w:szCs w:val="24"/>
              <w:lang w:eastAsia="lt-LT"/>
            </w:rPr>
          </w:pPr>
          <w:r>
            <w:rPr>
              <w:b/>
              <w:bCs/>
              <w:szCs w:val="24"/>
              <w:lang w:eastAsia="lt-LT"/>
            </w:rPr>
            <w:t>LIETUVOS RESPUBLIKOS VIDAUS REIKALŲ MINISTRAS</w:t>
          </w:r>
        </w:p>
        <w:p>
          <w:pPr>
            <w:jc w:val="center"/>
            <w:rPr>
              <w:b/>
              <w:bCs/>
              <w:szCs w:val="24"/>
              <w:lang w:eastAsia="lt-LT"/>
            </w:rPr>
          </w:pPr>
        </w:p>
        <w:p>
          <w:pPr>
            <w:jc w:val="center"/>
            <w:rPr>
              <w:szCs w:val="24"/>
              <w:lang w:eastAsia="lt-LT"/>
            </w:rPr>
          </w:pPr>
          <w:r>
            <w:rPr>
              <w:b/>
              <w:bCs/>
              <w:szCs w:val="24"/>
              <w:lang w:eastAsia="lt-LT"/>
            </w:rPr>
            <w:t>ĮSAKYMAS</w:t>
          </w:r>
        </w:p>
        <w:p>
          <w:pPr>
            <w:jc w:val="center"/>
            <w:rPr>
              <w:b/>
              <w:szCs w:val="24"/>
              <w:lang w:eastAsia="lt-LT"/>
            </w:rPr>
          </w:pPr>
          <w:r>
            <w:rPr>
              <w:b/>
              <w:bCs/>
              <w:szCs w:val="24"/>
              <w:lang w:eastAsia="lt-LT"/>
            </w:rPr>
            <w:t xml:space="preserve">DĖL </w:t>
          </w:r>
          <w:r>
            <w:rPr>
              <w:b/>
            </w:rPr>
            <w:t>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w:t>
          </w:r>
          <w:r>
            <w:rPr>
              <w:b/>
              <w:szCs w:val="24"/>
              <w:lang w:eastAsia="lt-LT"/>
            </w:rPr>
            <w:t> </w:t>
          </w:r>
        </w:p>
        <w:p>
          <w:pPr>
            <w:jc w:val="center"/>
            <w:rPr>
              <w:szCs w:val="24"/>
              <w:lang w:eastAsia="lt-LT"/>
            </w:rPr>
          </w:pPr>
        </w:p>
        <w:p>
          <w:pPr>
            <w:jc w:val="center"/>
            <w:rPr>
              <w:szCs w:val="24"/>
              <w:lang w:eastAsia="lt-LT"/>
            </w:rPr>
          </w:pPr>
          <w:r>
            <w:rPr>
              <w:szCs w:val="24"/>
              <w:lang w:eastAsia="lt-LT"/>
            </w:rPr>
            <w:t>2015 m. rugsėjo 30 d. Nr. 1V-762</w:t>
          </w:r>
        </w:p>
        <w:p>
          <w:pPr>
            <w:jc w:val="center"/>
            <w:rPr>
              <w:szCs w:val="24"/>
              <w:lang w:eastAsia="lt-LT"/>
            </w:rPr>
          </w:pPr>
          <w:r>
            <w:rPr>
              <w:szCs w:val="24"/>
              <w:lang w:eastAsia="lt-LT"/>
            </w:rPr>
            <w:t>Vilnius</w:t>
          </w:r>
        </w:p>
        <w:p>
          <w:pPr>
            <w:jc w:val="center"/>
            <w:rPr>
              <w:szCs w:val="24"/>
              <w:lang w:eastAsia="lt-LT"/>
            </w:rPr>
          </w:pPr>
        </w:p>
        <w:sdt>
          <w:sdtPr>
            <w:alias w:val="preambule"/>
            <w:tag w:val="part_5f66de823d0c4425853881eb2cac0d00"/>
            <w:lock w:val="sdtLocked"/>
            <w:richText/>
          </w:sdtPr>
          <w:sdtContent>
            <w:p>
              <w:pPr>
                <w:ind w:firstLine="709"/>
                <w:jc w:val="both"/>
                <w:rPr>
                  <w:szCs w:val="24"/>
                  <w:lang w:eastAsia="lt-LT"/>
                </w:rPr>
              </w:pPr>
              <w:r>
                <w:rPr>
                  <w:szCs w:val="24"/>
                  <w:lang w:eastAsia="lt-LT"/>
                </w:rPr>
                <w:t>Vadovaudamasis Lietuvos Respublikos vidaus tarnybos statuto 60 straipsnio 2 dalimi ir įgyvendindamas Lietuvos Respublikos Vyriausybės 2018 m. gruodžio 12 d. nutarimo Nr. 1300 „</w:t>
              </w:r>
              <w:r>
                <w:t>Dėl Lietuvos Respublikos vidaus tarnybos statuto įgyvendinimo</w:t>
              </w:r>
              <w:r>
                <w:rPr>
                  <w:szCs w:val="24"/>
                  <w:lang w:eastAsia="lt-LT"/>
                </w:rPr>
                <w:t>“ 2.2 papunktį:</w:t>
              </w:r>
            </w:p>
          </w:sdtContent>
        </w:sdt>
        <w:sdt>
          <w:sdtPr>
            <w:alias w:val="pastraipa"/>
            <w:tag w:val="part_6eb15949566d4d5f842d7201083aa1b0"/>
            <w:lock w:val="sdtLocked"/>
            <w:richText/>
          </w:sdtPr>
          <w:sdtContent>
            <w:p>
              <w:pPr>
                <w:ind w:firstLine="771"/>
                <w:jc w:val="both"/>
              </w:pPr>
              <w:r>
                <w:rPr>
                  <w:spacing w:val="60"/>
                </w:rPr>
                <w:t xml:space="preserve">Tvirtinu </w:t>
              </w:r>
              <w: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w:t>
              </w:r>
              <w:r>
                <w:rPr>
                  <w:szCs w:val="24"/>
                  <w:lang w:eastAsia="lt-LT"/>
                </w:rPr>
                <w:t>aprašą (pridedama).</w:t>
              </w:r>
            </w:p>
          </w:sdtContent>
        </w:sdt>
        <w:sdt>
          <w:sdtPr>
            <w:alias w:val="signatura"/>
            <w:tag w:val="part_0b72c9e323dc4bafb2633aa0d30cb310"/>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rPr>
                  <w:rFonts w:ascii="Calibri" w:eastAsia="Calibri" w:hAnsi="Calibri"/>
                  <w:sz w:val="22"/>
                  <w:szCs w:val="22"/>
                </w:rPr>
              </w:pPr>
              <w:r>
                <w:rPr>
                  <w:rFonts w:eastAsia="Calibri"/>
                  <w:szCs w:val="24"/>
                </w:rPr>
                <w:t>2015 m. rugsėjo 23 d.</w:t>
                <w:tab/>
                <w:tab/>
                <w:tab/>
                <w:tab/>
                <w:t xml:space="preserve">    2015 m. rugsėjo 30 d.</w:t>
              </w:r>
            </w:p>
          </w:sdtContent>
        </w:sdt>
        <w:p/>
      </w:sdtContent>
    </w:sdt>
    <w:sdt>
      <w:sdtPr>
        <w:alias w:val="patvirtinta"/>
        <w:tag w:val="part_ab26832f2b1345e7be2353faa123df8c"/>
        <w:lock w:val="sdtLocked"/>
        <w:richText/>
      </w:sdtPr>
      <w:sdtContent>
        <w:p>
          <w:pPr>
            <w:ind w:left="3888" w:firstLine="1296"/>
            <w:sectPr>
              <w:headerReference w:type="even" r:id="rId17"/>
              <w:headerReference w:type="default" r:id="rId18"/>
              <w:footerReference w:type="even" r:id="rId19"/>
              <w:footerReference w:type="default" r:id="rId20"/>
              <w:headerReference w:type="first" r:id="rId21"/>
              <w:footerReference w:type="first" r:id="rId22"/>
              <w:pgSz w:w="11906" w:h="16838"/>
              <w:pgMar w:top="1135" w:right="567" w:bottom="1134" w:left="1701" w:header="571" w:footer="567" w:gutter="0"/>
              <w:pgNumType w:start="1"/>
              <w:cols w:space="1296"/>
              <w:titlePg/>
              <w:docGrid w:linePitch="360"/>
            </w:sectPr>
          </w:pPr>
        </w:p>
        <w:p>
          <w:pPr>
            <w:ind w:left="5103"/>
            <w:rPr>
              <w:caps/>
              <w:szCs w:val="24"/>
            </w:rPr>
          </w:pPr>
          <w:r>
            <w:rPr>
              <w:caps/>
              <w:szCs w:val="24"/>
            </w:rPr>
            <w:t>Patvirtinta</w:t>
          </w:r>
        </w:p>
        <w:p>
          <w:pPr>
            <w:ind w:left="5103"/>
            <w:rPr>
              <w:szCs w:val="24"/>
            </w:rPr>
          </w:pPr>
          <w:r>
            <w:rPr>
              <w:szCs w:val="24"/>
            </w:rPr>
            <w:t>Lietuvos Respublikos vidaus reikalų ministro</w:t>
          </w:r>
        </w:p>
        <w:p>
          <w:pPr>
            <w:ind w:left="5103"/>
            <w:rPr>
              <w:szCs w:val="24"/>
            </w:rPr>
          </w:pPr>
          <w:r>
            <w:rPr>
              <w:szCs w:val="24"/>
            </w:rPr>
            <w:t>2015 m. rugsėjo 30 d. įsakymu Nr. 1V-762</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(Lietuvos Respublikos vidaus reikalų</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ministro 2019 m. gegužės 15 d.</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 xml:space="preserve">įsakymo Nr. 1V-456 redakcija) </w:t>
          </w:r>
        </w:p>
        <w:p>
          <w:pPr>
            <w:jc w:val="center"/>
            <w:rPr>
              <w:b/>
              <w:szCs w:val="24"/>
            </w:rPr>
          </w:pPr>
        </w:p>
        <w:p>
          <w:pPr>
            <w:jc w:val="center"/>
            <w:rPr>
              <w:b/>
              <w:szCs w:val="24"/>
            </w:rPr>
          </w:pPr>
        </w:p>
        <w:p>
          <w:pPr>
            <w:jc w:val="center"/>
            <w:rPr>
              <w:b/>
              <w:szCs w:val="24"/>
            </w:rPr>
          </w:pPr>
          <w:sdt>
            <w:sdtPr>
              <w:alias w:val="Pavadinimas"/>
              <w:tag w:val="title_ab26832f2b1345e7be2353faa123df8c"/>
              <w:lock w:val="sdtLocked"/>
              <w:richText/>
            </w:sdtPr>
            <w:sdtContent>
              <w:r>
                <w:rPr>
                  <w:b/>
                  <w:szCs w:val="24"/>
                </w:rP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w:t>
              </w:r>
            </w:sdtContent>
          </w:sdt>
        </w:p>
        <w:p>
          <w:pPr/>
        </w:p>
        <w:sdt>
          <w:sdtPr>
            <w:alias w:val="skyrius"/>
            <w:tag w:val="part_58946472d01c479681a3e1e82f57f55c"/>
            <w:lock w:val="sdtLocked"/>
            <w:richText/>
          </w:sdtPr>
          <w:sdtContent>
            <w:p>
              <w:pPr>
                <w:spacing w:line="276" w:lineRule="auto"/>
                <w:jc w:val="center"/>
                <w:rPr>
                  <w:b/>
                  <w:caps/>
                  <w:szCs w:val="24"/>
                </w:rPr>
              </w:pPr>
              <w:sdt>
                <w:sdtPr>
                  <w:alias w:val="Numeris"/>
                  <w:tag w:val="nr_58946472d01c479681a3e1e82f57f55c"/>
                  <w:lock w:val="sdtLocked"/>
                  <w:richText/>
                </w:sdtPr>
                <w:sdtContent>
                  <w:r>
                    <w:rPr>
                      <w:b/>
                      <w:caps/>
                      <w:szCs w:val="24"/>
                    </w:rPr>
                    <w:t>I</w:t>
                  </w:r>
                </w:sdtContent>
              </w:sdt>
              <w:r>
                <w:rPr>
                  <w:b/>
                  <w:caps/>
                  <w:szCs w:val="24"/>
                </w:rPr>
                <w:t xml:space="preserve"> SKYRIUS</w:t>
              </w:r>
            </w:p>
            <w:p>
              <w:pPr>
                <w:spacing w:line="276" w:lineRule="auto"/>
                <w:jc w:val="center"/>
                <w:rPr>
                  <w:b/>
                  <w:caps/>
                  <w:szCs w:val="24"/>
                </w:rPr>
              </w:pPr>
              <w:sdt>
                <w:sdtPr>
                  <w:alias w:val="Pavadinimas"/>
                  <w:tag w:val="title_58946472d01c479681a3e1e82f57f55c"/>
                  <w:lock w:val="sdtLocked"/>
                  <w:richText/>
                </w:sdtPr>
                <w:sdtContent>
                  <w:r>
                    <w:rPr>
                      <w:b/>
                      <w:caps/>
                      <w:szCs w:val="24"/>
                    </w:rPr>
                    <w:t>bendrosios nuostatos</w:t>
                  </w:r>
                </w:sdtContent>
              </w:sdt>
            </w:p>
            <w:p>
              <w:pPr>
                <w:tabs>
                  <w:tab w:val="left" w:pos="0"/>
                  <w:tab w:val="left" w:pos="993"/>
                </w:tabs>
                <w:spacing w:line="252" w:lineRule="auto"/>
                <w:ind w:firstLine="709"/>
                <w:jc w:val="both"/>
                <w:rPr>
                  <w:szCs w:val="24"/>
                  <w:lang w:eastAsia="lt-LT"/>
                </w:rPr>
              </w:pPr>
            </w:p>
            <w:sdt>
              <w:sdtPr>
                <w:alias w:val="1 p."/>
                <w:tag w:val="part_12ca6b4ac33c46c9b10d492044cbd572"/>
                <w:lock w:val="sdtLocked"/>
                <w:richText/>
              </w:sdtPr>
              <w:sdtContent>
                <w:p>
                  <w:pPr>
                    <w:tabs>
                      <w:tab w:val="left" w:pos="0"/>
                      <w:tab w:val="left" w:pos="993"/>
                    </w:tabs>
                    <w:ind w:firstLine="709"/>
                    <w:jc w:val="both"/>
                    <w:rPr>
                      <w:szCs w:val="24"/>
                      <w:lang w:eastAsia="lt-LT"/>
                    </w:rPr>
                  </w:pPr>
                  <w:sdt>
                    <w:sdtPr>
                      <w:alias w:val="Numeris"/>
                      <w:tag w:val="nr_12ca6b4ac33c46c9b10d492044cbd572"/>
                      <w:lock w:val="sdtLocked"/>
                      <w:richText/>
                    </w:sdtPr>
                    <w:sdtContent>
                      <w:r>
                        <w:rPr>
                          <w:szCs w:val="24"/>
                          <w:lang w:eastAsia="lt-LT"/>
                        </w:rPr>
                        <w:t>1</w:t>
                      </w:r>
                    </w:sdtContent>
                  </w:sdt>
                  <w:r>
                    <w:rPr>
                      <w:szCs w:val="24"/>
                      <w:lang w:eastAsia="lt-LT"/>
                    </w:rPr>
                    <w:t xml:space="preserve">. </w:t>
                  </w:r>
                  <w:r>
                    <w:rPr>
                      <w:szCs w:val="24"/>
                    </w:rPr>
                    <w:t xml:space="preserv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(toliau – aprašas) reglamentuoja vidaus tarnybos sistemos pareigūnų (toliau – pareigūnai) ir buvusių pareigūnų – pareigūnų ir karių valstybinių pensijų gavėjų (toliau – buvę pareigūnai) medicininės reabilitacijos, prevencinės, postvencinės medicininės ir psichologinės reabilitacijos, sveikatos grąžinamojo, antirecidyvinio gydymo įstaigose, kurių savininko teises ir pareigas įgyvendina Lietuvos Respublikos vidaus reikalų ministerija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af3c48148c3b43b99df25e4ae38e2903"/>
                <w:lock w:val="sdtLocked"/>
                <w:richText/>
              </w:sdtPr>
              <w:sdtContent>
                <w:p>
                  <w:pPr>
                    <w:widowControl w:val="0"/>
                    <w:tabs>
                      <w:tab w:val="left" w:pos="865"/>
                    </w:tabs>
                    <w:ind w:firstLine="709"/>
                    <w:jc w:val="both"/>
                    <w:rPr>
                      <w:szCs w:val="24"/>
                      <w:lang w:eastAsia="lt-LT"/>
                    </w:rPr>
                  </w:pPr>
                  <w:sdt>
                    <w:sdtPr>
                      <w:alias w:val="Numeris"/>
                      <w:tag w:val="nr_af3c48148c3b43b99df25e4ae38e2903"/>
                      <w:lock w:val="sdtLocked"/>
                      <w:richText/>
                    </w:sdtPr>
                    <w:sdtContent>
                      <w:r>
                        <w:rPr>
                          <w:szCs w:val="24"/>
                          <w:lang w:eastAsia="lt-LT"/>
                        </w:rPr>
                        <w:t>2</w:t>
                      </w:r>
                    </w:sdtContent>
                  </w:sdt>
                  <w:r>
                    <w:rPr>
                      <w:szCs w:val="24"/>
                      <w:lang w:eastAsia="lt-LT"/>
                    </w:rPr>
                    <w:t>. Aprašas nereglamentuoja pareigūnų ir buvusių pareigūnų (toliau kartu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Nr. V-50 „Dėl medicininės reabilitacijos ir sanatorinio (antirecidyvinio) gydymo organizavimo“ (toliau – Suaugusiųjų atrankos, siuntimo ir medicininės reabilitacijos tvarka), paslaugų organizavimo ir apmokėjimo.</w:t>
                  </w:r>
                </w:p>
              </w:sdtContent>
            </w:sdt>
            <w:sdt>
              <w:sdtPr>
                <w:alias w:val="3 p."/>
                <w:tag w:val="part_c56c008fcae244059bf04250ea22c414"/>
                <w:lock w:val="sdtLocked"/>
                <w:richText/>
              </w:sdtPr>
              <w:sdtContent>
                <w:p>
                  <w:pPr>
                    <w:widowControl w:val="0"/>
                    <w:tabs>
                      <w:tab w:val="left" w:pos="865"/>
                    </w:tabs>
                    <w:ind w:firstLine="709"/>
                    <w:jc w:val="both"/>
                    <w:rPr>
                      <w:szCs w:val="24"/>
                      <w:lang w:eastAsia="lt-LT"/>
                    </w:rPr>
                  </w:pPr>
                  <w:sdt>
                    <w:sdtPr>
                      <w:alias w:val="Numeris"/>
                      <w:tag w:val="nr_c56c008fcae244059bf04250ea22c414"/>
                      <w:lock w:val="sdtLocked"/>
                      <w:richText/>
                    </w:sdtPr>
                    <w:sdtContent>
                      <w:r>
                        <w:rPr>
                          <w:szCs w:val="24"/>
                          <w:lang w:eastAsia="lt-LT"/>
                        </w:rPr>
                        <w:t>3</w:t>
                      </w:r>
                    </w:sdtContent>
                  </w:sdt>
                  <w:r>
                    <w:rPr>
                      <w:szCs w:val="24"/>
                      <w:lang w:eastAsia="lt-LT"/>
                    </w:rPr>
                    <w:t>. Apraše vartojamos sąvokos:</w:t>
                  </w:r>
                </w:p>
                <w:sdt>
                  <w:sdtPr>
                    <w:alias w:val="3.1 pp."/>
                    <w:tag w:val="part_df42b37dbce14ee0865eb67257c1e6c6"/>
                    <w:lock w:val="sdtLocked"/>
                    <w:richText/>
                  </w:sdtPr>
                  <w:sdtContent>
                    <w:p>
                      <w:pPr>
                        <w:widowControl w:val="0"/>
                        <w:tabs>
                          <w:tab w:val="left" w:pos="865"/>
                          <w:tab w:val="left" w:pos="1605"/>
                        </w:tabs>
                        <w:ind w:firstLine="709"/>
                        <w:jc w:val="both"/>
                        <w:rPr>
                          <w:szCs w:val="24"/>
                          <w:lang w:eastAsia="lt-LT"/>
                        </w:rPr>
                      </w:pPr>
                      <w:sdt>
                        <w:sdtPr>
                          <w:alias w:val="Numeris"/>
                          <w:tag w:val="nr_df42b37dbce14ee0865eb67257c1e6c6"/>
                          <w:lock w:val="sdtLocked"/>
                          <w:richText/>
                        </w:sdtPr>
                        <w:sdtContent>
                          <w:r>
                            <w:rPr>
                              <w:szCs w:val="24"/>
                              <w:lang w:eastAsia="lt-LT"/>
                            </w:rPr>
                            <w:t>3.1</w:t>
                          </w:r>
                        </w:sdtContent>
                      </w:sdt>
                      <w:r>
                        <w:rPr>
                          <w:szCs w:val="24"/>
                          <w:lang w:eastAsia="lt-LT"/>
                        </w:rPr>
                        <w:t xml:space="preserve">. </w:t>
                      </w:r>
                      <w:r>
                        <w:rPr>
                          <w:b/>
                          <w:szCs w:val="24"/>
                          <w:lang w:eastAsia="lt-LT"/>
                        </w:rPr>
                        <w:t>Antirecidyvinis gydymas</w:t>
                      </w:r>
                      <w:r>
                        <w:rPr>
                          <w:szCs w:val="24"/>
                          <w:lang w:eastAsia="lt-LT"/>
                        </w:rPr>
                        <w:t xml:space="preserve"> – medicininės reabilitacijos priemonių kompleksas pacientams, sergantiems lėtinėmis progresuojančiomis ir recidyvuojančiomis ligomis, siekiant išvengti paūmėjimo ir komplikacijų.</w:t>
                      </w:r>
                    </w:p>
                  </w:sdtContent>
                </w:sdt>
                <w:sdt>
                  <w:sdtPr>
                    <w:alias w:val="3.2 pp."/>
                    <w:tag w:val="part_620b46957a314987ab7c53055346e71f"/>
                    <w:lock w:val="sdtLocked"/>
                    <w:richText/>
                  </w:sdtPr>
                  <w:sdtContent>
                    <w:p>
                      <w:pPr>
                        <w:tabs>
                          <w:tab w:val="left" w:pos="1418"/>
                        </w:tabs>
                        <w:ind w:firstLine="709"/>
                        <w:jc w:val="both"/>
                        <w:rPr>
                          <w:szCs w:val="24"/>
                          <w:lang w:eastAsia="lt-LT"/>
                        </w:rPr>
                      </w:pPr>
                      <w:sdt>
                        <w:sdtPr>
                          <w:alias w:val="Numeris"/>
                          <w:tag w:val="nr_620b46957a314987ab7c53055346e71f"/>
                          <w:lock w:val="sdtLocked"/>
                          <w:richText/>
                        </w:sdtPr>
                        <w:sdtContent>
                          <w:r>
                            <w:rPr>
                              <w:szCs w:val="24"/>
                              <w:lang w:eastAsia="lt-LT"/>
                            </w:rPr>
                            <w:t>3.2</w:t>
                          </w:r>
                        </w:sdtContent>
                      </w:sdt>
                      <w:r>
                        <w:rPr>
                          <w:szCs w:val="24"/>
                          <w:lang w:eastAsia="lt-LT"/>
                        </w:rPr>
                        <w:t xml:space="preserve">. </w:t>
                      </w:r>
                      <w:r>
                        <w:rPr>
                          <w:b/>
                          <w:szCs w:val="24"/>
                          <w:lang w:eastAsia="lt-LT"/>
                        </w:rPr>
                        <w:t>Apmokama iš dalies iš PSDF biudžeto medicininė reabilitacija</w:t>
                      </w:r>
                      <w:r>
                        <w:rPr>
                          <w:szCs w:val="24"/>
                          <w:lang w:eastAsia="lt-LT"/>
                        </w:rPr>
                        <w:t xml:space="preserve"> – pareigūno po sužalojimo, vykdant tarnybines pareigas, antrojo etapo medicininė reabilitacija, tęsiama iki biosocialinių funkcijų atkūrimo lygio, tinkamo trečiojo etapo medicininei reabilitacijai pradėti, </w:t>
                      </w:r>
                      <w:r>
                        <w:t xml:space="preserve">neviršijant aprašo priedo III skyriuje nustatytų terminų, </w:t>
                      </w:r>
                      <w:r>
                        <w:rPr>
                          <w:szCs w:val="24"/>
                          <w:lang w:eastAsia="lt-LT"/>
                        </w:rPr>
                        <w:t>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cb49512e7bb648f6976647d137fca10d"/>
                    <w:lock w:val="sdtLocked"/>
                    <w:richText/>
                  </w:sdtPr>
                  <w:sdtContent>
                    <w:p>
                      <w:pPr>
                        <w:widowControl w:val="0"/>
                        <w:tabs>
                          <w:tab w:val="left" w:pos="865"/>
                        </w:tabs>
                        <w:ind w:firstLine="709"/>
                        <w:jc w:val="both"/>
                        <w:rPr>
                          <w:szCs w:val="24"/>
                          <w:lang w:eastAsia="lt-LT"/>
                        </w:rPr>
                      </w:pPr>
                      <w:sdt>
                        <w:sdtPr>
                          <w:alias w:val="Numeris"/>
                          <w:tag w:val="nr_cb49512e7bb648f6976647d137fca10d"/>
                          <w:lock w:val="sdtLocked"/>
                          <w:richText/>
                        </w:sdtPr>
                        <w:sdtContent>
                          <w:r>
                            <w:rPr>
                              <w:szCs w:val="24"/>
                              <w:lang w:eastAsia="lt-LT"/>
                            </w:rPr>
                            <w:t>3.3</w:t>
                          </w:r>
                        </w:sdtContent>
                      </w:sdt>
                      <w:r>
                        <w:rPr>
                          <w:szCs w:val="24"/>
                          <w:lang w:eastAsia="lt-LT"/>
                        </w:rPr>
                        <w:t xml:space="preserve">. </w:t>
                      </w:r>
                      <w:r>
                        <w:rPr>
                          <w:b/>
                          <w:szCs w:val="24"/>
                          <w:lang w:eastAsia="lt-LT"/>
                        </w:rPr>
                        <w:t>Neapmokamos iš PSDF biudžeto paslaugos</w:t>
                      </w:r>
                      <w:r>
                        <w:rPr>
                          <w:szCs w:val="24"/>
                          <w:lang w:eastAsia="lt-LT"/>
                        </w:rPr>
                        <w:t xml:space="preserve"> – medicininės reabilitacijos, sveikatos grąžinamojo gydymo, antirecidyvinio gydymo, prevencinės, postvencinės medicininės ir psichologinės reabilitacijos paslaugos, kurios aprašo priede nurodytomis sąlygomis teikiamos pacientams Reabilitacijos įstaigose.</w:t>
                      </w:r>
                    </w:p>
                  </w:sdtContent>
                </w:sdt>
                <w:sdt>
                  <w:sdtPr>
                    <w:alias w:val="3.4 pp."/>
                    <w:tag w:val="part_2c505ddf1655453ebf08581936fb43d2"/>
                    <w:lock w:val="sdtLocked"/>
                    <w:richText/>
                  </w:sdtPr>
                  <w:sdtContent>
                    <w:p>
                      <w:pPr>
                        <w:widowControl w:val="0"/>
                        <w:tabs>
                          <w:tab w:val="left" w:pos="865"/>
                          <w:tab w:val="left" w:pos="1418"/>
                        </w:tabs>
                        <w:ind w:firstLine="709"/>
                        <w:jc w:val="both"/>
                        <w:rPr>
                          <w:b/>
                          <w:szCs w:val="24"/>
                          <w:lang w:eastAsia="lt-LT"/>
                        </w:rPr>
                      </w:pPr>
                      <w:sdt>
                        <w:sdtPr>
                          <w:alias w:val="Numeris"/>
                          <w:tag w:val="nr_2c505ddf1655453ebf08581936fb43d2"/>
                          <w:lock w:val="sdtLocked"/>
                          <w:richText/>
                        </w:sdtPr>
                        <w:sdtContent>
                          <w:r>
                            <w:rPr>
                              <w:szCs w:val="24"/>
                              <w:lang w:eastAsia="lt-LT"/>
                            </w:rPr>
                            <w:t>3.4</w:t>
                          </w:r>
                        </w:sdtContent>
                      </w:sdt>
                      <w:r>
                        <w:rPr>
                          <w:szCs w:val="24"/>
                          <w:lang w:eastAsia="lt-LT"/>
                        </w:rPr>
                        <w:t xml:space="preserve">. </w:t>
                      </w:r>
                      <w:r>
                        <w:rPr>
                          <w:b/>
                          <w:szCs w:val="24"/>
                          <w:lang w:eastAsia="lt-LT"/>
                        </w:rPr>
                        <w:t xml:space="preserve">Pareigūnų ir buvusių pareigūnų medicininė reabilitacija </w:t>
                      </w:r>
                      <w:r>
                        <w:rPr>
                          <w:szCs w:val="24"/>
                          <w:lang w:eastAsia="lt-LT"/>
                        </w:rPr>
                        <w:t>(toliau – medicininė reabilitacija)</w:t>
                      </w:r>
                      <w:r>
                        <w:rPr>
                          <w:b/>
                          <w:szCs w:val="24"/>
                          <w:lang w:eastAsia="lt-LT"/>
                        </w:rPr>
                        <w:t xml:space="preserve"> </w:t>
                      </w:r>
                      <w:r>
                        <w:rPr>
                          <w:szCs w:val="24"/>
                        </w:rPr>
                        <w:t xml:space="preserve">– kompleksinis medicininių reabilitacijos priemonių (kineziterapijos, ergoterapijos, logoterapijos, ortopedinių ir techninės pagalbos priemonių, psichologinės ir socialinės pagalbos, fizioterapijos, gydymo vaistais ir dieta, pacientų ir jų artimųjų mokymo) taikymas pacientams, siekiant atkurti sutrikusias paciento biosocialines funkcijas arba, esant negrįžtamiems organizmo pakitimams, jas kompensuoti, arba palaikyti pasiektą paciento biosocialinio funkcinio pajėgumo lygį, ir teikiama esant mažesniems biosocialinių funkcijų sutrikimams ir (ar) mažesniam ligos sunkumo laipsniui nei Lietuvos Respublikos sveikatos apsaugos ministro 2008 m. sausio 17 d. įsakyme </w:t>
                        <w:br/>
                        <w:t xml:space="preserve">Nr. V-50 „Dėl medicininės reabilitacijos ir sanatorinio (antirecidyvinio) gydymo organizavimo“ „Reabilitacija II“ kiekvienam gydymo profiliui nustatyti biosocialinių funkcijų sutrikimo lygiai ir ligų sunkumo laipsniai, todėl negali būti apmokama </w:t>
                      </w:r>
                      <w:r>
                        <w:rPr>
                          <w:iCs/>
                          <w:szCs w:val="24"/>
                        </w:rPr>
                        <w:t>arba iš dalies apmokama</w:t>
                      </w:r>
                      <w:r>
                        <w:rPr>
                          <w:szCs w:val="24"/>
                        </w:rPr>
                        <w:t xml:space="preserve"> PSDF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e0e64c6d37464f4cb933a74371bb0e4e"/>
                    <w:lock w:val="sdtLocked"/>
                    <w:richText/>
                  </w:sdtPr>
                  <w:sdtContent>
                    <w:p>
                      <w:pPr>
                        <w:widowControl w:val="0"/>
                        <w:tabs>
                          <w:tab w:val="left" w:pos="865"/>
                          <w:tab w:val="left" w:pos="1605"/>
                        </w:tabs>
                        <w:ind w:firstLine="709"/>
                        <w:jc w:val="both"/>
                        <w:rPr>
                          <w:szCs w:val="24"/>
                          <w:lang w:eastAsia="lt-LT"/>
                        </w:rPr>
                      </w:pPr>
                      <w:sdt>
                        <w:sdtPr>
                          <w:alias w:val="Numeris"/>
                          <w:tag w:val="nr_e0e64c6d37464f4cb933a74371bb0e4e"/>
                          <w:lock w:val="sdtLocked"/>
                          <w:richText/>
                        </w:sdtPr>
                        <w:sdtContent>
                          <w:r>
                            <w:rPr>
                              <w:szCs w:val="24"/>
                              <w:lang w:eastAsia="lt-LT"/>
                            </w:rPr>
                            <w:t>3.5</w:t>
                          </w:r>
                        </w:sdtContent>
                      </w:sdt>
                      <w:r>
                        <w:rPr>
                          <w:szCs w:val="24"/>
                          <w:lang w:eastAsia="lt-LT"/>
                        </w:rPr>
                        <w:t>.</w:t>
                      </w:r>
                      <w:r>
                        <w:rPr>
                          <w:szCs w:val="24"/>
                        </w:rPr>
                        <w:t xml:space="preserve"> </w:t>
                      </w:r>
                      <w:r>
                        <w:rPr>
                          <w:b/>
                          <w:szCs w:val="24"/>
                          <w:lang w:eastAsia="lt-LT"/>
                        </w:rPr>
                        <w:t>Pareigūnų ir buvusių pareigūnų sveikatos grąžinamasis gydymas</w:t>
                      </w:r>
                      <w:r>
                        <w:rPr>
                          <w:szCs w:val="24"/>
                          <w:lang w:eastAsia="lt-LT"/>
                        </w:rPr>
                        <w:t xml:space="preserve"> (toliau – sveikatos grąžinamasis gydymas)</w:t>
                      </w:r>
                      <w:r>
                        <w:rPr>
                          <w:b/>
                          <w:szCs w:val="24"/>
                          <w:lang w:eastAsia="lt-LT"/>
                        </w:rPr>
                        <w:t xml:space="preserve"> </w:t>
                      </w:r>
                      <w:r>
                        <w:rPr>
                          <w:szCs w:val="24"/>
                          <w:lang w:eastAsia="lt-LT"/>
                        </w:rPr>
                        <w:t>– Reabilitacijos įstaigose taikomų stacionarinių medicininės reabilitacijos priemonių, padedančių atkurti sutrikusias biopsichosocialines funkcijas, išvengti neįgalumo dėl ligos komplikacijų ir ūmios ligos perėjimo į lėtinę ligos formą, kompleksas pacientams.</w:t>
                      </w:r>
                    </w:p>
                  </w:sdtContent>
                </w:sdt>
                <w:sdt>
                  <w:sdtPr>
                    <w:alias w:val="3.6 pp."/>
                    <w:tag w:val="part_d31ff0f7aa0d4b7abd626f2c2d5aecc4"/>
                    <w:lock w:val="sdtLocked"/>
                    <w:richText/>
                  </w:sdtPr>
                  <w:sdtContent>
                    <w:p>
                      <w:pPr>
                        <w:tabs>
                          <w:tab w:val="left" w:pos="1276"/>
                        </w:tabs>
                        <w:ind w:firstLine="709"/>
                        <w:jc w:val="both"/>
                        <w:rPr>
                          <w:szCs w:val="24"/>
                        </w:rPr>
                      </w:pPr>
                      <w:sdt>
                        <w:sdtPr>
                          <w:alias w:val="Numeris"/>
                          <w:tag w:val="nr_d31ff0f7aa0d4b7abd626f2c2d5aecc4"/>
                          <w:lock w:val="sdtLocked"/>
                          <w:richText/>
                        </w:sdtPr>
                        <w:sdtContent>
                          <w:r>
                            <w:rPr>
                              <w:szCs w:val="24"/>
                              <w:lang w:eastAsia="lt-LT"/>
                            </w:rPr>
                            <w:t>3.6</w:t>
                          </w:r>
                        </w:sdtContent>
                      </w:sdt>
                      <w:r>
                        <w:rPr>
                          <w:szCs w:val="24"/>
                          <w:lang w:eastAsia="lt-LT"/>
                        </w:rPr>
                        <w:t>.</w:t>
                      </w:r>
                      <w:r>
                        <w:rPr>
                          <w:szCs w:val="24"/>
                        </w:rPr>
                        <w:tab/>
                      </w:r>
                      <w:r>
                        <w:rPr>
                          <w:b/>
                          <w:bCs/>
                          <w:szCs w:val="24"/>
                        </w:rPr>
                        <w:t>Postvencinė medicininė ir psichologinė reabilitacija</w:t>
                      </w:r>
                      <w:r>
                        <w:rPr>
                          <w:szCs w:val="24"/>
                        </w:rPr>
                        <w:t xml:space="preserve"> (toliau – postvencinė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1a75fac1e20f4025907fdd483b7ea199"/>
                    <w:lock w:val="sdtLocked"/>
                    <w:richText/>
                  </w:sdtPr>
                  <w:sdtContent>
                    <w:p>
                      <w:pPr>
                        <w:widowControl w:val="0"/>
                        <w:tabs>
                          <w:tab w:val="left" w:pos="865"/>
                          <w:tab w:val="left" w:pos="1276"/>
                          <w:tab w:val="left" w:pos="1605"/>
                        </w:tabs>
                        <w:ind w:firstLine="709"/>
                        <w:jc w:val="both"/>
                        <w:rPr>
                          <w:szCs w:val="24"/>
                          <w:lang w:eastAsia="lt-LT"/>
                        </w:rPr>
                      </w:pPr>
                      <w:sdt>
                        <w:sdtPr>
                          <w:alias w:val="Numeris"/>
                          <w:tag w:val="nr_1a75fac1e20f4025907fdd483b7ea199"/>
                          <w:lock w:val="sdtLocked"/>
                          <w:richText/>
                        </w:sdtPr>
                        <w:sdtContent>
                          <w:r>
                            <w:rPr>
                              <w:szCs w:val="24"/>
                              <w:lang w:eastAsia="lt-LT"/>
                            </w:rPr>
                            <w:t>3.7</w:t>
                          </w:r>
                        </w:sdtContent>
                      </w:sdt>
                      <w:r>
                        <w:rPr>
                          <w:szCs w:val="24"/>
                          <w:lang w:eastAsia="lt-LT"/>
                        </w:rPr>
                        <w:t>.</w:t>
                      </w:r>
                      <w:r>
                        <w:rPr>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904cb552f7a5428ba09a8de833b0a0ac"/>
                    <w:lock w:val="sdtLocked"/>
                    <w:richText/>
                  </w:sdtPr>
                  <w:sdtContent>
                    <w:p>
                      <w:pPr>
                        <w:widowControl w:val="0"/>
                        <w:tabs>
                          <w:tab w:val="left" w:pos="865"/>
                          <w:tab w:val="left" w:pos="1276"/>
                        </w:tabs>
                        <w:ind w:firstLine="709"/>
                        <w:jc w:val="both"/>
                        <w:rPr>
                          <w:szCs w:val="24"/>
                        </w:rPr>
                      </w:pPr>
                      <w:sdt>
                        <w:sdtPr>
                          <w:alias w:val="Numeris"/>
                          <w:tag w:val="nr_904cb552f7a5428ba09a8de833b0a0ac"/>
                          <w:lock w:val="sdtLocked"/>
                          <w:richText/>
                        </w:sdtPr>
                        <w:sdtContent>
                          <w:r>
                            <w:rPr>
                              <w:szCs w:val="24"/>
                              <w:lang w:eastAsia="lt-LT"/>
                            </w:rPr>
                            <w:t>3.8</w:t>
                          </w:r>
                        </w:sdtContent>
                      </w:sdt>
                      <w:r>
                        <w:rPr>
                          <w:szCs w:val="24"/>
                          <w:lang w:eastAsia="lt-LT"/>
                        </w:rPr>
                        <w:t>.</w:t>
                      </w:r>
                      <w:r>
                        <w:rPr>
                          <w:szCs w:val="24"/>
                        </w:rPr>
                        <w:tab/>
                      </w:r>
                      <w:r>
                        <w:rPr>
                          <w:b/>
                          <w:szCs w:val="24"/>
                          <w:lang w:eastAsia="lt-LT"/>
                        </w:rPr>
                        <w:t xml:space="preserve">Prevencinė psichologinė pagalba </w:t>
                      </w:r>
                      <w:r>
                        <w:rPr>
                          <w:szCs w:val="24"/>
                          <w:lang w:eastAsia="lt-LT"/>
                        </w:rPr>
                        <w:t>– Lietuvos Respublikos vidaus reikalų ministro valdymo srities statutinėse įstaigose pareigūnams teikiama psichologinė pagalba, turint tikslą stiprinti pareigūnų psichologinį atsparumą psichosocialiniams profesinės rizikos veiksniams, prevencinėmis priemonėmis skatinti saugios ir palankios darbo aplinkos tarnyboje kūrimą, po kritinių įvykių padėti pareigūnams atgauti dvasinę darną, gebėjimą gyventi visavertį gyvenimą ir tęsti tarnybą.</w:t>
                      </w:r>
                      <w:r>
                        <w:rPr>
                          <w:szCs w:val="24"/>
                        </w:rPr>
                        <w:t xml:space="preserve"> </w:t>
                      </w:r>
                    </w:p>
                  </w:sdtContent>
                </w:sdt>
                <w:sdt>
                  <w:sdtPr>
                    <w:alias w:val="3.9 pp."/>
                    <w:tag w:val="part_44ea53a8b0124d4a942e49256423747a"/>
                    <w:lock w:val="sdtLocked"/>
                    <w:richText/>
                  </w:sdtPr>
                  <w:sdtContent>
                    <w:p>
                      <w:pPr>
                        <w:suppressAutoHyphens/>
                        <w:spacing w:line="288" w:lineRule="auto"/>
                        <w:ind w:firstLine="709"/>
                        <w:jc w:val="both"/>
                        <w:textAlignment w:val="center"/>
                        <w:rPr>
                          <w:color w:val="000000"/>
                          <w:szCs w:val="24"/>
                        </w:rPr>
                      </w:pPr>
                      <w:sdt>
                        <w:sdtPr>
                          <w:alias w:val="Numeris"/>
                          <w:tag w:val="nr_44ea53a8b0124d4a942e49256423747a"/>
                          <w:lock w:val="sdtLocked"/>
                          <w:richText/>
                        </w:sdtPr>
                        <w:sdtContent>
                          <w:r>
                            <w:rPr>
                              <w:color w:val="000000"/>
                              <w:szCs w:val="24"/>
                            </w:rPr>
                            <w:t>3.9</w:t>
                          </w:r>
                        </w:sdtContent>
                      </w:sdt>
                      <w:r>
                        <w:rPr>
                          <w:color w:val="000000"/>
                          <w:szCs w:val="24"/>
                        </w:rPr>
                        <w:t>. Kitos apraše vartojamos sąvokos apibrėžtos Lietuvos Respublikos vidaus tarnybos statute.</w:t>
                      </w:r>
                    </w:p>
                    <w:p>
                      <w:pPr>
                        <w:rPr>
                          <w:szCs w:val="24"/>
                        </w:rPr>
                      </w:pPr>
                    </w:p>
                  </w:sdtContent>
                </w:sdt>
              </w:sdtContent>
            </w:sdt>
          </w:sdtContent>
        </w:sdt>
        <w:sdt>
          <w:sdtPr>
            <w:alias w:val="skyrius"/>
            <w:tag w:val="part_f5440d3ec41c43fa9cd5fed331ff51de"/>
            <w:lock w:val="sdtLocked"/>
            <w:richText/>
          </w:sdtPr>
          <w:sdtContent>
            <w:p>
              <w:pPr>
                <w:tabs>
                  <w:tab w:val="left" w:pos="993"/>
                </w:tabs>
                <w:jc w:val="center"/>
                <w:rPr>
                  <w:b/>
                  <w:szCs w:val="24"/>
                </w:rPr>
              </w:pPr>
              <w:sdt>
                <w:sdtPr>
                  <w:alias w:val="Numeris"/>
                  <w:tag w:val="nr_f5440d3ec41c43fa9cd5fed331ff51de"/>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f5440d3ec41c43fa9cd5fed331ff51de"/>
                  <w:lock w:val="sdtLocked"/>
                  <w:richText/>
                </w:sdtPr>
                <w:sdtContent>
                  <w:r>
                    <w:rPr>
                      <w:b/>
                      <w:szCs w:val="24"/>
                    </w:rPr>
                    <w:t>NEAPMOKAMŲ IŠ PSDF BIUDŽETO PASLAUGŲ ORGANIZAVIMAS</w:t>
                  </w:r>
                </w:sdtContent>
              </w:sdt>
            </w:p>
            <w:p>
              <w:pPr>
                <w:tabs>
                  <w:tab w:val="left" w:pos="993"/>
                </w:tabs>
                <w:jc w:val="center"/>
                <w:rPr>
                  <w:szCs w:val="24"/>
                </w:rPr>
              </w:pPr>
            </w:p>
            <w:sdt>
              <w:sdtPr>
                <w:alias w:val="4 p."/>
                <w:tag w:val="part_4a2a840165cf42c4ab6e3d4f951e00e6"/>
                <w:lock w:val="sdtLocked"/>
                <w:richText/>
              </w:sdtPr>
              <w:sdtContent>
                <w:p>
                  <w:pPr>
                    <w:widowControl w:val="0"/>
                    <w:tabs>
                      <w:tab w:val="left" w:pos="860"/>
                    </w:tabs>
                    <w:ind w:firstLine="771"/>
                    <w:jc w:val="both"/>
                    <w:rPr>
                      <w:szCs w:val="24"/>
                      <w:lang w:eastAsia="lt-LT"/>
                    </w:rPr>
                  </w:pPr>
                  <w:sdt>
                    <w:sdtPr>
                      <w:alias w:val="Numeris"/>
                      <w:tag w:val="nr_4a2a840165cf42c4ab6e3d4f951e00e6"/>
                      <w:lock w:val="sdtLocked"/>
                      <w:richText/>
                    </w:sdtPr>
                    <w:sdtContent>
                      <w:r>
                        <w:rPr>
                          <w:szCs w:val="24"/>
                        </w:rPr>
                        <w:t>4</w:t>
                      </w:r>
                    </w:sdtContent>
                  </w:sdt>
                  <w:r>
                    <w:rPr>
                      <w:szCs w:val="24"/>
                    </w:rPr>
                    <w:t xml:space="preserve">. Reabilitacijos įstaigos teikia medicininės reabilitacijos, sveikatos grąžinamojo gydymo, antirecidyvinio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postvencinės medicininės psichologinės reabilitacijos paslaugas aprašo priede nustatytomis sąlygomis gali teikti Reabilitacijos įstaigos, turinčios įstaigos asmens sveikatos priežiūros licenciją teikti antrinės stacionarinės medicininės reabilitacijos II lygio paslaugas. </w:t>
                  </w:r>
                </w:p>
              </w:sdtContent>
            </w:sdt>
            <w:sdt>
              <w:sdtPr>
                <w:alias w:val="5 p."/>
                <w:tag w:val="part_8f8a5882b6fc4063b10a9dd6ca563d0d"/>
                <w:lock w:val="sdtLocked"/>
                <w:richText/>
              </w:sdtPr>
              <w:sdtContent>
                <w:p>
                  <w:pPr>
                    <w:tabs>
                      <w:tab w:val="left" w:pos="993"/>
                    </w:tabs>
                    <w:ind w:firstLine="709"/>
                    <w:jc w:val="both"/>
                    <w:rPr>
                      <w:szCs w:val="24"/>
                    </w:rPr>
                  </w:pPr>
                  <w:sdt>
                    <w:sdtPr>
                      <w:alias w:val="Numeris"/>
                      <w:tag w:val="nr_8f8a5882b6fc4063b10a9dd6ca563d0d"/>
                      <w:lock w:val="sdtLocked"/>
                      <w:richText/>
                    </w:sdtPr>
                    <w:sdtContent>
                      <w:r>
                        <w:rPr>
                          <w:szCs w:val="24"/>
                        </w:rPr>
                        <w:t>5</w:t>
                      </w:r>
                    </w:sdtContent>
                  </w:sdt>
                  <w:r>
                    <w:rPr>
                      <w:szCs w:val="24"/>
                    </w:rPr>
                    <w:t xml:space="preserve">. Į Reabilitacijos įstaigas pacientai siunčiami dėl aprašo priede išvardytų indikacijų ir paslaugų, išskyrus šiame punkte nustatytą išimtį. Buvę pareigūnai į Reabilitacijos įstaigas nesiunčiami dėl aprašo priedo V skyriuje nurodytų indikacijų, išskyrus aprašo priedo V skyriaus 2 punkte nurodytą indikaciją. </w:t>
                  </w:r>
                </w:p>
              </w:sdtContent>
            </w:sdt>
            <w:sdt>
              <w:sdtPr>
                <w:alias w:val="6 p."/>
                <w:tag w:val="part_e74daafd52d24eb3aff15dc205c5f524"/>
                <w:lock w:val="sdtLocked"/>
                <w:richText/>
              </w:sdtPr>
              <w:sdtContent>
                <w:p>
                  <w:pPr>
                    <w:widowControl w:val="0"/>
                    <w:tabs>
                      <w:tab w:val="left" w:pos="600"/>
                    </w:tabs>
                    <w:ind w:firstLine="709"/>
                    <w:jc w:val="both"/>
                    <w:rPr>
                      <w:szCs w:val="24"/>
                      <w:lang w:eastAsia="lt-LT"/>
                    </w:rPr>
                  </w:pPr>
                  <w:sdt>
                    <w:sdtPr>
                      <w:alias w:val="Numeris"/>
                      <w:tag w:val="nr_e74daafd52d24eb3aff15dc205c5f524"/>
                      <w:lock w:val="sdtLocked"/>
                      <w:richText/>
                    </w:sdtPr>
                    <w:sdtContent>
                      <w:r>
                        <w:rPr>
                          <w:szCs w:val="24"/>
                          <w:lang w:eastAsia="lt-LT"/>
                        </w:rPr>
                        <w:t>6</w:t>
                      </w:r>
                    </w:sdtContent>
                  </w:sdt>
                  <w:r>
                    <w:rPr>
                      <w:szCs w:val="24"/>
                      <w:lang w:eastAsia="lt-LT"/>
                    </w:rPr>
                    <w:t xml:space="preserve">. To paties sveikatos sutrikimo atveju pareigūnai gali būti siunčiami tik vienam antirecidyvinio gydymo kursui per dvejus kalendorinius metus, </w:t>
                  </w:r>
                  <w:r>
                    <w:rPr>
                      <w:szCs w:val="24"/>
                    </w:rPr>
                    <w:t>išskyrus pareigūnus, kurie vykdydami tarnybines pareigas patyrė sunkų, apysunkį ar lengvą sužeidimą, traumą bei kitą sveikatos sutrikdymą, kuriems antirecidyvinio gydymo kursas Reabilitacijos įstaigos Gydytojų konsultacinės komisijos sprendimu gali būti kartojamas dažniau pagal Reabilitacijos įstaigos sudarytą gydymo planą</w:t>
                  </w:r>
                  <w:r>
                    <w:rPr>
                      <w:szCs w:val="24"/>
                      <w:lang w:eastAsia="lt-LT"/>
                    </w:rPr>
                    <w:t>, buvę pareigūnai – tik vienam antirecidyvinio gydymo kursui per trejus kalendorinius metus.</w:t>
                  </w:r>
                </w:p>
              </w:sdtContent>
            </w:sdt>
            <w:sdt>
              <w:sdtPr>
                <w:alias w:val="7 p."/>
                <w:tag w:val="part_88870a04335c4aebb20b8d5e88cc5fd5"/>
                <w:lock w:val="sdtLocked"/>
                <w:richText/>
              </w:sdtPr>
              <w:sdtContent>
                <w:p>
                  <w:pPr>
                    <w:widowControl w:val="0"/>
                    <w:tabs>
                      <w:tab w:val="left" w:pos="600"/>
                    </w:tabs>
                    <w:ind w:firstLine="709"/>
                    <w:jc w:val="both"/>
                    <w:rPr>
                      <w:szCs w:val="24"/>
                      <w:lang w:eastAsia="lt-LT"/>
                    </w:rPr>
                  </w:pPr>
                  <w:sdt>
                    <w:sdtPr>
                      <w:alias w:val="Numeris"/>
                      <w:tag w:val="nr_88870a04335c4aebb20b8d5e88cc5fd5"/>
                      <w:lock w:val="sdtLocked"/>
                      <w:richText/>
                    </w:sdtPr>
                    <w:sdtContent>
                      <w:r>
                        <w:rPr>
                          <w:szCs w:val="24"/>
                        </w:rPr>
                        <w:t>7</w:t>
                      </w:r>
                    </w:sdtContent>
                  </w:sdt>
                  <w:r>
                    <w:rPr>
                      <w:szCs w:val="24"/>
                    </w:rPr>
                    <w:t>. To paties sveikatos sutrikimo atveju pacientai gali būti siunčiami tik vienam stacionarinės medicininės reabilitacijos, prevencinės medicininės psichologinės reabilitacijos, sveikatos grąžinamojo gydymo kursui per vienerius kalendorinius metus, išskyrus pareigūnus, kurie vykdydami tarnybines pareigas patyrė sunkų, apysunkį ar lengvą sužeidimą, traumą bei kitą sveikatos sutrikdymą, kuriems stacionarinės medicininės reabilitacijos, postvencinės medicininės psichologinės reabilitacijos, sveikatos grąžinamojo gydymo kursas Reabilitacijos įstaigos Gydytojų konsultacinės komisijos sprendimu gali būti kartojamas tais pačiais kalendoriniais metais pagal Reabilitacijos įstaigos sudarytą gydymo planą.</w:t>
                  </w:r>
                </w:p>
              </w:sdtContent>
            </w:sdt>
            <w:sdt>
              <w:sdtPr>
                <w:alias w:val="8 p."/>
                <w:tag w:val="part_a7df91419cae4c7184bc4a7205715e3d"/>
                <w:lock w:val="sdtLocked"/>
                <w:richText/>
              </w:sdtPr>
              <w:sdtContent>
                <w:p>
                  <w:pPr>
                    <w:widowControl w:val="0"/>
                    <w:tabs>
                      <w:tab w:val="left" w:pos="860"/>
                    </w:tabs>
                    <w:ind w:firstLine="709"/>
                    <w:jc w:val="both"/>
                    <w:rPr>
                      <w:szCs w:val="24"/>
                      <w:lang w:eastAsia="lt-LT"/>
                    </w:rPr>
                  </w:pPr>
                  <w:sdt>
                    <w:sdtPr>
                      <w:alias w:val="Numeris"/>
                      <w:tag w:val="nr_a7df91419cae4c7184bc4a7205715e3d"/>
                      <w:lock w:val="sdtLocked"/>
                      <w:richText/>
                    </w:sdtPr>
                    <w:sdtContent>
                      <w:r>
                        <w:rPr>
                          <w:szCs w:val="24"/>
                          <w:lang w:eastAsia="lt-LT"/>
                        </w:rPr>
                        <w:t>8</w:t>
                      </w:r>
                    </w:sdtContent>
                  </w:sdt>
                  <w:r>
                    <w:rPr>
                      <w:szCs w:val="24"/>
                      <w:lang w:eastAsia="lt-LT"/>
                    </w:rPr>
                    <w:t>. Medicininei reabilitacijai stacionare, sveikatos grąžinamajam gydymui pacientai į Reabilitacijos įstaigas siunčiami po stacionarinio ar ambulatorinio gydymo poūmiu ligos laikotarpiu ir tik tuo atveju, jei pacientas negali būti siunčiamas medicininei reabilitacijai, apmokamai iš PSDF biudžeto. Stacionarinės medicininės reabilitacijos, sveikatos grąžinamojo gydymo poreikį nustato Lietuvos Respublikos vidaus reikalų ministerijos Medicinos centro (toliau – Medicinos centras) gydytojas arba fizinės medicinos ir reabilitacijos gydytojas, vadovaudamasis aprašo priedu ir įsitikinęs, kad pacientas negali būti siunčiamas medicininei reabilitacijai, apmokamai iš PSDF biudžeto. Medicinos centro gydytojas arba fizinės medicinos ir reabilitacijos gydytojas įrašo pacientą į pacientų, siunčiamų į Reabilitacijos įstaigas, sąrašą (toliau – Sąrašas) ir pacientui užpildo Medicinos dokumentų išrašą / siuntimą, nurodytą Privalomų sveikatos statistikos apskaitos ir kitų tipinių formų, pildomų sveikatos priežiūros įstaigose, sąraše ir saugojimo terminuose, patvirtintame Lietuvos Respublikos sveikatos apsaugos ministro 1999 m. lapkričio 29 d. įsakymu Nr. 515 „Dėl Sveikatos priežiūros įstaigų veiklos apskaitos ir atskaitomybės tvarkos“ (toliau – Forma 027/a), kurį pasirašo ir patvirtina savo spaudu. Formoje 027/a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Jei pacientui gydytojo yra išduotas elektroninis nedarbingumo pažymėjimas (toliau – elektroninis pažymėjimas), jis turi galioti iki atvykimo į Reabilitacijos įstaigą dienos. Paciento elektroninis pažymėjimas toliau tęsiamas Reabilitacijos įstaigos gydytojo.</w:t>
                  </w:r>
                </w:p>
              </w:sdtContent>
            </w:sdt>
            <w:sdt>
              <w:sdtPr>
                <w:alias w:val="9 p."/>
                <w:tag w:val="part_4d1a6f77c6fd4d329d662a8989365a32"/>
                <w:lock w:val="sdtLocked"/>
                <w:richText/>
              </w:sdtPr>
              <w:sdtContent>
                <w:p>
                  <w:pPr>
                    <w:widowControl w:val="0"/>
                    <w:tabs>
                      <w:tab w:val="left" w:pos="860"/>
                    </w:tabs>
                    <w:ind w:firstLine="709"/>
                    <w:jc w:val="both"/>
                    <w:rPr>
                      <w:szCs w:val="24"/>
                      <w:lang w:eastAsia="lt-LT"/>
                    </w:rPr>
                  </w:pPr>
                  <w:sdt>
                    <w:sdtPr>
                      <w:alias w:val="Numeris"/>
                      <w:tag w:val="nr_4d1a6f77c6fd4d329d662a8989365a32"/>
                      <w:lock w:val="sdtLocked"/>
                      <w:richText/>
                    </w:sdtPr>
                    <w:sdtContent>
                      <w:r>
                        <w:rPr>
                          <w:szCs w:val="24"/>
                          <w:lang w:eastAsia="lt-LT"/>
                        </w:rPr>
                        <w:t>9</w:t>
                      </w:r>
                    </w:sdtContent>
                  </w:sdt>
                  <w:r>
                    <w:rPr>
                      <w:szCs w:val="24"/>
                      <w:lang w:eastAsia="lt-LT"/>
                    </w:rPr>
                    <w:t>. Antirecidyviniam gydymui pacientai siunčiami Medicinos centro gydytojo ar fizinės medicinos ir reabilitacijos gydytojo siuntimu. Medicinos centro gydytojas įrašo pacientą į Sąrašą, pacientui užpildo Formą 027/a, kurią pasirašo ir patvirtina savo spaudu. Formoje 027/a turi būti nurodyta ligos ar sveikatos sutrikimo diagnozė, gretutinių susirgimų diagnozės, TLK-10-AM kodas, ligos, diagnostikos ir taikyto gydymo rezultatų duomenys, rekomendacija dėl šio gydymo taikymo skubumo. Antirecidyviniam gydymui siunčiamo paciento laikinasis nedarbingumas sprendžiamas individualiai, pagal poreikį. Pacientui gydytojo išduotas elektroninis pažymėjimas turi galioti iki atvykimo į Reabilitacijos įstaigą dienos. Paciento elektroninis pažymėjimas toliau tęsiamas Reabilitacijos įstaigos gydytojo.</w:t>
                  </w:r>
                  <w:r>
                    <w:rPr>
                      <w:szCs w:val="24"/>
                    </w:rPr>
                    <w:t xml:space="preserve"> Pareigūnui, kuriam yra nustatomas antirecidyvinio gydymo poreikis, kai dėl jo nėra pagrindo jam išduoti elektroninį pažymėjimą, gali būti suteikiamos Vidaus tarnybos statuto 51 straipsnio 1 dalyje numatytos atostogos arba į Reabilitacijos įstaigą pareigūnas vyksta laisvu nuo tarnybinių pareigų vykdymo metu.</w:t>
                  </w:r>
                </w:p>
              </w:sdtContent>
            </w:sdt>
            <w:sdt>
              <w:sdtPr>
                <w:alias w:val="10 p."/>
                <w:tag w:val="part_14ce70e5f8be42659db6ea3781d6e846"/>
                <w:lock w:val="sdtLocked"/>
                <w:richText/>
              </w:sdtPr>
              <w:sdtContent>
                <w:p>
                  <w:pPr>
                    <w:ind w:firstLine="771"/>
                    <w:jc w:val="both"/>
                    <w:rPr>
                      <w:szCs w:val="24"/>
                      <w:lang w:eastAsia="lt-LT"/>
                    </w:rPr>
                  </w:pPr>
                  <w:sdt>
                    <w:sdtPr>
                      <w:alias w:val="Numeris"/>
                      <w:tag w:val="nr_14ce70e5f8be42659db6ea3781d6e846"/>
                      <w:lock w:val="sdtLocked"/>
                      <w:richText/>
                    </w:sdtPr>
                    <w:sdtContent>
                      <w:r>
                        <w:rPr>
                          <w:szCs w:val="24"/>
                          <w:lang w:eastAsia="lt-LT"/>
                        </w:rPr>
                        <w:t>10</w:t>
                      </w:r>
                    </w:sdtContent>
                  </w:sdt>
                  <w:r>
                    <w:rPr>
                      <w:szCs w:val="24"/>
                      <w:lang w:eastAsia="lt-LT"/>
                    </w:rPr>
                    <w:t>. Atvykstantys į Reabilitacijos įstaigą pacientai su savimi privalo turėti:</w:t>
                  </w:r>
                </w:p>
                <w:sdt>
                  <w:sdtPr>
                    <w:alias w:val="10.1 pp."/>
                    <w:tag w:val="part_4ac55a54180c49df98fcdbffdad83a3b"/>
                    <w:lock w:val="sdtLocked"/>
                    <w:richText/>
                  </w:sdtPr>
                  <w:sdtContent>
                    <w:p>
                      <w:pPr>
                        <w:ind w:firstLine="771"/>
                        <w:jc w:val="both"/>
                        <w:rPr>
                          <w:szCs w:val="24"/>
                          <w:lang w:eastAsia="lt-LT"/>
                        </w:rPr>
                      </w:pPr>
                      <w:sdt>
                        <w:sdtPr>
                          <w:alias w:val="Numeris"/>
                          <w:tag w:val="nr_4ac55a54180c49df98fcdbffdad83a3b"/>
                          <w:lock w:val="sdtLocked"/>
                          <w:richText/>
                        </w:sdtPr>
                        <w:sdtContent>
                          <w:r>
                            <w:rPr>
                              <w:szCs w:val="24"/>
                              <w:lang w:eastAsia="lt-LT"/>
                            </w:rPr>
                            <w:t>10.1</w:t>
                          </w:r>
                        </w:sdtContent>
                      </w:sdt>
                      <w:r>
                        <w:rPr>
                          <w:szCs w:val="24"/>
                          <w:lang w:eastAsia="lt-LT"/>
                        </w:rPr>
                        <w:t>. Tarnybinį pažymėjimą (pareigūnai) arba pensininko pažymėjimą (buvę pareigūnai).</w:t>
                      </w:r>
                    </w:p>
                  </w:sdtContent>
                </w:sdt>
                <w:sdt>
                  <w:sdtPr>
                    <w:alias w:val="10.2 pp."/>
                    <w:tag w:val="part_c6fde86aa14142bb967586dbcaaa5d80"/>
                    <w:lock w:val="sdtLocked"/>
                    <w:richText/>
                  </w:sdtPr>
                  <w:sdtContent>
                    <w:p>
                      <w:pPr>
                        <w:ind w:firstLine="771"/>
                        <w:jc w:val="both"/>
                        <w:rPr>
                          <w:szCs w:val="24"/>
                          <w:lang w:eastAsia="lt-LT"/>
                        </w:rPr>
                      </w:pPr>
                      <w:sdt>
                        <w:sdtPr>
                          <w:alias w:val="Numeris"/>
                          <w:tag w:val="nr_c6fde86aa14142bb967586dbcaaa5d80"/>
                          <w:lock w:val="sdtLocked"/>
                          <w:richText/>
                        </w:sdtPr>
                        <w:sdtContent>
                          <w:r>
                            <w:rPr>
                              <w:szCs w:val="24"/>
                              <w:lang w:eastAsia="lt-LT"/>
                            </w:rPr>
                            <w:t>10.2</w:t>
                          </w:r>
                        </w:sdtContent>
                      </w:sdt>
                      <w:r>
                        <w:rPr>
                          <w:szCs w:val="24"/>
                          <w:lang w:eastAsia="lt-LT"/>
                        </w:rPr>
                        <w:t>. Asmens tapatybę patvirtinantį dokumentą.</w:t>
                      </w:r>
                    </w:p>
                  </w:sdtContent>
                </w:sdt>
                <w:sdt>
                  <w:sdtPr>
                    <w:alias w:val="10.3 pp."/>
                    <w:tag w:val="part_1dd8f480335c4e29815ee4191e0f0b14"/>
                    <w:lock w:val="sdtLocked"/>
                    <w:richText/>
                  </w:sdtPr>
                  <w:sdtContent>
                    <w:p>
                      <w:pPr>
                        <w:ind w:firstLine="771"/>
                        <w:jc w:val="both"/>
                        <w:rPr>
                          <w:szCs w:val="24"/>
                          <w:lang w:eastAsia="lt-LT"/>
                        </w:rPr>
                      </w:pPr>
                      <w:sdt>
                        <w:sdtPr>
                          <w:alias w:val="Numeris"/>
                          <w:tag w:val="nr_1dd8f480335c4e29815ee4191e0f0b14"/>
                          <w:lock w:val="sdtLocked"/>
                          <w:richText/>
                        </w:sdtPr>
                        <w:sdtContent>
                          <w:r>
                            <w:rPr>
                              <w:szCs w:val="24"/>
                              <w:lang w:eastAsia="lt-LT"/>
                            </w:rPr>
                            <w:t>10.3</w:t>
                          </w:r>
                        </w:sdtContent>
                      </w:sdt>
                      <w:r>
                        <w:rPr>
                          <w:szCs w:val="24"/>
                          <w:lang w:eastAsia="lt-LT"/>
                        </w:rPr>
                        <w:t>. Aprašo 8 ar 9 punkte nustatyta tvarka užpildytą Formą 027/a, o siuntimo prevencinei, postvencinei medicininei psichologinei reabilitacijai atveju, jei poreikį prevencinei ar postvencinei medicininei psichologinei reabilitacijai nustatė</w:t>
                      </w:r>
                      <w:r>
                        <w:rPr>
                          <w:szCs w:val="24"/>
                        </w:rPr>
                        <w:t xml:space="preserve"> </w:t>
                      </w:r>
                      <w:r>
                        <w:rPr>
                          <w:szCs w:val="24"/>
                          <w:lang w:eastAsia="lt-LT"/>
                        </w:rPr>
                        <w:t>statutinės įstaigos psichologas, – papildomai ir aprašo 18</w:t>
                      </w:r>
                      <w:r>
                        <w:rPr>
                          <w:szCs w:val="24"/>
                          <w:vertAlign w:val="superscript"/>
                          <w:lang w:eastAsia="lt-LT"/>
                        </w:rPr>
                        <w:t xml:space="preserve"> </w:t>
                      </w:r>
                      <w:r>
                        <w:rPr>
                          <w:szCs w:val="24"/>
                        </w:rPr>
                        <w:t>ir 23</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kopijas.</w:t>
                      </w:r>
                      <w:r>
                        <w:rPr>
                          <w:szCs w:val="24"/>
                        </w:rPr>
                        <w:t xml:space="preserve"> </w:t>
                      </w:r>
                    </w:p>
                  </w:sdtContent>
                </w:sdt>
              </w:sdtContent>
            </w:sdt>
            <w:sdt>
              <w:sdtPr>
                <w:alias w:val="11 p."/>
                <w:tag w:val="part_28bbe7e45bcf402497340a38b683d926"/>
                <w:lock w:val="sdtLocked"/>
                <w:richText/>
              </w:sdtPr>
              <w:sdtContent>
                <w:p>
                  <w:pPr>
                    <w:widowControl w:val="0"/>
                    <w:tabs>
                      <w:tab w:val="left" w:pos="1005"/>
                    </w:tabs>
                    <w:ind w:firstLine="709"/>
                    <w:jc w:val="both"/>
                    <w:rPr>
                      <w:szCs w:val="24"/>
                      <w:lang w:eastAsia="lt-LT"/>
                    </w:rPr>
                  </w:pPr>
                  <w:sdt>
                    <w:sdtPr>
                      <w:alias w:val="Numeris"/>
                      <w:tag w:val="nr_28bbe7e45bcf402497340a38b683d926"/>
                      <w:lock w:val="sdtLocked"/>
                      <w:richText/>
                    </w:sdtPr>
                    <w:sdtContent>
                      <w:r>
                        <w:rPr>
                          <w:szCs w:val="24"/>
                          <w:lang w:eastAsia="lt-LT"/>
                        </w:rPr>
                        <w:t>11</w:t>
                      </w:r>
                    </w:sdtContent>
                  </w:sdt>
                  <w:r>
                    <w:rPr>
                      <w:szCs w:val="24"/>
                      <w:lang w:eastAsia="lt-LT"/>
                    </w:rPr>
                    <w:t>. Pacientai, nepateikę aprašo 10 punkte išvardytų dokumentų, į Reabilitacijos įstaigą nepriimami.</w:t>
                  </w:r>
                </w:p>
              </w:sdtContent>
            </w:sdt>
            <w:sdt>
              <w:sdtPr>
                <w:alias w:val="12 p."/>
                <w:tag w:val="part_ffd341a6102045fabe35d798f4676ee2"/>
                <w:lock w:val="sdtLocked"/>
                <w:richText/>
              </w:sdtPr>
              <w:sdtContent>
                <w:p>
                  <w:pPr>
                    <w:widowControl w:val="0"/>
                    <w:tabs>
                      <w:tab w:val="left" w:pos="1005"/>
                    </w:tabs>
                    <w:ind w:firstLine="709"/>
                    <w:jc w:val="both"/>
                    <w:rPr>
                      <w:szCs w:val="24"/>
                      <w:lang w:eastAsia="lt-LT"/>
                    </w:rPr>
                  </w:pPr>
                  <w:sdt>
                    <w:sdtPr>
                      <w:alias w:val="Numeris"/>
                      <w:tag w:val="nr_ffd341a6102045fabe35d798f4676ee2"/>
                      <w:lock w:val="sdtLocked"/>
                      <w:richText/>
                    </w:sdtPr>
                    <w:sdtContent>
                      <w:r>
                        <w:rPr>
                          <w:szCs w:val="24"/>
                          <w:lang w:eastAsia="lt-LT"/>
                        </w:rPr>
                        <w:t>12</w:t>
                      </w:r>
                    </w:sdtContent>
                  </w:sdt>
                  <w:r>
                    <w:rPr>
                      <w:szCs w:val="24"/>
                      <w:lang w:eastAsia="lt-LT"/>
                    </w:rPr>
                    <w:t>. Pacientų priėmimo į Reabilitacijos įstaigą ar gydymo šioje įstaigoje metu išaiškėjus kontraindikacijoms, nurodytoms aprašo priedo II skyriuje, pacientai siunčiami į asmens sveikatos priežiūros įstaigą, kurioje jie užsiregistravę pirminės asmens sveikatos priežiūros paslaugoms teikti, o jei tokiems pacientams reikalinga būtinoji medicinos pagalba – į artimiausią asmens sveikatos priežiūros įstaigą.</w:t>
                  </w:r>
                </w:p>
              </w:sdtContent>
            </w:sdt>
            <w:sdt>
              <w:sdtPr>
                <w:alias w:val="13 p."/>
                <w:tag w:val="part_d477bf11bad0457ebab2bd612befc32c"/>
                <w:lock w:val="sdtLocked"/>
                <w:richText/>
              </w:sdtPr>
              <w:sdtContent>
                <w:p>
                  <w:pPr>
                    <w:widowControl w:val="0"/>
                    <w:tabs>
                      <w:tab w:val="left" w:pos="985"/>
                    </w:tabs>
                    <w:ind w:firstLine="709"/>
                    <w:jc w:val="both"/>
                    <w:rPr>
                      <w:szCs w:val="24"/>
                      <w:lang w:eastAsia="lt-LT"/>
                    </w:rPr>
                  </w:pPr>
                  <w:sdt>
                    <w:sdtPr>
                      <w:alias w:val="Numeris"/>
                      <w:tag w:val="nr_d477bf11bad0457ebab2bd612befc32c"/>
                      <w:lock w:val="sdtLocked"/>
                      <w:richText/>
                    </w:sdtPr>
                    <w:sdtContent>
                      <w:r>
                        <w:rPr>
                          <w:szCs w:val="24"/>
                          <w:lang w:eastAsia="lt-LT"/>
                        </w:rPr>
                        <w:t>13</w:t>
                      </w:r>
                    </w:sdtContent>
                  </w:sdt>
                  <w:r>
                    <w:rPr>
                      <w:szCs w:val="24"/>
                      <w:lang w:eastAsia="lt-LT"/>
                    </w:rPr>
                    <w:t>. Reabilitacijos įstaigos tvarko pacientų medicininės apskaitos dokumentus, elektroninius pažymėjimus, jeigu reikia, kitus buvimą Reabilitacijos įstaigoje patvirtinančius dokumentus. Pacientams išvykstant iš Reabilitacijos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19f19801fdac47b3ad7e8d5c1dd394cb"/>
                <w:lock w:val="sdtLocked"/>
                <w:richText/>
              </w:sdtPr>
              <w:sdtContent>
                <w:p>
                  <w:pPr>
                    <w:widowControl w:val="0"/>
                    <w:tabs>
                      <w:tab w:val="left" w:pos="994"/>
                    </w:tabs>
                    <w:ind w:firstLine="709"/>
                    <w:jc w:val="both"/>
                    <w:rPr>
                      <w:szCs w:val="24"/>
                      <w:lang w:eastAsia="lt-LT"/>
                    </w:rPr>
                  </w:pPr>
                  <w:sdt>
                    <w:sdtPr>
                      <w:alias w:val="Numeris"/>
                      <w:tag w:val="nr_19f19801fdac47b3ad7e8d5c1dd394cb"/>
                      <w:lock w:val="sdtLocked"/>
                      <w:richText/>
                    </w:sdtPr>
                    <w:sdtContent>
                      <w:r>
                        <w:rPr>
                          <w:szCs w:val="24"/>
                          <w:lang w:eastAsia="lt-LT"/>
                        </w:rPr>
                        <w:t>14</w:t>
                      </w:r>
                    </w:sdtContent>
                  </w:sdt>
                  <w:r>
                    <w:rPr>
                      <w:szCs w:val="24"/>
                      <w:lang w:eastAsia="lt-LT"/>
                    </w:rPr>
                    <w:t xml:space="preserve">. Užbaigus medicininės reabilitacijos, sveikatos grąžinamojo gydymo, antirecidyvinio gydymo kursą, Reabilitacijos įstaiga pacientui išduoda Formą 027/a arba ligos istorijos išrašą, o šios formos kopiją arba ligos istorijos išrašo kopiją pateikia Medicinos centrui. Pacientas gautą Formą 027/a ar ligos istorijos išrašą pristato į asmens sveikatos priežiūros įstaigą, kurioje jis užsiregistravęs pirminės asmens sveikatos priežiūros paslaugoms teikti. </w:t>
                  </w:r>
                </w:p>
                <w:p>
                  <w:pPr>
                    <w:rPr>
                      <w:szCs w:val="24"/>
                    </w:rPr>
                  </w:pPr>
                </w:p>
                <w:p>
                  <w:pPr>
                    <w:rPr>
                      <w:szCs w:val="24"/>
                    </w:rPr>
                  </w:pPr>
                </w:p>
              </w:sdtContent>
            </w:sdt>
          </w:sdtContent>
        </w:sdt>
        <w:sdt>
          <w:sdtPr>
            <w:alias w:val="skyrius"/>
            <w:tag w:val="part_ca1be55645b74279bbac72d019649171"/>
            <w:lock w:val="sdtLocked"/>
            <w:richText/>
          </w:sdtPr>
          <w:sdtContent>
            <w:p>
              <w:pPr>
                <w:tabs>
                  <w:tab w:val="left" w:pos="993"/>
                </w:tabs>
                <w:jc w:val="center"/>
                <w:rPr>
                  <w:b/>
                  <w:szCs w:val="24"/>
                </w:rPr>
              </w:pPr>
              <w:sdt>
                <w:sdtPr>
                  <w:alias w:val="Numeris"/>
                  <w:tag w:val="nr_ca1be55645b74279bbac72d019649171"/>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ca1be55645b74279bbac72d019649171"/>
                  <w:lock w:val="sdtLocked"/>
                  <w:richText/>
                </w:sdtPr>
                <w:sdtContent>
                  <w:r>
                    <w:rPr>
                      <w:b/>
                      <w:szCs w:val="24"/>
                    </w:rPr>
                    <w:t>APMOKAMA IŠ DALIES IŠ PSDF BIUDŽETO MEDICININĖ REABILITACIJA</w:t>
                  </w:r>
                </w:sdtContent>
              </w:sdt>
            </w:p>
            <w:p>
              <w:pPr>
                <w:tabs>
                  <w:tab w:val="left" w:pos="993"/>
                </w:tabs>
                <w:jc w:val="center"/>
                <w:rPr>
                  <w:b/>
                  <w:szCs w:val="24"/>
                </w:rPr>
              </w:pPr>
            </w:p>
            <w:sdt>
              <w:sdtPr>
                <w:alias w:val="15 p."/>
                <w:tag w:val="part_4ea50bbefe594c6ebf0588865e9e54d8"/>
                <w:lock w:val="sdtLocked"/>
                <w:richText/>
              </w:sdtPr>
              <w:sdtContent>
                <w:p>
                  <w:pPr>
                    <w:widowControl w:val="0"/>
                    <w:tabs>
                      <w:tab w:val="left" w:pos="994"/>
                    </w:tabs>
                    <w:ind w:firstLine="709"/>
                    <w:jc w:val="both"/>
                  </w:pPr>
                  <w:sdt>
                    <w:sdtPr>
                      <w:alias w:val="Numeris"/>
                      <w:tag w:val="nr_4ea50bbefe594c6ebf0588865e9e54d8"/>
                      <w:lock w:val="sdtLocked"/>
                      <w:richText/>
                    </w:sdtPr>
                    <w:sdtContent>
                      <w:r>
                        <w:rPr>
                          <w:szCs w:val="24"/>
                          <w:lang w:eastAsia="lt-LT"/>
                        </w:rPr>
                        <w:t>15</w:t>
                      </w:r>
                    </w:sdtContent>
                  </w:sdt>
                  <w:r>
                    <w:rPr>
                      <w:szCs w:val="24"/>
                      <w:lang w:eastAsia="lt-LT"/>
                    </w:rPr>
                    <w:t xml:space="preserve">. </w:t>
                  </w:r>
                  <w:r>
                    <w:t>Pareigūnui po sužalojimo vykdant tarnybines pareigas taikoma antrojo etapo medicininė reabilitacija, nurodyta Lietuvos Respublikos sveikatos apsaugos ministro 2008 m. sausio 17 d. įsakyme Nr. V-50 „Dėl medicininės reabilitacijos ir sanatorinio (atnirecidyvinio) gydymo organizavimo“, pasibaigus antrojo etapo medicininės reabilitacijos, finansuojamos PSDF biudžeto lėšomis, normatyvinei trukmei, rekomenduojant asmens sveikatos priežiūros įstaigos fizinės medicinos ir reabilitacijos gydytojui, gali būti tęsiama toje pačioje asmens sveikatos priežiūros įstaigoje, apmokant iš Vidaus reikalų ministerijos atitinkamai programai skirtų valstybės biudžeto lėšų. Antrojo etapo medicininė reabilitacija, apmokama iš Vidaus reikalų ministerijos atitinkamai programai skirtų valstybės biudžeto lėšų, gali būti tęsiama tiek laiko, kiek jo reikia iki pareigūno biosocialinių funkcijų atkūrimo lygio, tinkamo ambulatorinei trečiojo etapo medicininei reabilitacijai pradėti, tačiau neviršijant aprašo priedo III skyriuje nustatytų terminų.</w:t>
                  </w:r>
                </w:p>
              </w:sdtContent>
            </w:sdt>
            <w:sdt>
              <w:sdtPr>
                <w:alias w:val="16 p."/>
                <w:tag w:val="part_83846e00a605492e98054abafb74b78a"/>
                <w:lock w:val="sdtLocked"/>
                <w:richText/>
              </w:sdtPr>
              <w:sdtContent>
                <w:p>
                  <w:pPr>
                    <w:widowControl w:val="0"/>
                    <w:tabs>
                      <w:tab w:val="left" w:pos="994"/>
                    </w:tabs>
                    <w:ind w:firstLine="709"/>
                    <w:jc w:val="both"/>
                    <w:rPr>
                      <w:szCs w:val="24"/>
                      <w:lang w:eastAsia="lt-LT"/>
                    </w:rPr>
                  </w:pPr>
                  <w:sdt>
                    <w:sdtPr>
                      <w:alias w:val="Numeris"/>
                      <w:tag w:val="nr_83846e00a605492e98054abafb74b78a"/>
                      <w:lock w:val="sdtLocked"/>
                      <w:richText/>
                    </w:sdtPr>
                    <w:sdtContent>
                      <w:r>
                        <w:rPr>
                          <w:szCs w:val="24"/>
                          <w:lang w:eastAsia="lt-LT"/>
                        </w:rPr>
                        <w:t>16</w:t>
                      </w:r>
                    </w:sdtContent>
                  </w:sdt>
                  <w:r>
                    <w:rPr>
                      <w:szCs w:val="24"/>
                      <w:lang w:eastAsia="lt-LT"/>
                    </w:rPr>
                    <w:t>. Užbaigęs aprašo 15 punkte nurodytą antrojo etapo medicininę reabilitaciją, pareigūnas iš asmens sveikatos priežiūros įstaigos kartu su Forma 027/a arba ligos istorijos išrašu gauna ir sąskaitą 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mokėjimo tvarkos apraše, patvirtintame Lietuvos Respublikos sveikatos apsaugos ministro 2008 m. sausio 17 d. įsakymu Nr. V-50 „Dėl medicininės reabilitacijos ir sanatorinio (antirecidyvinio) gydymo organizavimo“.</w:t>
                  </w:r>
                </w:p>
              </w:sdtContent>
            </w:sdt>
            <w:sdt>
              <w:sdtPr>
                <w:alias w:val="17 p."/>
                <w:tag w:val="part_317495f75cea42adbc131e72b7e118d4"/>
                <w:lock w:val="sdtLocked"/>
                <w:richText/>
              </w:sdtPr>
              <w:sdtContent>
                <w:p>
                  <w:pPr>
                    <w:widowControl w:val="0"/>
                    <w:tabs>
                      <w:tab w:val="left" w:pos="994"/>
                    </w:tabs>
                    <w:ind w:firstLine="709"/>
                    <w:jc w:val="both"/>
                    <w:rPr>
                      <w:szCs w:val="24"/>
                      <w:lang w:eastAsia="lt-LT"/>
                    </w:rPr>
                  </w:pPr>
                  <w:sdt>
                    <w:sdtPr>
                      <w:alias w:val="Numeris"/>
                      <w:tag w:val="nr_317495f75cea42adbc131e72b7e118d4"/>
                      <w:lock w:val="sdtLocked"/>
                      <w:richText/>
                    </w:sdtPr>
                    <w:sdtContent>
                      <w:r>
                        <w:rPr>
                          <w:szCs w:val="24"/>
                          <w:lang w:eastAsia="lt-LT"/>
                        </w:rPr>
                        <w:t>17</w:t>
                      </w:r>
                    </w:sdtContent>
                  </w:sdt>
                  <w:r>
                    <w:rPr>
                      <w:szCs w:val="24"/>
                      <w:lang w:eastAsia="lt-LT"/>
                    </w:rPr>
                    <w:t>. Aprašo 16 punkte nurodytą sąskaitą faktūrą, taip pat tarnybinio pažymėjimo ir aprašo 16 punkte nurodytos Formos 027/a arba ligos istorijos išrašo kopijas pareigūnas pateikia Medicinos centrui per 10 darbo dienų, skaičiuojant nuo išvykimo iš asmens sveikatos priežiūros įstaigos dienos.</w:t>
                  </w:r>
                </w:p>
                <w:p>
                  <w:pPr>
                    <w:rPr>
                      <w:b/>
                      <w:szCs w:val="24"/>
                    </w:rPr>
                  </w:pPr>
                </w:p>
                <w:p>
                  <w:pPr>
                    <w:rPr>
                      <w:b/>
                      <w:szCs w:val="24"/>
                    </w:rPr>
                  </w:pPr>
                  <w:r>
                    <w:rPr>
                      <w:b/>
                      <w:szCs w:val="24"/>
                    </w:rPr>
                    <w:br w:type="page"/>
                  </w:r>
                </w:p>
              </w:sdtContent>
            </w:sdt>
          </w:sdtContent>
        </w:sdt>
        <w:sdt>
          <w:sdtPr>
            <w:alias w:val="skyrius"/>
            <w:tag w:val="part_0de0c85b3dbd44729689456ead03d3e9"/>
            <w:lock w:val="sdtLocked"/>
            <w:richText/>
          </w:sdtPr>
          <w:sdtContent>
            <w:p>
              <w:pPr>
                <w:tabs>
                  <w:tab w:val="left" w:pos="993"/>
                </w:tabs>
                <w:jc w:val="center"/>
                <w:rPr>
                  <w:b/>
                  <w:szCs w:val="24"/>
                </w:rPr>
              </w:pPr>
              <w:sdt>
                <w:sdtPr>
                  <w:alias w:val="Numeris"/>
                  <w:tag w:val="nr_0de0c85b3dbd44729689456ead03d3e9"/>
                  <w:lock w:val="sdtLocked"/>
                  <w:richText/>
                </w:sdtPr>
                <w:sdtContent>
                  <w:r>
                    <w:rPr>
                      <w:b/>
                      <w:szCs w:val="24"/>
                    </w:rPr>
                    <w:t>IV</w:t>
                  </w:r>
                </w:sdtContent>
              </w:sdt>
              <w:r>
                <w:rPr>
                  <w:b/>
                  <w:szCs w:val="24"/>
                </w:rPr>
                <w:t xml:space="preserve"> SKYRIUS</w:t>
              </w:r>
            </w:p>
            <w:p>
              <w:pPr>
                <w:tabs>
                  <w:tab w:val="left" w:pos="993"/>
                </w:tabs>
                <w:jc w:val="center"/>
                <w:rPr>
                  <w:b/>
                  <w:szCs w:val="24"/>
                </w:rPr>
              </w:pPr>
              <w:sdt>
                <w:sdtPr>
                  <w:alias w:val="Pavadinimas"/>
                  <w:tag w:val="title_0de0c85b3dbd44729689456ead03d3e9"/>
                  <w:lock w:val="sdtLocked"/>
                  <w:richText/>
                </w:sdtPr>
                <w:sdtContent>
                  <w:r>
                    <w:rPr>
                      <w:b/>
                      <w:szCs w:val="24"/>
                    </w:rPr>
                    <w:t>PAREIGŪNO PREVENCINĖS MEDICININĖS PSICHOLOGINĖS REABILITACIJOS ORGANIZAVIMAS</w:t>
                  </w:r>
                </w:sdtContent>
              </w:sdt>
            </w:p>
            <w:p>
              <w:pPr>
                <w:jc w:val="both"/>
                <w:rPr>
                  <w:szCs w:val="24"/>
                </w:rPr>
              </w:pPr>
            </w:p>
            <w:sdt>
              <w:sdtPr>
                <w:alias w:val="18 p."/>
                <w:tag w:val="part_4093c8d6587845d7843dbab34325a7b9"/>
                <w:lock w:val="sdtLocked"/>
                <w:richText/>
              </w:sdtPr>
              <w:sdtContent>
                <w:p>
                  <w:pPr>
                    <w:tabs>
                      <w:tab w:val="left" w:pos="993"/>
                    </w:tabs>
                    <w:ind w:firstLine="709"/>
                    <w:jc w:val="both"/>
                    <w:rPr>
                      <w:strike/>
                      <w:szCs w:val="24"/>
                    </w:rPr>
                  </w:pPr>
                  <w:sdt>
                    <w:sdtPr>
                      <w:alias w:val="Numeris"/>
                      <w:tag w:val="nr_4093c8d6587845d7843dbab34325a7b9"/>
                      <w:lock w:val="sdtLocked"/>
                      <w:richText/>
                    </w:sdtPr>
                    <w:sdtContent>
                      <w:r>
                        <w:rPr>
                          <w:szCs w:val="24"/>
                        </w:rPr>
                        <w:t>18</w:t>
                      </w:r>
                    </w:sdtContent>
                  </w:sdt>
                  <w:r>
                    <w:rPr>
                      <w:szCs w:val="24"/>
                    </w:rPr>
                    <w:t xml:space="preserve">. </w:t>
                  </w:r>
                  <w:r>
                    <w:rPr>
                      <w:szCs w:val="24"/>
                      <w:lang w:eastAsia="lt-LT"/>
                    </w:rPr>
                    <w:t xml:space="preserve">Esant aprašo priedo V skyriaus 2–5 punktuose ir 6.6–6.10 papunkčiuose nurodytų indikacijų, statutinės įstaigos vadovas siunčia pareigūną į Medicinos centrą dėl prevencinės medicininės psichologinės reabilitacijos. Jei statutinėje įstaigoje yra psichologas, jis surašo </w:t>
                  </w:r>
                  <w:r>
                    <w:rPr>
                      <w:szCs w:val="24"/>
                    </w:rPr>
                    <w:t>rašytinę laisvos formos rekomendaciją (toliau – statutinės įstaigos psichologo rekomendacija)</w:t>
                  </w:r>
                  <w:r>
                    <w:rPr>
                      <w:szCs w:val="24"/>
                      <w:lang w:eastAsia="lt-LT"/>
                    </w:rPr>
                    <w:t xml:space="preserve">, kurios kopiją pareigūnas pateikia </w:t>
                  </w:r>
                  <w:r>
                    <w:rPr>
                      <w:szCs w:val="24"/>
                    </w:rPr>
                    <w:t>aprašo 19 punkte nurodytiems gydytojams</w:t>
                  </w:r>
                  <w:r>
                    <w:rPr>
                      <w:szCs w:val="24"/>
                      <w:lang w:eastAsia="lt-LT"/>
                    </w:rPr>
                    <w:t>. Pastarieji ją prideda prie aprašo 19 punkte nurodytos Formos 027/a.</w:t>
                  </w:r>
                  <w:r>
                    <w:rPr>
                      <w:szCs w:val="24"/>
                    </w:rPr>
                    <w:t xml:space="preserve"> Statutinės įstaigos psichologo rekomendacijoje pateikiama ši informacija: nurodomas pareigūno vidaus tarnybos stažas, pareigos, atsakomybės, aprašomas tarnybos pobūdis, nurodomos problemos, situacijos, kurios turi įtakos pareigūno psichologinei būklei ir (ar) socialinei situacijai ir dėl kurių pareigūnui yra rekomenduotina prevencinė medicininė psichologinė reabilitacija. </w:t>
                  </w:r>
                </w:p>
              </w:sdtContent>
            </w:sdt>
            <w:sdt>
              <w:sdtPr>
                <w:alias w:val="19 p."/>
                <w:tag w:val="part_dbdcac1b52854a1e86c130130316d67e"/>
                <w:lock w:val="sdtLocked"/>
                <w:richText/>
              </w:sdtPr>
              <w:sdtContent>
                <w:p>
                  <w:pPr>
                    <w:tabs>
                      <w:tab w:val="left" w:pos="0"/>
                      <w:tab w:val="left" w:pos="993"/>
                      <w:tab w:val="left" w:pos="1560"/>
                    </w:tabs>
                    <w:ind w:firstLine="709"/>
                    <w:jc w:val="both"/>
                    <w:rPr>
                      <w:szCs w:val="24"/>
                      <w:lang w:eastAsia="lt-LT"/>
                    </w:rPr>
                  </w:pPr>
                  <w:sdt>
                    <w:sdtPr>
                      <w:alias w:val="Numeris"/>
                      <w:tag w:val="nr_dbdcac1b52854a1e86c130130316d67e"/>
                      <w:lock w:val="sdtLocked"/>
                      <w:richText/>
                    </w:sdtPr>
                    <w:sdtContent>
                      <w:r>
                        <w:rPr>
                          <w:szCs w:val="24"/>
                          <w:lang w:eastAsia="lt-LT"/>
                        </w:rPr>
                        <w:t>19</w:t>
                      </w:r>
                    </w:sdtContent>
                  </w:sdt>
                  <w:r>
                    <w:rPr>
                      <w:szCs w:val="24"/>
                      <w:lang w:eastAsia="lt-LT"/>
                    </w:rPr>
                    <w:t xml:space="preserve">. Prevencinei medicininei psichologinei reabilitacijai dėl aprašo priedo V skyriaus 2–5 punktuose ir 6.6–6.10 papunkčiuose nurodytų indikacijų į Reabilitacijos įstaigas siunčia Medicinos centro gydytojas arba fizinės medicinos ir reabilitacijos gydytojas, užpildęs Formą 027/a, prie jos pridėjęs </w:t>
                  </w:r>
                  <w:r>
                    <w:rPr>
                      <w:szCs w:val="24"/>
                    </w:rPr>
                    <w:t xml:space="preserve">pareigūno pateiktą </w:t>
                  </w:r>
                  <w:r>
                    <w:rPr>
                      <w:szCs w:val="24"/>
                      <w:lang w:eastAsia="lt-LT"/>
                    </w:rPr>
                    <w:t>aprašo 18 punkte nurodytos rekomendacijos kopiją (jei rekomendacija surašyta) ir įrašęs pareigūną į Sąrašą.</w:t>
                  </w:r>
                </w:p>
              </w:sdtContent>
            </w:sdt>
            <w:sdt>
              <w:sdtPr>
                <w:alias w:val="20 p."/>
                <w:tag w:val="part_bcb6ac5722e4448599cf0930395e8dcf"/>
                <w:lock w:val="sdtLocked"/>
                <w:richText/>
              </w:sdtPr>
              <w:sdtContent>
                <w:p>
                  <w:pPr>
                    <w:ind w:firstLine="709"/>
                    <w:jc w:val="both"/>
                    <w:rPr>
                      <w:szCs w:val="24"/>
                    </w:rPr>
                  </w:pPr>
                  <w:sdt>
                    <w:sdtPr>
                      <w:alias w:val="Numeris"/>
                      <w:tag w:val="nr_bcb6ac5722e4448599cf0930395e8dcf"/>
                      <w:lock w:val="sdtLocked"/>
                      <w:richText/>
                    </w:sdtPr>
                    <w:sdtContent>
                      <w:r>
                        <w:rPr>
                          <w:szCs w:val="24"/>
                          <w:lang w:eastAsia="lt-LT"/>
                        </w:rPr>
                        <w:t>20</w:t>
                      </w:r>
                    </w:sdtContent>
                  </w:sdt>
                  <w:r>
                    <w:rPr>
                      <w:szCs w:val="24"/>
                      <w:lang w:eastAsia="lt-LT"/>
                    </w:rPr>
                    <w:t xml:space="preserve">. Pareigūnui, kuriam yra būtina prevencinė medicininė psichologinė reabilitacija dėl aprašo priedo V skyriaus 2–5 punktuose ir 6.6–6.10 papunkčiuose </w:t>
                  </w:r>
                  <w:r>
                    <w:rPr>
                      <w:szCs w:val="24"/>
                    </w:rPr>
                    <w:t>nurodytų indikacijų, kai dėl jų nėra pagrindo jam išduoti elektroninį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51 straipsnio 1 dalyje numatytos atostogos arba </w:t>
                  </w:r>
                  <w:r>
                    <w:rPr>
                      <w:szCs w:val="24"/>
                    </w:rPr>
                    <w:t>į Reabilitacijos įstaigą pareigūnas vyksta laisvu nuo tarnybinių pareigų vykdymo metu.</w:t>
                  </w:r>
                </w:p>
              </w:sdtContent>
            </w:sdt>
            <w:sdt>
              <w:sdtPr>
                <w:alias w:val="21 p."/>
                <w:tag w:val="part_a1fb4b774eed45568c03a41af93ada09"/>
                <w:lock w:val="sdtLocked"/>
                <w:richText/>
              </w:sdtPr>
              <w:sdtContent>
                <w:p>
                  <w:pPr>
                    <w:tabs>
                      <w:tab w:val="left" w:pos="600"/>
                    </w:tabs>
                    <w:ind w:firstLine="771"/>
                    <w:jc w:val="both"/>
                    <w:rPr>
                      <w:szCs w:val="24"/>
                    </w:rPr>
                  </w:pPr>
                  <w:sdt>
                    <w:sdtPr>
                      <w:alias w:val="Numeris"/>
                      <w:tag w:val="nr_a1fb4b774eed45568c03a41af93ada09"/>
                      <w:lock w:val="sdtLocked"/>
                      <w:richText/>
                    </w:sdtPr>
                    <w:sdtContent>
                      <w:r>
                        <w:rPr>
                          <w:szCs w:val="24"/>
                        </w:rPr>
                        <w:t>21</w:t>
                      </w:r>
                    </w:sdtContent>
                  </w:sdt>
                  <w:r>
                    <w:rPr>
                      <w:szCs w:val="24"/>
                    </w:rPr>
                    <w:t>. Užbaigus prevencinės medicininės psichologinės reabilitacijos kursą, Reabilitacijos įstaiga pareigūnui išduoda medicinos dokumentų išrašą (Forma Nr. 027/a), kurį pareigūnas pateikia Medicinos centrui.</w:t>
                  </w:r>
                </w:p>
              </w:sdtContent>
            </w:sdt>
            <w:sdt>
              <w:sdtPr>
                <w:alias w:val="22 p."/>
                <w:tag w:val="part_08c83fdbde184ec1b40e9e45002eac0f"/>
                <w:lock w:val="sdtLocked"/>
                <w:richText/>
              </w:sdtPr>
              <w:sdtContent>
                <w:p>
                  <w:pPr>
                    <w:tabs>
                      <w:tab w:val="left" w:pos="600"/>
                    </w:tabs>
                    <w:ind w:firstLine="771"/>
                    <w:jc w:val="both"/>
                    <w:rPr>
                      <w:szCs w:val="24"/>
                    </w:rPr>
                  </w:pPr>
                  <w:sdt>
                    <w:sdtPr>
                      <w:alias w:val="Numeris"/>
                      <w:tag w:val="nr_08c83fdbde184ec1b40e9e45002eac0f"/>
                      <w:lock w:val="sdtLocked"/>
                      <w:richText/>
                    </w:sdtPr>
                    <w:sdtContent>
                      <w:r>
                        <w:rPr>
                          <w:szCs w:val="24"/>
                        </w:rPr>
                        <w:t>22</w:t>
                      </w:r>
                    </w:sdtContent>
                  </w:sdt>
                  <w:r>
                    <w:rPr>
                      <w:szCs w:val="24"/>
                    </w:rPr>
                    <w:t xml:space="preserve">. Prevencinė psichologinė pagalba </w:t>
                  </w:r>
                  <w:r>
                    <w:t xml:space="preserve">vidaus reikalų ministro valdymo srities </w:t>
                  </w:r>
                  <w:r>
                    <w:rPr>
                      <w:szCs w:val="24"/>
                    </w:rPr>
                    <w:t>statutinėse įstaigose pareigūnams teikiama vadovaujantis Psichologo praktinės veiklos vidaus reikalų statutinėse įstaigose tvarkos aprašu, patvirtintu Lietuvos Respublikos vidaus reikalų ministro 2015 m. balandžio 29 d. įsakymu Nr. 1V-345 „Dėl psichologo praktinės veiklos vidaus reikalų statutinėse įstaigose tvarkos aprašo patvirtinimo“. Juo nustatyta psichologo veiklos paskirtis – stiprinti pareigūnų psichologinį atsparumą psichosocialiniams profesinės rizikos veiksniams ir psichikos sveikatą, prevencinėmis priemonėmis skatinti saugios ir palankios darbo aplinkos tarnyboje kūrimą, po kritinių įvykių padėti pareigūnams atgauti dvasinę darną, gebėjimą gyventi visavertį gyvenimą ir tęsti tarnybą. Teikti psichologinę pagalbą sprendžiant problemas, kylančias dėl smurto, patiriamo tarnyboje, priklausomybių nuo alkoholio, narkotinių, psichotropinių arba kitų svaigiųjų medžiagų, vertinti organizuojamos ir teikiamos psichologinės pagalbos veiksmingumą.</w:t>
                  </w:r>
                </w:p>
                <w:p>
                  <w:pPr>
                    <w:rPr>
                      <w:b/>
                      <w:szCs w:val="24"/>
                    </w:rPr>
                  </w:pPr>
                </w:p>
              </w:sdtContent>
            </w:sdt>
          </w:sdtContent>
        </w:sdt>
        <w:sdt>
          <w:sdtPr>
            <w:alias w:val="skyrius"/>
            <w:tag w:val="part_6f257233c71542219d80930d91efaaa2"/>
            <w:lock w:val="sdtLocked"/>
            <w:richText/>
          </w:sdtPr>
          <w:sdtContent>
            <w:p>
              <w:pPr>
                <w:jc w:val="center"/>
                <w:rPr>
                  <w:b/>
                  <w:szCs w:val="24"/>
                </w:rPr>
              </w:pPr>
              <w:sdt>
                <w:sdtPr>
                  <w:alias w:val="Numeris"/>
                  <w:tag w:val="nr_6f257233c71542219d80930d91efaaa2"/>
                  <w:lock w:val="sdtLocked"/>
                  <w:richText/>
                </w:sdtPr>
                <w:sdtContent>
                  <w:r>
                    <w:rPr>
                      <w:b/>
                      <w:szCs w:val="24"/>
                    </w:rPr>
                    <w:t>V</w:t>
                  </w:r>
                </w:sdtContent>
              </w:sdt>
              <w:r>
                <w:rPr>
                  <w:b/>
                  <w:szCs w:val="24"/>
                </w:rPr>
                <w:t xml:space="preserve"> SKYRIUS</w:t>
              </w:r>
            </w:p>
            <w:p>
              <w:pPr>
                <w:tabs>
                  <w:tab w:val="left" w:pos="993"/>
                </w:tabs>
                <w:jc w:val="center"/>
                <w:rPr>
                  <w:b/>
                  <w:szCs w:val="24"/>
                </w:rPr>
              </w:pPr>
              <w:sdt>
                <w:sdtPr>
                  <w:alias w:val="Pavadinimas"/>
                  <w:tag w:val="title_6f257233c71542219d80930d91efaaa2"/>
                  <w:lock w:val="sdtLocked"/>
                  <w:richText/>
                </w:sdtPr>
                <w:sdtContent>
                  <w:r>
                    <w:rPr>
                      <w:b/>
                      <w:szCs w:val="24"/>
                    </w:rPr>
                    <w:t>PAREIGŪNO POSTVENCINĖS MEDICININĖS PSICHOLOGINĖS REABILITACIJOS ORGANIZAVIMAS</w:t>
                  </w:r>
                </w:sdtContent>
              </w:sdt>
            </w:p>
            <w:p>
              <w:pPr>
                <w:tabs>
                  <w:tab w:val="left" w:pos="600"/>
                </w:tabs>
                <w:ind w:firstLine="709"/>
                <w:jc w:val="both"/>
                <w:rPr>
                  <w:b/>
                  <w:strike/>
                  <w:szCs w:val="24"/>
                  <w:lang w:eastAsia="lt-LT"/>
                </w:rPr>
              </w:pPr>
            </w:p>
            <w:p>
              <w:pPr>
                <w:tabs>
                  <w:tab w:val="left" w:pos="0"/>
                  <w:tab w:val="left" w:pos="993"/>
                  <w:tab w:val="left" w:pos="1560"/>
                </w:tabs>
                <w:ind w:firstLine="771"/>
                <w:jc w:val="both"/>
                <w:rPr>
                  <w:szCs w:val="24"/>
                  <w:lang w:eastAsia="lt-LT"/>
                </w:rPr>
              </w:pPr>
            </w:p>
            <w:sdt>
              <w:sdtPr>
                <w:alias w:val="23 p."/>
                <w:tag w:val="part_04177e95bd6444de98ffae249e3da30d"/>
                <w:lock w:val="sdtLocked"/>
                <w:richText/>
              </w:sdtPr>
              <w:sdtContent>
                <w:p>
                  <w:pPr>
                    <w:tabs>
                      <w:tab w:val="left" w:pos="993"/>
                    </w:tabs>
                    <w:ind w:firstLine="709"/>
                    <w:jc w:val="both"/>
                    <w:rPr>
                      <w:szCs w:val="24"/>
                    </w:rPr>
                  </w:pPr>
                  <w:sdt>
                    <w:sdtPr>
                      <w:alias w:val="Numeris"/>
                      <w:tag w:val="nr_04177e95bd6444de98ffae249e3da30d"/>
                      <w:lock w:val="sdtLocked"/>
                      <w:richText/>
                    </w:sdtPr>
                    <w:sdtContent>
                      <w:r>
                        <w:rPr>
                          <w:szCs w:val="24"/>
                          <w:lang w:eastAsia="lt-LT"/>
                        </w:rPr>
                        <w:t>23</w:t>
                      </w:r>
                    </w:sdtContent>
                  </w:sdt>
                  <w:r>
                    <w:rPr>
                      <w:szCs w:val="24"/>
                      <w:lang w:eastAsia="lt-LT"/>
                    </w:rPr>
                    <w:t xml:space="preserve">. Esant aprašo priedo V skyriaus 1, 7, 8 punktuose ir 6.1–6.5 papunkčiuose nurodytų indikacijų statutinės įstaigos vadovas siunčia pareigūną į Medicinos centrą dėl postvencinės medicininės psichologinės reabilitacijos. Jei statutinėje įstaigoje yra psichologas, jis surašo </w:t>
                  </w:r>
                  <w:r>
                    <w:rPr>
                      <w:szCs w:val="24"/>
                    </w:rPr>
                    <w:t>statutinės įstaigos psichologo rekomendaciją</w:t>
                  </w:r>
                  <w:r>
                    <w:rPr>
                      <w:szCs w:val="24"/>
                      <w:lang w:eastAsia="lt-LT"/>
                    </w:rPr>
                    <w:t xml:space="preserve">, kurios kopiją pareigūnas pateikia </w:t>
                  </w:r>
                  <w:r>
                    <w:rPr>
                      <w:szCs w:val="24"/>
                    </w:rPr>
                    <w:t>aprašo 24 punkte nurodytiems gydytojams</w:t>
                  </w:r>
                  <w:r>
                    <w:rPr>
                      <w:szCs w:val="24"/>
                      <w:lang w:eastAsia="lt-LT"/>
                    </w:rPr>
                    <w:t>. Pastarieji ją prideda prie aprašo 24 punkte nurodytos Formos 027/a.</w:t>
                  </w:r>
                  <w:r>
                    <w:rPr>
                      <w:szCs w:val="24"/>
                    </w:rPr>
                    <w:t xml:space="preserve"> Statutinės įstaigos psichologo rekomendacijoje pateikiama ši informacija: nurodomas pareigūno vidaus tarnybos stažas, pareigos, atsakomybės, aprašomas tarnybos pobūdis, nurodomos problemos, situacijos, kurios turi įtakos pareigūno psichologinei būklei ir (ar) socialinei situacijai ir dėl kurių pareigūnui yra rekomenduotina postvencinė medicininė psichologinė reabilitacija.</w:t>
                  </w:r>
                </w:p>
              </w:sdtContent>
            </w:sdt>
            <w:sdt>
              <w:sdtPr>
                <w:alias w:val="24 p."/>
                <w:tag w:val="part_6f775e61473342ab83feaf22a891f580"/>
                <w:lock w:val="sdtLocked"/>
                <w:richText/>
              </w:sdtPr>
              <w:sdtContent>
                <w:p>
                  <w:pPr>
                    <w:tabs>
                      <w:tab w:val="left" w:pos="0"/>
                      <w:tab w:val="left" w:pos="993"/>
                      <w:tab w:val="left" w:pos="1560"/>
                    </w:tabs>
                    <w:ind w:firstLine="771"/>
                    <w:jc w:val="both"/>
                    <w:rPr>
                      <w:szCs w:val="24"/>
                      <w:lang w:eastAsia="lt-LT"/>
                    </w:rPr>
                  </w:pPr>
                  <w:sdt>
                    <w:sdtPr>
                      <w:alias w:val="Numeris"/>
                      <w:tag w:val="nr_6f775e61473342ab83feaf22a891f580"/>
                      <w:lock w:val="sdtLocked"/>
                      <w:richText/>
                    </w:sdtPr>
                    <w:sdtContent>
                      <w:r>
                        <w:rPr>
                          <w:szCs w:val="24"/>
                        </w:rPr>
                        <w:t>24</w:t>
                      </w:r>
                    </w:sdtContent>
                  </w:sdt>
                  <w:r>
                    <w:rPr>
                      <w:szCs w:val="24"/>
                    </w:rPr>
                    <w:t xml:space="preserve">. </w:t>
                  </w:r>
                  <w:r>
                    <w:rPr>
                      <w:szCs w:val="24"/>
                      <w:lang w:eastAsia="lt-LT"/>
                    </w:rPr>
                    <w:t>Pareigūną postvencinei medicininei psichologinei reabilitacijai dėl aprašo priedo V skyriaus 1, 7, 8 punktuose ir 6.1–6.5 papunkčiuose nurodytų indikacijų į Reabilitacijos įstaigas siunčia Medicinos centro gydytojas arba fizinės medicinos ir reabilitacijos gydytojas, užpildęs Formą 027/a, prie jos pridėjęs</w:t>
                  </w:r>
                  <w:r>
                    <w:rPr>
                      <w:szCs w:val="24"/>
                    </w:rPr>
                    <w:t xml:space="preserve"> pareigūno pateiktą </w:t>
                  </w:r>
                  <w:r>
                    <w:rPr>
                      <w:szCs w:val="24"/>
                      <w:lang w:eastAsia="lt-LT"/>
                    </w:rPr>
                    <w:t>aprašo 23 punkte nurodytos rekomendacijos kopiją (jei rekomendacija surašyta) ir įrašęs pacientą į Sąrašą.</w:t>
                  </w:r>
                </w:p>
              </w:sdtContent>
            </w:sdt>
            <w:sdt>
              <w:sdtPr>
                <w:alias w:val="25 p."/>
                <w:tag w:val="part_cbd12a71bcac47d9b4ee5f0af89359f9"/>
                <w:lock w:val="sdtLocked"/>
                <w:richText/>
              </w:sdtPr>
              <w:sdtContent>
                <w:p>
                  <w:pPr>
                    <w:ind w:firstLine="709"/>
                    <w:jc w:val="both"/>
                    <w:rPr>
                      <w:szCs w:val="24"/>
                      <w:lang w:eastAsia="lt-LT"/>
                    </w:rPr>
                  </w:pPr>
                  <w:sdt>
                    <w:sdtPr>
                      <w:alias w:val="Numeris"/>
                      <w:tag w:val="nr_cbd12a71bcac47d9b4ee5f0af89359f9"/>
                      <w:lock w:val="sdtLocked"/>
                      <w:richText/>
                    </w:sdtPr>
                    <w:sdtContent>
                      <w:r>
                        <w:rPr>
                          <w:szCs w:val="24"/>
                          <w:lang w:eastAsia="lt-LT"/>
                        </w:rPr>
                        <w:t>25</w:t>
                      </w:r>
                    </w:sdtContent>
                  </w:sdt>
                  <w:r>
                    <w:rPr>
                      <w:szCs w:val="24"/>
                      <w:lang w:eastAsia="lt-LT"/>
                    </w:rPr>
                    <w:t xml:space="preserve">. Pareigūnas postvencinei medicininei psichologinei reabilitacijai dėl aprašo priedo V skyriaus </w:t>
                  </w:r>
                  <w:r>
                    <w:rPr>
                      <w:szCs w:val="24"/>
                    </w:rPr>
                    <w:t xml:space="preserve">1, 7, 8 </w:t>
                  </w:r>
                  <w:r>
                    <w:rPr>
                      <w:szCs w:val="24"/>
                      <w:lang w:eastAsia="lt-LT"/>
                    </w:rPr>
                    <w:t>punktuose ir 6.1–6.5 papunkčiuose</w:t>
                  </w:r>
                  <w:r>
                    <w:rPr>
                      <w:szCs w:val="24"/>
                    </w:rPr>
                    <w:t xml:space="preserve"> </w:t>
                  </w:r>
                  <w:r>
                    <w:rPr>
                      <w:szCs w:val="24"/>
                      <w:lang w:eastAsia="lt-LT"/>
                    </w:rPr>
                    <w:t>nurodytų indikacijų į Reabilitacijos įstaigas siunčiamas nedelsiant.</w:t>
                  </w:r>
                </w:p>
              </w:sdtContent>
            </w:sdt>
            <w:sdt>
              <w:sdtPr>
                <w:alias w:val="26 p."/>
                <w:tag w:val="part_1783dc12a14c4355886a4edc8a63b163"/>
                <w:lock w:val="sdtLocked"/>
                <w:richText/>
              </w:sdtPr>
              <w:sdtContent>
                <w:p>
                  <w:pPr>
                    <w:ind w:firstLine="709"/>
                    <w:jc w:val="both"/>
                    <w:rPr>
                      <w:szCs w:val="24"/>
                    </w:rPr>
                  </w:pPr>
                  <w:sdt>
                    <w:sdtPr>
                      <w:alias w:val="Numeris"/>
                      <w:tag w:val="nr_1783dc12a14c4355886a4edc8a63b163"/>
                      <w:lock w:val="sdtLocked"/>
                      <w:richText/>
                    </w:sdtPr>
                    <w:sdtContent>
                      <w:r>
                        <w:rPr>
                          <w:szCs w:val="24"/>
                          <w:lang w:eastAsia="lt-LT"/>
                        </w:rPr>
                        <w:t>26</w:t>
                      </w:r>
                    </w:sdtContent>
                  </w:sdt>
                  <w:r>
                    <w:rPr>
                      <w:szCs w:val="24"/>
                      <w:lang w:eastAsia="lt-LT"/>
                    </w:rPr>
                    <w:t xml:space="preserve">. Pareigūnui, kuriam yra būtina postvencinė medicininė psichologinė reabilitacija dėl aprašo priedo V skyriaus 1, 7, 8 punktuose ir 6.1–6.5 papunkčiuose nurodytų indikacijų, kai dėl jų nėra pagrindo jam duoti elektroninį pažymėjimą postvencinei medicininei psichologinei reabilitacijai, gali būti suteikiamos Vidaus tarnybos statuto 51 straipsnio 1 dalyje numatytos atostogos arba </w:t>
                  </w:r>
                  <w:r>
                    <w:rPr>
                      <w:szCs w:val="24"/>
                    </w:rPr>
                    <w:t>į Reabilitacijos įstaigą pareigūnas vyksta laisvu nuo tarnybinių pareigų vykdymo metu.</w:t>
                  </w:r>
                </w:p>
              </w:sdtContent>
            </w:sdt>
            <w:sdt>
              <w:sdtPr>
                <w:alias w:val="27 p."/>
                <w:tag w:val="part_ac011a3ee633408989549d023a981ac6"/>
                <w:lock w:val="sdtLocked"/>
                <w:richText/>
              </w:sdtPr>
              <w:sdtContent>
                <w:p>
                  <w:pPr>
                    <w:tabs>
                      <w:tab w:val="left" w:pos="0"/>
                      <w:tab w:val="left" w:pos="993"/>
                      <w:tab w:val="left" w:pos="1560"/>
                    </w:tabs>
                    <w:ind w:firstLine="709"/>
                    <w:jc w:val="both"/>
                    <w:rPr>
                      <w:szCs w:val="24"/>
                    </w:rPr>
                  </w:pPr>
                  <w:sdt>
                    <w:sdtPr>
                      <w:alias w:val="Numeris"/>
                      <w:tag w:val="nr_ac011a3ee633408989549d023a981ac6"/>
                      <w:lock w:val="sdtLocked"/>
                      <w:richText/>
                    </w:sdtPr>
                    <w:sdtContent>
                      <w:r>
                        <w:rPr>
                          <w:szCs w:val="24"/>
                          <w:lang w:eastAsia="lt-LT"/>
                        </w:rPr>
                        <w:t>27</w:t>
                      </w:r>
                    </w:sdtContent>
                  </w:sdt>
                  <w:r>
                    <w:rPr>
                      <w:szCs w:val="24"/>
                      <w:lang w:eastAsia="lt-LT"/>
                    </w:rPr>
                    <w:t xml:space="preserve">. </w:t>
                  </w:r>
                  <w:r>
                    <w:rPr>
                      <w:szCs w:val="24"/>
                    </w:rPr>
                    <w:t>Užbaigus postvencinės medicininės psichologinės reabilitacijos kursą, Reabilitacijos įstaiga pareigūnui išduoda medicinos dokumentų išrašą (Forma Nr. 027/a), kurį pareigūnas pateikia Medicinos centrui.</w:t>
                  </w:r>
                </w:p>
                <w:p>
                  <w:pPr>
                    <w:rPr>
                      <w:szCs w:val="24"/>
                    </w:rPr>
                  </w:pPr>
                </w:p>
              </w:sdtContent>
            </w:sdt>
          </w:sdtContent>
        </w:sdt>
        <w:sdt>
          <w:sdtPr>
            <w:alias w:val="skyrius"/>
            <w:tag w:val="part_81e025185a3b45c69efec59cd2518b9e"/>
            <w:lock w:val="sdtLocked"/>
            <w:richText/>
          </w:sdtPr>
          <w:sdtContent>
            <w:p>
              <w:pPr>
                <w:tabs>
                  <w:tab w:val="left" w:pos="993"/>
                </w:tabs>
                <w:jc w:val="center"/>
                <w:rPr>
                  <w:b/>
                  <w:szCs w:val="24"/>
                </w:rPr>
              </w:pPr>
              <w:sdt>
                <w:sdtPr>
                  <w:alias w:val="Numeris"/>
                  <w:tag w:val="nr_81e025185a3b45c69efec59cd2518b9e"/>
                  <w:lock w:val="sdtLocked"/>
                  <w:richText/>
                </w:sdtPr>
                <w:sdtContent>
                  <w:r>
                    <w:rPr>
                      <w:b/>
                      <w:szCs w:val="24"/>
                    </w:rPr>
                    <w:t>VI</w:t>
                  </w:r>
                </w:sdtContent>
              </w:sdt>
              <w:r>
                <w:rPr>
                  <w:b/>
                  <w:szCs w:val="24"/>
                </w:rPr>
                <w:t xml:space="preserve"> SKYRIUS</w:t>
              </w:r>
            </w:p>
            <w:p>
              <w:pPr>
                <w:tabs>
                  <w:tab w:val="left" w:pos="993"/>
                </w:tabs>
                <w:jc w:val="center"/>
                <w:rPr>
                  <w:b/>
                  <w:szCs w:val="24"/>
                </w:rPr>
              </w:pPr>
              <w:sdt>
                <w:sdtPr>
                  <w:alias w:val="Pavadinimas"/>
                  <w:tag w:val="title_81e025185a3b45c69efec59cd2518b9e"/>
                  <w:lock w:val="sdtLocked"/>
                  <w:richText/>
                </w:sdtPr>
                <w:sdtContent>
                  <w:r>
                    <w:rPr>
                      <w:b/>
                      <w:szCs w:val="24"/>
                    </w:rPr>
                    <w:t xml:space="preserve">NEAPMOKAMŲ IŠ PSDF BIUDŽETO PASLAUGŲ IR APMOKAMOS IŠ DALIES IŠ PSDF BIUDŽETO MEDICININĖS REABILITACIJOS APMOKĖJIMAS IŠ VALSTYBĖS BIUDŽETO </w:t>
                  </w:r>
                </w:sdtContent>
              </w:sdt>
            </w:p>
            <w:p>
              <w:pPr>
                <w:tabs>
                  <w:tab w:val="left" w:pos="993"/>
                </w:tabs>
                <w:jc w:val="center"/>
                <w:rPr>
                  <w:b/>
                  <w:szCs w:val="24"/>
                </w:rPr>
              </w:pPr>
            </w:p>
            <w:sdt>
              <w:sdtPr>
                <w:alias w:val="28 p."/>
                <w:tag w:val="part_15c5c88b95994cd4bb7c098ed3611200"/>
                <w:lock w:val="sdtLocked"/>
                <w:richText/>
              </w:sdtPr>
              <w:sdtContent>
                <w:p>
                  <w:pPr>
                    <w:ind w:firstLine="709"/>
                    <w:jc w:val="both"/>
                    <w:rPr>
                      <w:szCs w:val="24"/>
                      <w:lang w:eastAsia="lt-LT"/>
                    </w:rPr>
                  </w:pPr>
                  <w:sdt>
                    <w:sdtPr>
                      <w:alias w:val="Numeris"/>
                      <w:tag w:val="nr_15c5c88b95994cd4bb7c098ed3611200"/>
                      <w:lock w:val="sdtLocked"/>
                      <w:richText/>
                    </w:sdtPr>
                    <w:sdtContent>
                      <w:r>
                        <w:rPr>
                          <w:szCs w:val="24"/>
                        </w:rPr>
                        <w:t>28</w:t>
                      </w:r>
                    </w:sdtContent>
                  </w:sdt>
                  <w:r>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9 p."/>
                <w:tag w:val="part_0923a48566bf4ab7a447bd879ec496d0"/>
                <w:lock w:val="sdtLocked"/>
                <w:richText/>
              </w:sdtPr>
              <w:sdtContent>
                <w:p>
                  <w:pPr>
                    <w:tabs>
                      <w:tab w:val="left" w:pos="993"/>
                    </w:tabs>
                    <w:ind w:firstLine="709"/>
                    <w:jc w:val="both"/>
                    <w:rPr>
                      <w:szCs w:val="24"/>
                      <w:lang w:eastAsia="lt-LT"/>
                    </w:rPr>
                  </w:pPr>
                  <w:sdt>
                    <w:sdtPr>
                      <w:alias w:val="Numeris"/>
                      <w:tag w:val="nr_0923a48566bf4ab7a447bd879ec496d0"/>
                      <w:lock w:val="sdtLocked"/>
                      <w:richText/>
                    </w:sdtPr>
                    <w:sdtContent>
                      <w:r>
                        <w:rPr>
                          <w:szCs w:val="24"/>
                          <w:lang w:eastAsia="lt-LT"/>
                        </w:rPr>
                        <w:t>29</w:t>
                      </w:r>
                    </w:sdtContent>
                  </w:sdt>
                  <w:r>
                    <w:rPr>
                      <w:szCs w:val="24"/>
                      <w:lang w:eastAsia="lt-LT"/>
                    </w:rPr>
                    <w:t>. Iš Vidaus reikalų ministerijos atitinkamai programai skirtų valstybės biudžeto lėšų apmokamos paciento faktiškai gautos medicininės reabilitacijos, sveikatos grąžinamojo gydymo, antirecidyvinio gydymo, prevencinės, postvencinės medicininės psichologinės reabilitacijos paslaugos Reabilitacijos įstaigose, bet už ne ilgesnį laiką kaip aprašo priede nustatytas maksimalus laikas.</w:t>
                  </w:r>
                </w:p>
              </w:sdtContent>
            </w:sdt>
            <w:sdt>
              <w:sdtPr>
                <w:alias w:val="30 p."/>
                <w:tag w:val="part_00672e064ee141aaafb9bd4837b53fe6"/>
                <w:lock w:val="sdtLocked"/>
                <w:richText/>
              </w:sdtPr>
              <w:sdtContent>
                <w:p>
                  <w:pPr>
                    <w:tabs>
                      <w:tab w:val="left" w:pos="993"/>
                    </w:tabs>
                    <w:ind w:firstLine="709"/>
                    <w:jc w:val="both"/>
                    <w:rPr>
                      <w:szCs w:val="24"/>
                      <w:lang w:eastAsia="lt-LT"/>
                    </w:rPr>
                  </w:pPr>
                  <w:sdt>
                    <w:sdtPr>
                      <w:alias w:val="Numeris"/>
                      <w:tag w:val="nr_00672e064ee141aaafb9bd4837b53fe6"/>
                      <w:lock w:val="sdtLocked"/>
                      <w:richText/>
                    </w:sdtPr>
                    <w:sdtContent>
                      <w:r>
                        <w:rPr>
                          <w:szCs w:val="24"/>
                          <w:lang w:eastAsia="lt-LT"/>
                        </w:rPr>
                        <w:t>30</w:t>
                      </w:r>
                    </w:sdtContent>
                  </w:sdt>
                  <w:r>
                    <w:rPr>
                      <w:szCs w:val="24"/>
                      <w:lang w:eastAsia="lt-LT"/>
                    </w:rPr>
                    <w:t>.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17 punkte nurodytus dokumentus ir įsitikinęs, kad pareigūno sveikatos sutrikdymas yra susijęs su tarnybinių pareigų vykdymu.</w:t>
                  </w:r>
                </w:p>
                <w:p>
                  <w:pPr>
                    <w:jc w:val="center"/>
                    <w:rPr>
                      <w:b/>
                      <w:szCs w:val="24"/>
                    </w:rPr>
                  </w:pPr>
                </w:p>
              </w:sdtContent>
            </w:sdt>
          </w:sdtContent>
        </w:sdt>
        <w:sdt>
          <w:sdtPr>
            <w:alias w:val="skyrius"/>
            <w:tag w:val="part_bbf4da4293504caa9aa22fec79b73208"/>
            <w:lock w:val="sdtLocked"/>
            <w:richText/>
          </w:sdtPr>
          <w:sdtContent>
            <w:p>
              <w:pPr>
                <w:jc w:val="center"/>
                <w:rPr>
                  <w:b/>
                  <w:szCs w:val="24"/>
                </w:rPr>
              </w:pPr>
              <w:sdt>
                <w:sdtPr>
                  <w:alias w:val="Numeris"/>
                  <w:tag w:val="nr_bbf4da4293504caa9aa22fec79b73208"/>
                  <w:lock w:val="sdtLocked"/>
                  <w:richText/>
                </w:sdtPr>
                <w:sdtContent>
                  <w:r>
                    <w:rPr>
                      <w:b/>
                      <w:szCs w:val="24"/>
                    </w:rPr>
                    <w:t>VII</w:t>
                  </w:r>
                </w:sdtContent>
              </w:sdt>
              <w:r>
                <w:rPr>
                  <w:b/>
                  <w:szCs w:val="24"/>
                </w:rPr>
                <w:t xml:space="preserve"> SKYRIUS</w:t>
              </w:r>
            </w:p>
            <w:p>
              <w:pPr>
                <w:tabs>
                  <w:tab w:val="left" w:pos="993"/>
                </w:tabs>
                <w:jc w:val="center"/>
                <w:rPr>
                  <w:b/>
                  <w:szCs w:val="24"/>
                </w:rPr>
              </w:pPr>
              <w:sdt>
                <w:sdtPr>
                  <w:alias w:val="Pavadinimas"/>
                  <w:tag w:val="title_bbf4da4293504caa9aa22fec79b73208"/>
                  <w:lock w:val="sdtLocked"/>
                  <w:richText/>
                </w:sdtPr>
                <w:sdtContent>
                  <w:r>
                    <w:rPr>
                      <w:b/>
                      <w:szCs w:val="24"/>
                    </w:rPr>
                    <w:t>BAIGIAMOSIOS NUOSTATOS</w:t>
                  </w:r>
                </w:sdtContent>
              </w:sdt>
            </w:p>
            <w:p>
              <w:pPr>
                <w:rPr>
                  <w:szCs w:val="24"/>
                </w:rPr>
              </w:pPr>
            </w:p>
            <w:sdt>
              <w:sdtPr>
                <w:alias w:val="31 p."/>
                <w:tag w:val="part_f198ac38067549f8b915b64830c9a561"/>
                <w:lock w:val="sdtLocked"/>
                <w:richText/>
              </w:sdtPr>
              <w:sdtContent>
                <w:p>
                  <w:pPr>
                    <w:ind w:firstLine="709"/>
                    <w:jc w:val="both"/>
                    <w:rPr>
                      <w:szCs w:val="24"/>
                      <w:lang w:eastAsia="lt-LT"/>
                    </w:rPr>
                  </w:pPr>
                  <w:sdt>
                    <w:sdtPr>
                      <w:alias w:val="Numeris"/>
                      <w:tag w:val="nr_f198ac38067549f8b915b64830c9a561"/>
                      <w:lock w:val="sdtLocked"/>
                      <w:richText/>
                    </w:sdtPr>
                    <w:sdtContent>
                      <w:r>
                        <w:rPr>
                          <w:szCs w:val="24"/>
                          <w:lang w:eastAsia="lt-LT"/>
                        </w:rPr>
                        <w:t>31</w:t>
                      </w:r>
                    </w:sdtContent>
                  </w:sdt>
                  <w:r>
                    <w:rPr>
                      <w:szCs w:val="24"/>
                      <w:lang w:eastAsia="lt-LT"/>
                    </w:rPr>
                    <w:t>. Pacientas privalo laikytis Reabilitacijos įstaigos vadovo nustatytų vidaus tvarkos taisyklių (toliau – Vidaus tvarkos taisyklės). Vidaus tvarkos taisykles pažeidusiam pacientui medicininės reabilitacijos, sveikatos grąžinamojo gydymo, antirecidyvinio gydymo, prevencinės, postvencinės medicininės psichologinės reabilitacijos kursas gali būti nutrauktas. Apie pareigūną, kuris pažeidžia Vidaus tvarkos taisykles, Reabilitacijos įstaigos vadovas raštu informuoja statutinės įstaigos, kurioje pareigūnas eina pareigas, vadovą.</w:t>
                  </w:r>
                </w:p>
              </w:sdtContent>
            </w:sdt>
            <w:sdt>
              <w:sdtPr>
                <w:alias w:val="32 p."/>
                <w:tag w:val="part_ddba5352014d4c28a94782e906e76616"/>
                <w:lock w:val="sdtLocked"/>
                <w:richText/>
              </w:sdtPr>
              <w:sdtContent>
                <w:p>
                  <w:pPr>
                    <w:tabs>
                      <w:tab w:val="left" w:pos="993"/>
                    </w:tabs>
                    <w:ind w:firstLine="771"/>
                    <w:jc w:val="both"/>
                    <w:rPr>
                      <w:szCs w:val="24"/>
                    </w:rPr>
                  </w:pPr>
                  <w:sdt>
                    <w:sdtPr>
                      <w:alias w:val="Numeris"/>
                      <w:tag w:val="nr_ddba5352014d4c28a94782e906e76616"/>
                      <w:lock w:val="sdtLocked"/>
                      <w:richText/>
                    </w:sdtPr>
                    <w:sdtContent>
                      <w:r>
                        <w:rPr>
                          <w:szCs w:val="24"/>
                          <w:lang w:eastAsia="lt-LT"/>
                        </w:rPr>
                        <w:t>32</w:t>
                      </w:r>
                    </w:sdtContent>
                  </w:sdt>
                  <w:r>
                    <w:rPr>
                      <w:szCs w:val="24"/>
                      <w:lang w:eastAsia="lt-LT"/>
                    </w:rPr>
                    <w:t xml:space="preserve">. Statutinės įstaigos vadovas užtikrina pareigūnų konsultavimą statutinėje įstaigoje medicininės reabilitacijos, sveikatos grąžinamojo, antirecidyvinio gydymo, prevencinės, postvencinės medicininės psichologinės reabilitacijos organizavimo klausimais bei, esant aprašo priedo V skyriuje nurodytoms indikacijoms, </w:t>
                  </w:r>
                  <w:r>
                    <w:rPr>
                      <w:szCs w:val="24"/>
                    </w:rPr>
                    <w:t xml:space="preserve">siuntimą į Medicinos centrą dėl </w:t>
                  </w:r>
                  <w:r>
                    <w:rPr>
                      <w:szCs w:val="24"/>
                      <w:lang w:eastAsia="lt-LT"/>
                    </w:rPr>
                    <w:t>prevencinės, postvencinės medicininės psichologinės reabilitacijos.</w:t>
                  </w:r>
                </w:p>
              </w:sdtContent>
            </w:sdt>
            <w:sdt>
              <w:sdtPr>
                <w:alias w:val="33 p."/>
                <w:tag w:val="part_fc5e4e654c2c47bd9c8420be8b9d65d5"/>
                <w:lock w:val="sdtLocked"/>
                <w:richText/>
              </w:sdtPr>
              <w:sdtContent>
                <w:p>
                  <w:pPr>
                    <w:ind w:firstLine="771"/>
                    <w:jc w:val="both"/>
                    <w:rPr>
                      <w:szCs w:val="24"/>
                      <w:lang w:eastAsia="lt-LT"/>
                    </w:rPr>
                  </w:pPr>
                  <w:sdt>
                    <w:sdtPr>
                      <w:alias w:val="Numeris"/>
                      <w:tag w:val="nr_fc5e4e654c2c47bd9c8420be8b9d65d5"/>
                      <w:lock w:val="sdtLocked"/>
                      <w:richText/>
                    </w:sdtPr>
                    <w:sdtContent>
                      <w:r>
                        <w:rPr>
                          <w:szCs w:val="24"/>
                          <w:lang w:eastAsia="lt-LT"/>
                        </w:rPr>
                        <w:t>33</w:t>
                      </w:r>
                    </w:sdtContent>
                  </w:sdt>
                  <w:r>
                    <w:rPr>
                      <w:szCs w:val="24"/>
                      <w:lang w:eastAsia="lt-LT"/>
                    </w:rPr>
                    <w:t>. Atsisakyti postvencinės medicininės psichologinės reabilitacijos dėl aprašo priedo V skyriaus 1, 7, 8 punktuose ir 6.1–6.5 papunkčiuose nurodytų indikacijų pareigūnas turi teisę rašytiniu prašymu, adresuotu statutinės įstaigos, kurioje jis eina pareigas, vadovui. Šiame punkte nurodytas prašymas įdedamas į pareigūno tarnybos bylą.</w:t>
                  </w:r>
                </w:p>
              </w:sdtContent>
            </w:sdt>
            <w:sdt>
              <w:sdtPr>
                <w:alias w:val="34 p."/>
                <w:tag w:val="part_3ac5c84976d74bbbb76a95fbe150cfd3"/>
                <w:lock w:val="sdtLocked"/>
                <w:richText/>
              </w:sdtPr>
              <w:sdtContent>
                <w:p>
                  <w:pPr>
                    <w:ind w:firstLine="709"/>
                    <w:jc w:val="both"/>
                    <w:rPr>
                      <w:szCs w:val="24"/>
                    </w:rPr>
                  </w:pPr>
                  <w:sdt>
                    <w:sdtPr>
                      <w:alias w:val="Numeris"/>
                      <w:tag w:val="nr_3ac5c84976d74bbbb76a95fbe150cfd3"/>
                      <w:lock w:val="sdtLocked"/>
                      <w:richText/>
                    </w:sdtPr>
                    <w:sdtContent>
                      <w:r>
                        <w:rPr>
                          <w:szCs w:val="24"/>
                          <w:lang w:eastAsia="lt-LT"/>
                        </w:rPr>
                        <w:t>34</w:t>
                      </w:r>
                    </w:sdtContent>
                  </w:sdt>
                  <w:r>
                    <w:rPr>
                      <w:szCs w:val="24"/>
                      <w:lang w:eastAsia="lt-LT"/>
                    </w:rPr>
                    <w:t>. B</w:t>
                  </w:r>
                  <w:r>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p>
                  <w:pPr>
                    <w:tabs>
                      <w:tab w:val="left" w:pos="993"/>
                    </w:tabs>
                    <w:ind w:firstLine="709"/>
                    <w:jc w:val="both"/>
                    <w:rPr>
                      <w:szCs w:val="24"/>
                      <w:lang w:eastAsia="lt-LT"/>
                    </w:rPr>
                  </w:pPr>
                </w:p>
              </w:sdtContent>
            </w:sdt>
          </w:sdtContent>
        </w:sdt>
        <w:sdt>
          <w:sdtPr>
            <w:alias w:val="pabaiga"/>
            <w:tag w:val="part_e0e261f68aa64602a647d1698b5564e0"/>
            <w:lock w:val="sdtLocked"/>
            <w:richText/>
          </w:sdtPr>
          <w:sdtContent>
            <w:p>
              <w:pPr>
                <w:jc w:val="center"/>
              </w:pPr>
              <w:r>
                <w:rPr>
                  <w:szCs w:val="24"/>
                </w:rPr>
                <w:t>___________________</w:t>
              </w:r>
            </w:p>
          </w:sdtContent>
        </w:sdt>
      </w:sdtContent>
    </w:sdt>
    <w:sdt>
      <w:sdtPr>
        <w:alias w:val="pr."/>
        <w:tag w:val="part_e0b9d513848c420c9590cb081b7a5702"/>
        <w:lock w:val="sdtLocked"/>
        <w:richText/>
      </w:sdtPr>
      <w:sdtContent>
        <w:p>
          <w:pPr>
            <w:ind w:left="4536"/>
            <w:sectPr>
              <w:pgSz w:w="11906" w:h="16838"/>
              <w:pgMar w:top="1135" w:right="567" w:bottom="1134" w:left="1701" w:header="571" w:footer="567" w:gutter="0"/>
              <w:pgNumType w:start="1"/>
              <w:cols w:space="1296"/>
              <w:titlePg/>
              <w:docGrid w:linePitch="360"/>
            </w:sectPr>
          </w:pPr>
        </w:p>
        <w:p>
          <w:pPr>
            <w:ind w:left="4536"/>
            <w:rPr>
              <w:szCs w:val="24"/>
            </w:rPr>
          </w:pPr>
          <w:r>
            <w:rPr>
              <w:szCs w:val="24"/>
            </w:rPr>
            <w:t>Vidaus tarnybos sistemos pareigūnų medicininės</w:t>
          </w:r>
        </w:p>
        <w:p>
          <w:pPr>
            <w:ind w:left="4536"/>
            <w:rPr>
              <w:szCs w:val="24"/>
            </w:rPr>
          </w:pPr>
          <w:r>
            <w:rPr>
              <w:szCs w:val="24"/>
            </w:rPr>
            <w:t>reabilitacijos, prevencinės medicininės ir</w:t>
          </w:r>
        </w:p>
        <w:p>
          <w:pPr>
            <w:ind w:left="4536"/>
            <w:rPr>
              <w:szCs w:val="24"/>
            </w:rPr>
          </w:pPr>
          <w:r>
            <w:rPr>
              <w:szCs w:val="24"/>
            </w:rPr>
            <w:t>psichologinės reabilitacijos, sveikatos grąžinamojo ir</w:t>
          </w:r>
        </w:p>
        <w:p>
          <w:pPr>
            <w:ind w:left="4536"/>
            <w:rPr>
              <w:szCs w:val="24"/>
            </w:rPr>
          </w:pPr>
          <w:r>
            <w:rPr>
              <w:szCs w:val="24"/>
            </w:rPr>
            <w:t>antirecidyvinio gydymo, kai tai iš dalies apmokama</w:t>
          </w:r>
        </w:p>
        <w:p>
          <w:pPr>
            <w:ind w:left="4536"/>
            <w:rPr>
              <w:szCs w:val="24"/>
            </w:rPr>
          </w:pPr>
          <w:r>
            <w:rPr>
              <w:szCs w:val="24"/>
            </w:rPr>
            <w:t>arba neapmokama iš Privalomojo sveikatos</w:t>
          </w:r>
        </w:p>
        <w:p>
          <w:pPr>
            <w:ind w:left="4536"/>
            <w:rPr>
              <w:szCs w:val="24"/>
            </w:rPr>
          </w:pPr>
          <w:r>
            <w:rPr>
              <w:szCs w:val="24"/>
            </w:rPr>
            <w:t xml:space="preserve">draudimo fondo biudžeto, tvarkos aprašo </w:t>
          </w:r>
        </w:p>
        <w:p>
          <w:pPr>
            <w:ind w:left="4536"/>
            <w:rPr>
              <w:szCs w:val="24"/>
            </w:rPr>
          </w:pPr>
          <w:r>
            <w:rPr>
              <w:szCs w:val="24"/>
            </w:rPr>
            <w:t>priedas</w:t>
          </w:r>
        </w:p>
        <w:p>
          <w:pPr>
            <w:rPr>
              <w:szCs w:val="24"/>
            </w:rPr>
          </w:pPr>
        </w:p>
        <w:p>
          <w:pPr>
            <w:widowControl w:val="0"/>
            <w:ind w:left="40"/>
            <w:jc w:val="center"/>
            <w:rPr>
              <w:b/>
              <w:bCs/>
              <w:szCs w:val="24"/>
              <w:lang w:eastAsia="lt-LT"/>
            </w:rPr>
          </w:pPr>
          <w:sdt>
            <w:sdtPr>
              <w:alias w:val="Pavadinimas"/>
              <w:tag w:val="title_e0b9d513848c420c9590cb081b7a5702"/>
              <w:lock w:val="sdtLocked"/>
              <w:richText/>
            </w:sdtPr>
            <w:sdtContent>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pPr>
            <w:rPr>
              <w:b/>
              <w:bCs/>
              <w:szCs w:val="24"/>
            </w:rPr>
          </w:pPr>
        </w:p>
        <w:sdt>
          <w:sdtPr>
            <w:alias w:val="skyrius"/>
            <w:tag w:val="part_5427047df7814f7c807f8cbb8211df82"/>
            <w:lock w:val="sdtLocked"/>
            <w:richText/>
          </w:sdtPr>
          <w:sdtContent>
            <w:p>
              <w:pPr>
                <w:jc w:val="center"/>
                <w:rPr>
                  <w:b/>
                  <w:szCs w:val="24"/>
                </w:rPr>
              </w:pPr>
              <w:sdt>
                <w:sdtPr>
                  <w:alias w:val="Numeris"/>
                  <w:tag w:val="nr_5427047df7814f7c807f8cbb8211df82"/>
                  <w:lock w:val="sdtLocked"/>
                  <w:richText/>
                </w:sdtPr>
                <w:sdtContent>
                  <w:r>
                    <w:rPr>
                      <w:b/>
                      <w:szCs w:val="24"/>
                    </w:rPr>
                    <w:t>I</w:t>
                  </w:r>
                </w:sdtContent>
              </w:sdt>
              <w:r>
                <w:rPr>
                  <w:b/>
                  <w:szCs w:val="24"/>
                </w:rPr>
                <w:t xml:space="preserve"> SKYRIUS</w:t>
              </w:r>
            </w:p>
            <w:p>
              <w:pPr>
                <w:widowControl w:val="0"/>
                <w:ind w:left="40"/>
                <w:jc w:val="center"/>
                <w:rPr>
                  <w:b/>
                  <w:bCs/>
                  <w:szCs w:val="24"/>
                  <w:lang w:eastAsia="lt-LT"/>
                </w:rPr>
              </w:pPr>
              <w:sdt>
                <w:sdtPr>
                  <w:alias w:val="Pavadinimas"/>
                  <w:tag w:val="title_5427047df7814f7c807f8cbb8211df82"/>
                  <w:lock w:val="sdtLocked"/>
                  <w:richText/>
                </w:sdtPr>
                <w:sdtContent>
                  <w:r>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Cs w:val="24"/>
                </w:rPr>
              </w:pPr>
            </w:p>
            <w:sdt>
              <w:sdtPr>
                <w:alias w:val="pr. 1 p."/>
                <w:tag w:val="part_5e1d93b1e6e5433497caf08fd44fc16f"/>
                <w:lock w:val="sdtLocked"/>
                <w:richText/>
              </w:sdtPr>
              <w:sdtContent>
                <w:p>
                  <w:pPr>
                    <w:widowControl w:val="0"/>
                    <w:tabs>
                      <w:tab w:val="left" w:pos="1300"/>
                    </w:tabs>
                    <w:ind w:firstLine="709"/>
                    <w:jc w:val="both"/>
                    <w:rPr>
                      <w:szCs w:val="24"/>
                      <w:lang w:eastAsia="lt-LT"/>
                    </w:rPr>
                  </w:pPr>
                  <w:sdt>
                    <w:sdtPr>
                      <w:alias w:val="Numeris"/>
                      <w:tag w:val="nr_5e1d93b1e6e5433497caf08fd44fc16f"/>
                      <w:lock w:val="sdtLocked"/>
                      <w:richText/>
                    </w:sdtPr>
                    <w:sdtContent>
                      <w:r>
                        <w:rPr>
                          <w:bCs/>
                          <w:szCs w:val="24"/>
                          <w:lang w:eastAsia="lt-LT"/>
                        </w:rPr>
                        <w:t>1</w:t>
                      </w:r>
                    </w:sdtContent>
                  </w:sdt>
                  <w:r>
                    <w:rPr>
                      <w:bCs/>
                      <w:szCs w:val="24"/>
                      <w:lang w:eastAsia="lt-LT"/>
                    </w:rPr>
                    <w:t xml:space="preserve">. </w:t>
                  </w:r>
                  <w:r>
                    <w:rPr>
                      <w:szCs w:val="24"/>
                      <w:lang w:eastAsia="lt-LT"/>
                    </w:rPr>
                    <w:t>Reabilitacijos įstaigose teikiamos paslaugos:</w:t>
                  </w:r>
                </w:p>
                <w:sdt>
                  <w:sdtPr>
                    <w:alias w:val="pr. 1.1 pp."/>
                    <w:tag w:val="part_ca7c68ea4ab24621be754eeb5df28687"/>
                    <w:lock w:val="sdtLocked"/>
                    <w:richText/>
                  </w:sdtPr>
                  <w:sdtContent>
                    <w:p>
                      <w:pPr>
                        <w:widowControl w:val="0"/>
                        <w:tabs>
                          <w:tab w:val="left" w:pos="1300"/>
                        </w:tabs>
                        <w:ind w:firstLine="709"/>
                        <w:jc w:val="both"/>
                        <w:rPr>
                          <w:szCs w:val="24"/>
                          <w:lang w:eastAsia="lt-LT"/>
                        </w:rPr>
                      </w:pPr>
                      <w:sdt>
                        <w:sdtPr>
                          <w:alias w:val="Numeris"/>
                          <w:tag w:val="nr_ca7c68ea4ab24621be754eeb5df28687"/>
                          <w:lock w:val="sdtLocked"/>
                          <w:richText/>
                        </w:sdtPr>
                        <w:sdtContent>
                          <w:r>
                            <w:rPr>
                              <w:szCs w:val="24"/>
                              <w:lang w:eastAsia="lt-LT"/>
                            </w:rPr>
                            <w:t>1.1</w:t>
                          </w:r>
                        </w:sdtContent>
                      </w:sdt>
                      <w:r>
                        <w:rPr>
                          <w:szCs w:val="24"/>
                          <w:lang w:eastAsia="lt-LT"/>
                        </w:rPr>
                        <w:t>. Visą parą teikiamos paslaugos:</w:t>
                      </w:r>
                    </w:p>
                    <w:sdt>
                      <w:sdtPr>
                        <w:alias w:val="pr. 1.1.1 pp."/>
                        <w:tag w:val="part_f89a0fb0c02242a29ad72b9a760a6c1a"/>
                        <w:lock w:val="sdtLocked"/>
                        <w:richText/>
                      </w:sdtPr>
                      <w:sdtContent>
                        <w:p>
                          <w:pPr>
                            <w:widowControl w:val="0"/>
                            <w:tabs>
                              <w:tab w:val="left" w:pos="1300"/>
                            </w:tabs>
                            <w:ind w:firstLine="709"/>
                            <w:jc w:val="both"/>
                            <w:rPr>
                              <w:szCs w:val="24"/>
                              <w:lang w:eastAsia="lt-LT"/>
                            </w:rPr>
                          </w:pPr>
                          <w:sdt>
                            <w:sdtPr>
                              <w:alias w:val="Numeris"/>
                              <w:tag w:val="nr_f89a0fb0c02242a29ad72b9a760a6c1a"/>
                              <w:lock w:val="sdtLocked"/>
                              <w:richText/>
                            </w:sdtPr>
                            <w:sdtContent>
                              <w:r>
                                <w:rPr>
                                  <w:szCs w:val="24"/>
                                  <w:lang w:eastAsia="lt-LT"/>
                                </w:rPr>
                                <w:t>1.1.1</w:t>
                              </w:r>
                            </w:sdtContent>
                          </w:sdt>
                          <w:r>
                            <w:rPr>
                              <w:szCs w:val="24"/>
                              <w:lang w:eastAsia="lt-LT"/>
                            </w:rPr>
                            <w:t>. būtinosios medicinos pagalbos ir antrinio lygio reanimacijos ir intensyvios terapijos;</w:t>
                          </w:r>
                        </w:p>
                      </w:sdtContent>
                    </w:sdt>
                    <w:sdt>
                      <w:sdtPr>
                        <w:alias w:val="pr. 1.1.2 pp."/>
                        <w:tag w:val="part_e9b4d4d3a83e47538a542db0d87888a6"/>
                        <w:lock w:val="sdtLocked"/>
                        <w:richText/>
                      </w:sdtPr>
                      <w:sdtContent>
                        <w:p>
                          <w:pPr>
                            <w:widowControl w:val="0"/>
                            <w:tabs>
                              <w:tab w:val="left" w:pos="1300"/>
                            </w:tabs>
                            <w:ind w:firstLine="709"/>
                            <w:jc w:val="both"/>
                            <w:rPr>
                              <w:szCs w:val="24"/>
                              <w:lang w:eastAsia="lt-LT"/>
                            </w:rPr>
                          </w:pPr>
                          <w:sdt>
                            <w:sdtPr>
                              <w:alias w:val="Numeris"/>
                              <w:tag w:val="nr_e9b4d4d3a83e47538a542db0d87888a6"/>
                              <w:lock w:val="sdtLocked"/>
                              <w:richText/>
                            </w:sdtPr>
                            <w:sdtContent>
                              <w:r>
                                <w:rPr>
                                  <w:szCs w:val="24"/>
                                  <w:lang w:eastAsia="lt-LT"/>
                                </w:rPr>
                                <w:t>1.1.2</w:t>
                              </w:r>
                            </w:sdtContent>
                          </w:sdt>
                          <w:r>
                            <w:rPr>
                              <w:szCs w:val="24"/>
                              <w:lang w:eastAsia="lt-LT"/>
                            </w:rPr>
                            <w:t>. slaugytojo ir gydytojo specialisto.</w:t>
                          </w:r>
                        </w:p>
                      </w:sdtContent>
                    </w:sdt>
                  </w:sdtContent>
                </w:sdt>
                <w:sdt>
                  <w:sdtPr>
                    <w:alias w:val="pr. 1.2 pp."/>
                    <w:tag w:val="part_eee7c93a1c2b48f7ad0a90b9c829bc0f"/>
                    <w:lock w:val="sdtLocked"/>
                    <w:richText/>
                  </w:sdtPr>
                  <w:sdtContent>
                    <w:p>
                      <w:pPr>
                        <w:widowControl w:val="0"/>
                        <w:tabs>
                          <w:tab w:val="left" w:pos="1300"/>
                        </w:tabs>
                        <w:ind w:firstLine="709"/>
                        <w:jc w:val="both"/>
                        <w:rPr>
                          <w:szCs w:val="24"/>
                          <w:lang w:eastAsia="lt-LT"/>
                        </w:rPr>
                      </w:pPr>
                      <w:sdt>
                        <w:sdtPr>
                          <w:alias w:val="Numeris"/>
                          <w:tag w:val="nr_eee7c93a1c2b48f7ad0a90b9c829bc0f"/>
                          <w:lock w:val="sdtLocked"/>
                          <w:richText/>
                        </w:sdtPr>
                        <w:sdtContent>
                          <w:r>
                            <w:rPr>
                              <w:szCs w:val="24"/>
                              <w:lang w:eastAsia="lt-LT"/>
                            </w:rPr>
                            <w:t>1.2</w:t>
                          </w:r>
                        </w:sdtContent>
                      </w:sdt>
                      <w:r>
                        <w:rPr>
                          <w:szCs w:val="24"/>
                          <w:lang w:eastAsia="lt-LT"/>
                        </w:rPr>
                        <w:t>. Ne visą parą teikiamos paslaugos:</w:t>
                      </w:r>
                    </w:p>
                    <w:sdt>
                      <w:sdtPr>
                        <w:alias w:val="pr. 1.2.1 pp."/>
                        <w:tag w:val="part_4e65b61420644e87aaa5fbdf2169faf3"/>
                        <w:lock w:val="sdtLocked"/>
                        <w:richText/>
                      </w:sdtPr>
                      <w:sdtContent>
                        <w:p>
                          <w:pPr>
                            <w:widowControl w:val="0"/>
                            <w:tabs>
                              <w:tab w:val="left" w:pos="1300"/>
                            </w:tabs>
                            <w:ind w:firstLine="709"/>
                            <w:jc w:val="both"/>
                            <w:rPr>
                              <w:szCs w:val="24"/>
                              <w:lang w:eastAsia="lt-LT"/>
                            </w:rPr>
                          </w:pPr>
                          <w:sdt>
                            <w:sdtPr>
                              <w:alias w:val="Numeris"/>
                              <w:tag w:val="nr_4e65b61420644e87aaa5fbdf2169faf3"/>
                              <w:lock w:val="sdtLocked"/>
                              <w:richText/>
                            </w:sdtPr>
                            <w:sdtContent>
                              <w:r>
                                <w:rPr>
                                  <w:szCs w:val="24"/>
                                  <w:lang w:eastAsia="lt-LT"/>
                                </w:rPr>
                                <w:t>1.2.1</w:t>
                              </w:r>
                            </w:sdtContent>
                          </w:sdt>
                          <w:r>
                            <w:rPr>
                              <w:szCs w:val="24"/>
                              <w:lang w:eastAsia="lt-LT"/>
                            </w:rPr>
                            <w:t>. kineziterapijos;</w:t>
                          </w:r>
                        </w:p>
                      </w:sdtContent>
                    </w:sdt>
                    <w:sdt>
                      <w:sdtPr>
                        <w:alias w:val="pr. 1.2.2 pp."/>
                        <w:tag w:val="part_d86472c1ee8d4f11b07460cb7748fa2b"/>
                        <w:lock w:val="sdtLocked"/>
                        <w:richText/>
                      </w:sdtPr>
                      <w:sdtContent>
                        <w:p>
                          <w:pPr>
                            <w:widowControl w:val="0"/>
                            <w:tabs>
                              <w:tab w:val="left" w:pos="1300"/>
                            </w:tabs>
                            <w:ind w:firstLine="709"/>
                            <w:jc w:val="both"/>
                            <w:rPr>
                              <w:szCs w:val="24"/>
                              <w:lang w:eastAsia="lt-LT"/>
                            </w:rPr>
                          </w:pPr>
                          <w:sdt>
                            <w:sdtPr>
                              <w:alias w:val="Numeris"/>
                              <w:tag w:val="nr_d86472c1ee8d4f11b07460cb7748fa2b"/>
                              <w:lock w:val="sdtLocked"/>
                              <w:richText/>
                            </w:sdtPr>
                            <w:sdtContent>
                              <w:r>
                                <w:rPr>
                                  <w:szCs w:val="24"/>
                                  <w:lang w:eastAsia="lt-LT"/>
                                </w:rPr>
                                <w:t>1.2.2</w:t>
                              </w:r>
                            </w:sdtContent>
                          </w:sdt>
                          <w:r>
                            <w:rPr>
                              <w:szCs w:val="24"/>
                              <w:lang w:eastAsia="lt-LT"/>
                            </w:rPr>
                            <w:t>. fizioterapijos procedūros;</w:t>
                          </w:r>
                        </w:p>
                      </w:sdtContent>
                    </w:sdt>
                    <w:sdt>
                      <w:sdtPr>
                        <w:alias w:val="pr. 1.2.3 pp."/>
                        <w:tag w:val="part_ba9757e534a74f0093f0e1a3a58b5f27"/>
                        <w:lock w:val="sdtLocked"/>
                        <w:richText/>
                      </w:sdtPr>
                      <w:sdtContent>
                        <w:p>
                          <w:pPr>
                            <w:widowControl w:val="0"/>
                            <w:tabs>
                              <w:tab w:val="left" w:pos="1300"/>
                            </w:tabs>
                            <w:ind w:firstLine="709"/>
                            <w:jc w:val="both"/>
                            <w:rPr>
                              <w:szCs w:val="24"/>
                              <w:lang w:eastAsia="lt-LT"/>
                            </w:rPr>
                          </w:pPr>
                          <w:sdt>
                            <w:sdtPr>
                              <w:alias w:val="Numeris"/>
                              <w:tag w:val="nr_ba9757e534a74f0093f0e1a3a58b5f27"/>
                              <w:lock w:val="sdtLocked"/>
                              <w:richText/>
                            </w:sdtPr>
                            <w:sdtContent>
                              <w:r>
                                <w:rPr>
                                  <w:szCs w:val="24"/>
                                  <w:lang w:eastAsia="lt-LT"/>
                                </w:rPr>
                                <w:t>1.2.3</w:t>
                              </w:r>
                            </w:sdtContent>
                          </w:sdt>
                          <w:r>
                            <w:rPr>
                              <w:szCs w:val="24"/>
                              <w:lang w:eastAsia="lt-LT"/>
                            </w:rPr>
                            <w:t>. psichologinės pagalbos;</w:t>
                          </w:r>
                        </w:p>
                      </w:sdtContent>
                    </w:sdt>
                    <w:sdt>
                      <w:sdtPr>
                        <w:alias w:val="pr. 1.2.4 pp."/>
                        <w:tag w:val="part_cf90b2cf764842d480f41359c3b80548"/>
                        <w:lock w:val="sdtLocked"/>
                        <w:richText/>
                      </w:sdtPr>
                      <w:sdtContent>
                        <w:p>
                          <w:pPr>
                            <w:widowControl w:val="0"/>
                            <w:tabs>
                              <w:tab w:val="left" w:pos="1300"/>
                            </w:tabs>
                            <w:ind w:firstLine="709"/>
                            <w:jc w:val="both"/>
                            <w:rPr>
                              <w:szCs w:val="24"/>
                              <w:lang w:eastAsia="lt-LT"/>
                            </w:rPr>
                          </w:pPr>
                          <w:sdt>
                            <w:sdtPr>
                              <w:alias w:val="Numeris"/>
                              <w:tag w:val="nr_cf90b2cf764842d480f41359c3b80548"/>
                              <w:lock w:val="sdtLocked"/>
                              <w:richText/>
                            </w:sdtPr>
                            <w:sdtContent>
                              <w:r>
                                <w:rPr>
                                  <w:szCs w:val="24"/>
                                  <w:lang w:eastAsia="lt-LT"/>
                                </w:rPr>
                                <w:t>1.2.4</w:t>
                              </w:r>
                            </w:sdtContent>
                          </w:sdt>
                          <w:r>
                            <w:rPr>
                              <w:szCs w:val="24"/>
                              <w:lang w:eastAsia="lt-LT"/>
                            </w:rPr>
                            <w:t>. ergoterapijos;</w:t>
                          </w:r>
                        </w:p>
                      </w:sdtContent>
                    </w:sdt>
                    <w:sdt>
                      <w:sdtPr>
                        <w:alias w:val="pr. 1.2.5 pp."/>
                        <w:tag w:val="part_307125f139074696866190b86cb3c255"/>
                        <w:lock w:val="sdtLocked"/>
                        <w:richText/>
                      </w:sdtPr>
                      <w:sdtContent>
                        <w:p>
                          <w:pPr>
                            <w:widowControl w:val="0"/>
                            <w:tabs>
                              <w:tab w:val="left" w:pos="1302"/>
                            </w:tabs>
                            <w:ind w:firstLine="709"/>
                            <w:jc w:val="both"/>
                            <w:rPr>
                              <w:szCs w:val="24"/>
                              <w:lang w:eastAsia="lt-LT"/>
                            </w:rPr>
                          </w:pPr>
                          <w:sdt>
                            <w:sdtPr>
                              <w:alias w:val="Numeris"/>
                              <w:tag w:val="nr_307125f139074696866190b86cb3c255"/>
                              <w:lock w:val="sdtLocked"/>
                              <w:richText/>
                            </w:sdtPr>
                            <w:sdtContent>
                              <w:r>
                                <w:rPr>
                                  <w:szCs w:val="24"/>
                                  <w:lang w:eastAsia="lt-LT"/>
                                </w:rPr>
                                <w:t>1.2.5</w:t>
                              </w:r>
                            </w:sdtContent>
                          </w:sdt>
                          <w:r>
                            <w:rPr>
                              <w:szCs w:val="24"/>
                              <w:lang w:eastAsia="lt-LT"/>
                            </w:rPr>
                            <w:t>. socialinio darbuotojo;</w:t>
                          </w:r>
                        </w:p>
                      </w:sdtContent>
                    </w:sdt>
                    <w:sdt>
                      <w:sdtPr>
                        <w:alias w:val="pr. 1.2.6 pp."/>
                        <w:tag w:val="part_2fea9fd12cb74a4880a9a7596e159ed5"/>
                        <w:lock w:val="sdtLocked"/>
                        <w:richText/>
                      </w:sdtPr>
                      <w:sdtContent>
                        <w:p>
                          <w:pPr>
                            <w:widowControl w:val="0"/>
                            <w:tabs>
                              <w:tab w:val="left" w:pos="1300"/>
                            </w:tabs>
                            <w:ind w:firstLine="709"/>
                            <w:jc w:val="both"/>
                            <w:rPr>
                              <w:szCs w:val="24"/>
                              <w:lang w:eastAsia="lt-LT"/>
                            </w:rPr>
                          </w:pPr>
                          <w:sdt>
                            <w:sdtPr>
                              <w:alias w:val="Numeris"/>
                              <w:tag w:val="nr_2fea9fd12cb74a4880a9a7596e159ed5"/>
                              <w:lock w:val="sdtLocked"/>
                              <w:richText/>
                            </w:sdtPr>
                            <w:sdtContent>
                              <w:r>
                                <w:rPr>
                                  <w:szCs w:val="24"/>
                                  <w:lang w:eastAsia="lt-LT"/>
                                </w:rPr>
                                <w:t>1.2.6</w:t>
                              </w:r>
                            </w:sdtContent>
                          </w:sdt>
                          <w:r>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55a5406da24546db8392fbde690fad79"/>
                        <w:lock w:val="sdtLocked"/>
                        <w:richText/>
                      </w:sdtPr>
                      <w:sdtContent>
                        <w:p>
                          <w:pPr>
                            <w:widowControl w:val="0"/>
                            <w:tabs>
                              <w:tab w:val="left" w:pos="1300"/>
                            </w:tabs>
                            <w:ind w:firstLine="709"/>
                            <w:jc w:val="both"/>
                            <w:rPr>
                              <w:szCs w:val="24"/>
                              <w:lang w:eastAsia="lt-LT"/>
                            </w:rPr>
                          </w:pPr>
                          <w:sdt>
                            <w:sdtPr>
                              <w:alias w:val="Numeris"/>
                              <w:tag w:val="nr_55a5406da24546db8392fbde690fad79"/>
                              <w:lock w:val="sdtLocked"/>
                              <w:richText/>
                            </w:sdtPr>
                            <w:sdtContent>
                              <w:r>
                                <w:rPr>
                                  <w:szCs w:val="24"/>
                                  <w:lang w:eastAsia="lt-LT"/>
                                </w:rPr>
                                <w:t>1.2.7</w:t>
                              </w:r>
                            </w:sdtContent>
                          </w:sdt>
                          <w:r>
                            <w:rPr>
                              <w:szCs w:val="24"/>
                              <w:lang w:eastAsia="lt-LT"/>
                            </w:rPr>
                            <w:t>. funkcinės būklės vertinimo;</w:t>
                          </w:r>
                        </w:p>
                      </w:sdtContent>
                    </w:sdt>
                    <w:sdt>
                      <w:sdtPr>
                        <w:alias w:val="pr. 1.2.8 pp."/>
                        <w:tag w:val="part_b903e456510b4877bc92fc1beb5467b9"/>
                        <w:lock w:val="sdtLocked"/>
                        <w:richText/>
                      </w:sdtPr>
                      <w:sdtContent>
                        <w:p>
                          <w:pPr>
                            <w:widowControl w:val="0"/>
                            <w:tabs>
                              <w:tab w:val="left" w:pos="1300"/>
                            </w:tabs>
                            <w:ind w:firstLine="709"/>
                            <w:jc w:val="both"/>
                            <w:rPr>
                              <w:szCs w:val="24"/>
                              <w:lang w:eastAsia="lt-LT"/>
                            </w:rPr>
                          </w:pPr>
                          <w:sdt>
                            <w:sdtPr>
                              <w:alias w:val="Numeris"/>
                              <w:tag w:val="nr_b903e456510b4877bc92fc1beb5467b9"/>
                              <w:lock w:val="sdtLocked"/>
                              <w:richText/>
                            </w:sdtPr>
                            <w:sdtContent>
                              <w:r>
                                <w:rPr>
                                  <w:szCs w:val="24"/>
                                  <w:lang w:eastAsia="lt-LT"/>
                                </w:rPr>
                                <w:t>1.2.8</w:t>
                              </w:r>
                            </w:sdtContent>
                          </w:sdt>
                          <w:r>
                            <w:rPr>
                              <w:szCs w:val="24"/>
                              <w:lang w:eastAsia="lt-LT"/>
                            </w:rPr>
                            <w:t>. paciento ir jo artimųjų mokymo;</w:t>
                          </w:r>
                        </w:p>
                      </w:sdtContent>
                    </w:sdt>
                    <w:sdt>
                      <w:sdtPr>
                        <w:alias w:val="pr. 1.2.9 pp."/>
                        <w:tag w:val="part_f947a457fcf149f7be2bfe25ae70b291"/>
                        <w:lock w:val="sdtLocked"/>
                        <w:richText/>
                      </w:sdtPr>
                      <w:sdtContent>
                        <w:p>
                          <w:pPr>
                            <w:widowControl w:val="0"/>
                            <w:tabs>
                              <w:tab w:val="left" w:pos="1300"/>
                            </w:tabs>
                            <w:ind w:firstLine="709"/>
                            <w:jc w:val="both"/>
                            <w:rPr>
                              <w:szCs w:val="24"/>
                              <w:lang w:eastAsia="lt-LT"/>
                            </w:rPr>
                          </w:pPr>
                          <w:sdt>
                            <w:sdtPr>
                              <w:alias w:val="Numeris"/>
                              <w:tag w:val="nr_f947a457fcf149f7be2bfe25ae70b291"/>
                              <w:lock w:val="sdtLocked"/>
                              <w:richText/>
                            </w:sdtPr>
                            <w:sdtContent>
                              <w:r>
                                <w:rPr>
                                  <w:szCs w:val="24"/>
                                  <w:lang w:eastAsia="lt-LT"/>
                                </w:rPr>
                                <w:t>1.2.9</w:t>
                              </w:r>
                            </w:sdtContent>
                          </w:sdt>
                          <w:r>
                            <w:rPr>
                              <w:szCs w:val="24"/>
                              <w:lang w:eastAsia="lt-LT"/>
                            </w:rPr>
                            <w:t>. dietinio gydymo;</w:t>
                          </w:r>
                        </w:p>
                      </w:sdtContent>
                    </w:sdt>
                    <w:sdt>
                      <w:sdtPr>
                        <w:alias w:val="pr. 1.2.10 pp."/>
                        <w:tag w:val="part_d7507ac521d8478c9e05e319d87a5bd8"/>
                        <w:lock w:val="sdtLocked"/>
                        <w:richText/>
                      </w:sdtPr>
                      <w:sdtContent>
                        <w:p>
                          <w:pPr>
                            <w:widowControl w:val="0"/>
                            <w:tabs>
                              <w:tab w:val="left" w:pos="1300"/>
                            </w:tabs>
                            <w:ind w:firstLine="709"/>
                            <w:jc w:val="both"/>
                            <w:rPr>
                              <w:szCs w:val="24"/>
                              <w:lang w:eastAsia="lt-LT"/>
                            </w:rPr>
                          </w:pPr>
                          <w:sdt>
                            <w:sdtPr>
                              <w:alias w:val="Numeris"/>
                              <w:tag w:val="nr_d7507ac521d8478c9e05e319d87a5bd8"/>
                              <w:lock w:val="sdtLocked"/>
                              <w:richText/>
                            </w:sdtPr>
                            <w:sdtContent>
                              <w:r>
                                <w:rPr>
                                  <w:szCs w:val="24"/>
                                  <w:lang w:eastAsia="lt-LT"/>
                                </w:rPr>
                                <w:t>1.2.10</w:t>
                              </w:r>
                            </w:sdtContent>
                          </w:sdt>
                          <w:r>
                            <w:rPr>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11b191bd2b734b2db97249e4ca3b7ca3"/>
                <w:lock w:val="sdtLocked"/>
                <w:richText/>
              </w:sdtPr>
              <w:sdtContent>
                <w:p>
                  <w:pPr>
                    <w:widowControl w:val="0"/>
                    <w:tabs>
                      <w:tab w:val="left" w:pos="1316"/>
                    </w:tabs>
                    <w:ind w:firstLine="709"/>
                    <w:jc w:val="both"/>
                    <w:rPr>
                      <w:szCs w:val="24"/>
                      <w:lang w:eastAsia="lt-LT"/>
                    </w:rPr>
                  </w:pPr>
                  <w:sdt>
                    <w:sdtPr>
                      <w:alias w:val="Numeris"/>
                      <w:tag w:val="nr_11b191bd2b734b2db97249e4ca3b7ca3"/>
                      <w:lock w:val="sdtLocked"/>
                      <w:richText/>
                    </w:sdtPr>
                    <w:sdtContent>
                      <w:r>
                        <w:rPr>
                          <w:szCs w:val="24"/>
                          <w:lang w:eastAsia="lt-LT"/>
                        </w:rPr>
                        <w:t>2</w:t>
                      </w:r>
                    </w:sdtContent>
                  </w:sdt>
                  <w:r>
                    <w:rPr>
                      <w:szCs w:val="24"/>
                      <w:lang w:eastAsia="lt-LT"/>
                    </w:rPr>
                    <w:t>. Stacionarinės medicininės reabilitacijos, sveikatos grąžinamojo ir antirecidyvinio gydymo, prevencinės ir postvencinės medicininės psichologinės reabilitacijos paslaugas teikia šie specialistai:</w:t>
                  </w:r>
                </w:p>
                <w:sdt>
                  <w:sdtPr>
                    <w:alias w:val="pr. 2.1 pp."/>
                    <w:tag w:val="part_ff0f80beb9a0472e89678b6e0def6449"/>
                    <w:lock w:val="sdtLocked"/>
                    <w:richText/>
                  </w:sdtPr>
                  <w:sdtContent>
                    <w:p>
                      <w:pPr>
                        <w:widowControl w:val="0"/>
                        <w:tabs>
                          <w:tab w:val="left" w:pos="1316"/>
                        </w:tabs>
                        <w:ind w:firstLine="709"/>
                        <w:jc w:val="both"/>
                        <w:rPr>
                          <w:szCs w:val="24"/>
                          <w:lang w:eastAsia="lt-LT"/>
                        </w:rPr>
                      </w:pPr>
                      <w:sdt>
                        <w:sdtPr>
                          <w:alias w:val="Numeris"/>
                          <w:tag w:val="nr_ff0f80beb9a0472e89678b6e0def6449"/>
                          <w:lock w:val="sdtLocked"/>
                          <w:richText/>
                        </w:sdtPr>
                        <w:sdtContent>
                          <w:r>
                            <w:rPr>
                              <w:szCs w:val="24"/>
                              <w:lang w:eastAsia="lt-LT"/>
                            </w:rPr>
                            <w:t>2.1</w:t>
                          </w:r>
                        </w:sdtContent>
                      </w:sdt>
                      <w:r>
                        <w:rPr>
                          <w:szCs w:val="24"/>
                          <w:lang w:eastAsia="lt-LT"/>
                        </w:rPr>
                        <w:t>. fizinės medicinos ir reabilitacijos gydytojas;</w:t>
                      </w:r>
                    </w:p>
                  </w:sdtContent>
                </w:sdt>
                <w:sdt>
                  <w:sdtPr>
                    <w:alias w:val="pr. 2.2 pp."/>
                    <w:tag w:val="part_aaa6acc11e134e6bbf85908ce4e11c58"/>
                    <w:lock w:val="sdtLocked"/>
                    <w:richText/>
                  </w:sdtPr>
                  <w:sdtContent>
                    <w:p>
                      <w:pPr>
                        <w:widowControl w:val="0"/>
                        <w:tabs>
                          <w:tab w:val="left" w:pos="1321"/>
                        </w:tabs>
                        <w:ind w:firstLine="709"/>
                        <w:jc w:val="both"/>
                        <w:rPr>
                          <w:szCs w:val="24"/>
                          <w:lang w:eastAsia="lt-LT"/>
                        </w:rPr>
                      </w:pPr>
                      <w:sdt>
                        <w:sdtPr>
                          <w:alias w:val="Numeris"/>
                          <w:tag w:val="nr_aaa6acc11e134e6bbf85908ce4e11c58"/>
                          <w:lock w:val="sdtLocked"/>
                          <w:richText/>
                        </w:sdtPr>
                        <w:sdtContent>
                          <w:r>
                            <w:rPr>
                              <w:szCs w:val="24"/>
                              <w:lang w:eastAsia="lt-LT"/>
                            </w:rPr>
                            <w:t>2.2</w:t>
                          </w:r>
                        </w:sdtContent>
                      </w:sdt>
                      <w:r>
                        <w:rPr>
                          <w:szCs w:val="24"/>
                          <w:lang w:eastAsia="lt-LT"/>
                        </w:rPr>
                        <w:t>. medicinos psichologas;</w:t>
                      </w:r>
                    </w:p>
                  </w:sdtContent>
                </w:sdt>
                <w:sdt>
                  <w:sdtPr>
                    <w:alias w:val="pr. 2.3 pp."/>
                    <w:tag w:val="part_0ca5340f28d14af8974bd889a5653813"/>
                    <w:lock w:val="sdtLocked"/>
                    <w:richText/>
                  </w:sdtPr>
                  <w:sdtContent>
                    <w:p>
                      <w:pPr>
                        <w:widowControl w:val="0"/>
                        <w:tabs>
                          <w:tab w:val="left" w:pos="1321"/>
                        </w:tabs>
                        <w:ind w:firstLine="709"/>
                        <w:jc w:val="both"/>
                        <w:rPr>
                          <w:szCs w:val="24"/>
                          <w:lang w:eastAsia="lt-LT"/>
                        </w:rPr>
                      </w:pPr>
                      <w:sdt>
                        <w:sdtPr>
                          <w:alias w:val="Numeris"/>
                          <w:tag w:val="nr_0ca5340f28d14af8974bd889a5653813"/>
                          <w:lock w:val="sdtLocked"/>
                          <w:richText/>
                        </w:sdtPr>
                        <w:sdtContent>
                          <w:r>
                            <w:rPr>
                              <w:szCs w:val="24"/>
                              <w:lang w:eastAsia="lt-LT"/>
                            </w:rPr>
                            <w:t>2.3</w:t>
                          </w:r>
                        </w:sdtContent>
                      </w:sdt>
                      <w:r>
                        <w:rPr>
                          <w:szCs w:val="24"/>
                          <w:lang w:eastAsia="lt-LT"/>
                        </w:rPr>
                        <w:t>. kineziterapeutas;</w:t>
                      </w:r>
                    </w:p>
                  </w:sdtContent>
                </w:sdt>
                <w:sdt>
                  <w:sdtPr>
                    <w:alias w:val="pr. 2.4 pp."/>
                    <w:tag w:val="part_b689f49ae7c9436bb39e7bd34feb77b7"/>
                    <w:lock w:val="sdtLocked"/>
                    <w:richText/>
                  </w:sdtPr>
                  <w:sdtContent>
                    <w:p>
                      <w:pPr>
                        <w:widowControl w:val="0"/>
                        <w:tabs>
                          <w:tab w:val="left" w:pos="1321"/>
                        </w:tabs>
                        <w:ind w:firstLine="709"/>
                        <w:jc w:val="both"/>
                        <w:rPr>
                          <w:szCs w:val="24"/>
                          <w:lang w:eastAsia="lt-LT"/>
                        </w:rPr>
                      </w:pPr>
                      <w:sdt>
                        <w:sdtPr>
                          <w:alias w:val="Numeris"/>
                          <w:tag w:val="nr_b689f49ae7c9436bb39e7bd34feb77b7"/>
                          <w:lock w:val="sdtLocked"/>
                          <w:richText/>
                        </w:sdtPr>
                        <w:sdtContent>
                          <w:r>
                            <w:rPr>
                              <w:szCs w:val="24"/>
                              <w:lang w:eastAsia="lt-LT"/>
                            </w:rPr>
                            <w:t>2.4</w:t>
                          </w:r>
                        </w:sdtContent>
                      </w:sdt>
                      <w:r>
                        <w:rPr>
                          <w:szCs w:val="24"/>
                          <w:lang w:eastAsia="lt-LT"/>
                        </w:rPr>
                        <w:t>. ergoterapeutas;</w:t>
                      </w:r>
                    </w:p>
                  </w:sdtContent>
                </w:sdt>
                <w:sdt>
                  <w:sdtPr>
                    <w:alias w:val="pr. 2.5 pp."/>
                    <w:tag w:val="part_45d88d9f575844da92845a16e5011038"/>
                    <w:lock w:val="sdtLocked"/>
                    <w:richText/>
                  </w:sdtPr>
                  <w:sdtContent>
                    <w:p>
                      <w:pPr>
                        <w:widowControl w:val="0"/>
                        <w:tabs>
                          <w:tab w:val="left" w:pos="1321"/>
                        </w:tabs>
                        <w:ind w:firstLine="709"/>
                        <w:jc w:val="both"/>
                        <w:rPr>
                          <w:szCs w:val="24"/>
                          <w:lang w:eastAsia="lt-LT"/>
                        </w:rPr>
                      </w:pPr>
                      <w:sdt>
                        <w:sdtPr>
                          <w:alias w:val="Numeris"/>
                          <w:tag w:val="nr_45d88d9f575844da92845a16e5011038"/>
                          <w:lock w:val="sdtLocked"/>
                          <w:richText/>
                        </w:sdtPr>
                        <w:sdtContent>
                          <w:r>
                            <w:rPr>
                              <w:szCs w:val="24"/>
                              <w:lang w:eastAsia="lt-LT"/>
                            </w:rPr>
                            <w:t>2.5</w:t>
                          </w:r>
                        </w:sdtContent>
                      </w:sdt>
                      <w:r>
                        <w:rPr>
                          <w:szCs w:val="24"/>
                          <w:lang w:eastAsia="lt-LT"/>
                        </w:rPr>
                        <w:t>. masažuotojas;</w:t>
                      </w:r>
                    </w:p>
                  </w:sdtContent>
                </w:sdt>
                <w:sdt>
                  <w:sdtPr>
                    <w:alias w:val="pr. 2.6 pp."/>
                    <w:tag w:val="part_3dc23c0a1f0f4539a933dc81b70f0efc"/>
                    <w:lock w:val="sdtLocked"/>
                    <w:richText/>
                  </w:sdtPr>
                  <w:sdtContent>
                    <w:p>
                      <w:pPr>
                        <w:widowControl w:val="0"/>
                        <w:tabs>
                          <w:tab w:val="left" w:pos="1300"/>
                        </w:tabs>
                        <w:ind w:firstLine="709"/>
                        <w:jc w:val="both"/>
                        <w:rPr>
                          <w:szCs w:val="24"/>
                          <w:lang w:eastAsia="lt-LT"/>
                        </w:rPr>
                      </w:pPr>
                      <w:sdt>
                        <w:sdtPr>
                          <w:alias w:val="Numeris"/>
                          <w:tag w:val="nr_3dc23c0a1f0f4539a933dc81b70f0efc"/>
                          <w:lock w:val="sdtLocked"/>
                          <w:richText/>
                        </w:sdtPr>
                        <w:sdtContent>
                          <w:r>
                            <w:rPr>
                              <w:szCs w:val="24"/>
                              <w:lang w:eastAsia="lt-LT"/>
                            </w:rPr>
                            <w:t>2.6</w:t>
                          </w:r>
                        </w:sdtContent>
                      </w:sdt>
                      <w:r>
                        <w:rPr>
                          <w:szCs w:val="24"/>
                          <w:lang w:eastAsia="lt-LT"/>
                        </w:rPr>
                        <w:t>. bendrosios praktikos slaugytojas, išklausęs fizinės medicinos ir reabilitacijos neformalaus mokymo pagrindų programą, ar fizinės medicinos ir reabilitacijos slaugytojas;</w:t>
                      </w:r>
                    </w:p>
                  </w:sdtContent>
                </w:sdt>
                <w:sdt>
                  <w:sdtPr>
                    <w:alias w:val="pr. 2.7 pp."/>
                    <w:tag w:val="part_31b05107db73462e97933628877f5c9b"/>
                    <w:lock w:val="sdtLocked"/>
                    <w:richText/>
                  </w:sdtPr>
                  <w:sdtContent>
                    <w:p>
                      <w:pPr>
                        <w:widowControl w:val="0"/>
                        <w:tabs>
                          <w:tab w:val="left" w:pos="1321"/>
                        </w:tabs>
                        <w:ind w:firstLine="709"/>
                        <w:jc w:val="both"/>
                        <w:rPr>
                          <w:szCs w:val="24"/>
                          <w:lang w:eastAsia="lt-LT"/>
                        </w:rPr>
                      </w:pPr>
                      <w:sdt>
                        <w:sdtPr>
                          <w:alias w:val="Numeris"/>
                          <w:tag w:val="nr_31b05107db73462e97933628877f5c9b"/>
                          <w:lock w:val="sdtLocked"/>
                          <w:richText/>
                        </w:sdtPr>
                        <w:sdtContent>
                          <w:r>
                            <w:rPr>
                              <w:szCs w:val="24"/>
                              <w:lang w:eastAsia="lt-LT"/>
                            </w:rPr>
                            <w:t>2.7</w:t>
                          </w:r>
                        </w:sdtContent>
                      </w:sdt>
                      <w:r>
                        <w:rPr>
                          <w:szCs w:val="24"/>
                          <w:lang w:eastAsia="lt-LT"/>
                        </w:rPr>
                        <w:t>. bendrosios praktikos slaugytojas;</w:t>
                      </w:r>
                    </w:p>
                  </w:sdtContent>
                </w:sdt>
                <w:sdt>
                  <w:sdtPr>
                    <w:alias w:val="pr. 2.8 pp."/>
                    <w:tag w:val="part_be988187025b4cc49361358e53cb0dd3"/>
                    <w:lock w:val="sdtLocked"/>
                    <w:richText/>
                  </w:sdtPr>
                  <w:sdtContent>
                    <w:p>
                      <w:pPr>
                        <w:widowControl w:val="0"/>
                        <w:tabs>
                          <w:tab w:val="left" w:pos="1321"/>
                        </w:tabs>
                        <w:ind w:firstLine="709"/>
                        <w:jc w:val="both"/>
                        <w:rPr>
                          <w:szCs w:val="24"/>
                          <w:lang w:eastAsia="lt-LT"/>
                        </w:rPr>
                      </w:pPr>
                      <w:sdt>
                        <w:sdtPr>
                          <w:alias w:val="Numeris"/>
                          <w:tag w:val="nr_be988187025b4cc49361358e53cb0dd3"/>
                          <w:lock w:val="sdtLocked"/>
                          <w:richText/>
                        </w:sdtPr>
                        <w:sdtContent>
                          <w:r>
                            <w:rPr>
                              <w:szCs w:val="24"/>
                              <w:lang w:eastAsia="lt-LT"/>
                            </w:rPr>
                            <w:t>2.8</w:t>
                          </w:r>
                        </w:sdtContent>
                      </w:sdt>
                      <w:r>
                        <w:rPr>
                          <w:szCs w:val="24"/>
                          <w:lang w:eastAsia="lt-LT"/>
                        </w:rPr>
                        <w:t>. socialinis darbuotojas;</w:t>
                      </w:r>
                    </w:p>
                  </w:sdtContent>
                </w:sdt>
                <w:sdt>
                  <w:sdtPr>
                    <w:alias w:val="pr. 2.9 pp."/>
                    <w:tag w:val="part_f003ba99b98e4c2c86fd02529e9119ee"/>
                    <w:lock w:val="sdtLocked"/>
                    <w:richText/>
                  </w:sdtPr>
                  <w:sdtContent>
                    <w:p>
                      <w:pPr>
                        <w:widowControl w:val="0"/>
                        <w:tabs>
                          <w:tab w:val="left" w:pos="1321"/>
                        </w:tabs>
                        <w:ind w:firstLine="709"/>
                        <w:jc w:val="both"/>
                        <w:rPr>
                          <w:szCs w:val="24"/>
                          <w:lang w:eastAsia="lt-LT"/>
                        </w:rPr>
                      </w:pPr>
                      <w:sdt>
                        <w:sdtPr>
                          <w:alias w:val="Numeris"/>
                          <w:tag w:val="nr_f003ba99b98e4c2c86fd02529e9119ee"/>
                          <w:lock w:val="sdtLocked"/>
                          <w:richText/>
                        </w:sdtPr>
                        <w:sdtContent>
                          <w:r>
                            <w:rPr>
                              <w:szCs w:val="24"/>
                              <w:lang w:eastAsia="lt-LT"/>
                            </w:rPr>
                            <w:t>2.9</w:t>
                          </w:r>
                        </w:sdtContent>
                      </w:sdt>
                      <w:r>
                        <w:rPr>
                          <w:szCs w:val="24"/>
                          <w:lang w:eastAsia="lt-LT"/>
                        </w:rPr>
                        <w:t>. logoterapeutas (esant indikacijų);</w:t>
                      </w:r>
                    </w:p>
                  </w:sdtContent>
                </w:sdt>
                <w:sdt>
                  <w:sdtPr>
                    <w:alias w:val="pr. 2.10 pp."/>
                    <w:tag w:val="part_36fe290706d74e028fec185dd41e0b82"/>
                    <w:lock w:val="sdtLocked"/>
                    <w:richText/>
                  </w:sdtPr>
                  <w:sdtContent>
                    <w:p>
                      <w:pPr>
                        <w:ind w:firstLine="709"/>
                        <w:jc w:val="both"/>
                        <w:rPr>
                          <w:szCs w:val="24"/>
                        </w:rPr>
                      </w:pPr>
                      <w:sdt>
                        <w:sdtPr>
                          <w:alias w:val="Numeris"/>
                          <w:tag w:val="nr_36fe290706d74e028fec185dd41e0b82"/>
                          <w:lock w:val="sdtLocked"/>
                          <w:richText/>
                        </w:sdtPr>
                        <w:sdtContent>
                          <w:r>
                            <w:rPr>
                              <w:szCs w:val="24"/>
                            </w:rPr>
                            <w:t>2.10</w:t>
                          </w:r>
                        </w:sdtContent>
                      </w:sdt>
                      <w:r>
                        <w:rPr>
                          <w:szCs w:val="24"/>
                        </w:rPr>
                        <w:t>. gydytojas dietologas.</w:t>
                      </w:r>
                    </w:p>
                  </w:sdtContent>
                </w:sdt>
              </w:sdtContent>
            </w:sdt>
            <w:sdt>
              <w:sdtPr>
                <w:alias w:val="pr. 3 p."/>
                <w:tag w:val="part_be3ed655e8594965acd989ff14929bfc"/>
                <w:lock w:val="sdtLocked"/>
                <w:richText/>
              </w:sdtPr>
              <w:sdtContent>
                <w:p>
                  <w:pPr>
                    <w:ind w:firstLine="709"/>
                    <w:jc w:val="both"/>
                    <w:rPr>
                      <w:szCs w:val="24"/>
                    </w:rPr>
                  </w:pPr>
                  <w:sdt>
                    <w:sdtPr>
                      <w:alias w:val="Numeris"/>
                      <w:tag w:val="nr_be3ed655e8594965acd989ff14929bfc"/>
                      <w:lock w:val="sdtLocked"/>
                      <w:richText/>
                    </w:sdtPr>
                    <w:sdtContent>
                      <w:r>
                        <w:rPr>
                          <w:szCs w:val="24"/>
                        </w:rPr>
                        <w:t>3</w:t>
                      </w:r>
                    </w:sdtContent>
                  </w:sdt>
                  <w:r>
                    <w:rPr>
                      <w:szCs w:val="24"/>
                    </w:rPr>
                    <w:t>. Ambulatorinės reabilitacijos I ir Ambulatorinės reabilitacijos II paslaugas teikia specialistai:</w:t>
                  </w:r>
                </w:p>
                <w:sdt>
                  <w:sdtPr>
                    <w:alias w:val="pr. 3.1 pp."/>
                    <w:tag w:val="part_4a0b9c2de896497ba416b0adc8a48f0d"/>
                    <w:lock w:val="sdtLocked"/>
                    <w:richText/>
                  </w:sdtPr>
                  <w:sdtContent>
                    <w:p>
                      <w:pPr>
                        <w:ind w:firstLine="709"/>
                        <w:jc w:val="both"/>
                        <w:rPr>
                          <w:szCs w:val="24"/>
                        </w:rPr>
                      </w:pPr>
                      <w:sdt>
                        <w:sdtPr>
                          <w:alias w:val="Numeris"/>
                          <w:tag w:val="nr_4a0b9c2de896497ba416b0adc8a48f0d"/>
                          <w:lock w:val="sdtLocked"/>
                          <w:richText/>
                        </w:sdtPr>
                        <w:sdtContent>
                          <w:r>
                            <w:rPr>
                              <w:szCs w:val="24"/>
                            </w:rPr>
                            <w:t>3.1</w:t>
                          </w:r>
                        </w:sdtContent>
                      </w:sdt>
                      <w:r>
                        <w:rPr>
                          <w:szCs w:val="24"/>
                        </w:rPr>
                        <w:t>. fizinės medicinos ir reabilitacijos gydytojas;</w:t>
                      </w:r>
                    </w:p>
                  </w:sdtContent>
                </w:sdt>
                <w:sdt>
                  <w:sdtPr>
                    <w:alias w:val="pr. 3.2 pp."/>
                    <w:tag w:val="part_0574f719e9c44c0aaab78ea191bb51de"/>
                    <w:lock w:val="sdtLocked"/>
                    <w:richText/>
                  </w:sdtPr>
                  <w:sdtContent>
                    <w:p>
                      <w:pPr>
                        <w:ind w:firstLine="709"/>
                        <w:jc w:val="both"/>
                        <w:rPr>
                          <w:szCs w:val="24"/>
                        </w:rPr>
                      </w:pPr>
                      <w:sdt>
                        <w:sdtPr>
                          <w:alias w:val="Numeris"/>
                          <w:tag w:val="nr_0574f719e9c44c0aaab78ea191bb51de"/>
                          <w:lock w:val="sdtLocked"/>
                          <w:richText/>
                        </w:sdtPr>
                        <w:sdtContent>
                          <w:r>
                            <w:rPr>
                              <w:szCs w:val="24"/>
                            </w:rPr>
                            <w:t>3.2</w:t>
                          </w:r>
                        </w:sdtContent>
                      </w:sdt>
                      <w:r>
                        <w:rPr>
                          <w:szCs w:val="24"/>
                        </w:rPr>
                        <w:t>. bendrosios praktikos slaugytojas, turintis sertifikatą fizinės medicinos ir reabilitacijos slaugos paslaugoms teikti;</w:t>
                      </w:r>
                    </w:p>
                  </w:sdtContent>
                </w:sdt>
                <w:sdt>
                  <w:sdtPr>
                    <w:alias w:val="pr. 3.3 pp."/>
                    <w:tag w:val="part_a0770614e5024258915bb0f1602c1030"/>
                    <w:lock w:val="sdtLocked"/>
                    <w:richText/>
                  </w:sdtPr>
                  <w:sdtContent>
                    <w:p>
                      <w:pPr>
                        <w:ind w:firstLine="709"/>
                        <w:jc w:val="both"/>
                        <w:rPr>
                          <w:szCs w:val="24"/>
                        </w:rPr>
                      </w:pPr>
                      <w:sdt>
                        <w:sdtPr>
                          <w:alias w:val="Numeris"/>
                          <w:tag w:val="nr_a0770614e5024258915bb0f1602c1030"/>
                          <w:lock w:val="sdtLocked"/>
                          <w:richText/>
                        </w:sdtPr>
                        <w:sdtContent>
                          <w:r>
                            <w:rPr>
                              <w:szCs w:val="24"/>
                            </w:rPr>
                            <w:t>3.3</w:t>
                          </w:r>
                        </w:sdtContent>
                      </w:sdt>
                      <w:r>
                        <w:rPr>
                          <w:szCs w:val="24"/>
                        </w:rPr>
                        <w:t>. kineziterapeutas (ir (ar) kineziterapeuto padėjėjas*);</w:t>
                      </w:r>
                    </w:p>
                  </w:sdtContent>
                </w:sdt>
                <w:sdt>
                  <w:sdtPr>
                    <w:alias w:val="pr. 3.4 pp."/>
                    <w:tag w:val="part_61d5f7e2d35e4efb8d91aaaf67edf91d"/>
                    <w:lock w:val="sdtLocked"/>
                    <w:richText/>
                  </w:sdtPr>
                  <w:sdtContent>
                    <w:p>
                      <w:pPr>
                        <w:ind w:firstLine="709"/>
                        <w:jc w:val="both"/>
                        <w:rPr>
                          <w:szCs w:val="24"/>
                        </w:rPr>
                      </w:pPr>
                      <w:sdt>
                        <w:sdtPr>
                          <w:alias w:val="Numeris"/>
                          <w:tag w:val="nr_61d5f7e2d35e4efb8d91aaaf67edf91d"/>
                          <w:lock w:val="sdtLocked"/>
                          <w:richText/>
                        </w:sdtPr>
                        <w:sdtContent>
                          <w:r>
                            <w:rPr>
                              <w:szCs w:val="24"/>
                            </w:rPr>
                            <w:t>3.4</w:t>
                          </w:r>
                        </w:sdtContent>
                      </w:sdt>
                      <w:r>
                        <w:rPr>
                          <w:szCs w:val="24"/>
                        </w:rPr>
                        <w:t>. ergoterapeutas (ergoterapeuto padėjėjas*);</w:t>
                      </w:r>
                    </w:p>
                  </w:sdtContent>
                </w:sdt>
                <w:sdt>
                  <w:sdtPr>
                    <w:alias w:val="pr. 3.5 pp."/>
                    <w:tag w:val="part_3b380e0774e94d5095b664cf03f2f4c6"/>
                    <w:lock w:val="sdtLocked"/>
                    <w:richText/>
                  </w:sdtPr>
                  <w:sdtContent>
                    <w:p>
                      <w:pPr>
                        <w:ind w:firstLine="709"/>
                        <w:jc w:val="both"/>
                        <w:rPr>
                          <w:szCs w:val="24"/>
                        </w:rPr>
                      </w:pPr>
                      <w:sdt>
                        <w:sdtPr>
                          <w:alias w:val="Numeris"/>
                          <w:tag w:val="nr_3b380e0774e94d5095b664cf03f2f4c6"/>
                          <w:lock w:val="sdtLocked"/>
                          <w:richText/>
                        </w:sdtPr>
                        <w:sdtContent>
                          <w:r>
                            <w:rPr>
                              <w:szCs w:val="24"/>
                            </w:rPr>
                            <w:t>3.5</w:t>
                          </w:r>
                        </w:sdtContent>
                      </w:sdt>
                      <w:r>
                        <w:rPr>
                          <w:szCs w:val="24"/>
                        </w:rPr>
                        <w:t>. medicinos psichologas;</w:t>
                      </w:r>
                    </w:p>
                  </w:sdtContent>
                </w:sdt>
                <w:sdt>
                  <w:sdtPr>
                    <w:alias w:val="pr. 3.6 pp."/>
                    <w:tag w:val="part_c95818101a474a558e21e162606a73f9"/>
                    <w:lock w:val="sdtLocked"/>
                    <w:richText/>
                  </w:sdtPr>
                  <w:sdtContent>
                    <w:p>
                      <w:pPr>
                        <w:ind w:firstLine="709"/>
                        <w:jc w:val="both"/>
                        <w:rPr>
                          <w:szCs w:val="24"/>
                        </w:rPr>
                      </w:pPr>
                      <w:sdt>
                        <w:sdtPr>
                          <w:alias w:val="Numeris"/>
                          <w:tag w:val="nr_c95818101a474a558e21e162606a73f9"/>
                          <w:lock w:val="sdtLocked"/>
                          <w:richText/>
                        </w:sdtPr>
                        <w:sdtContent>
                          <w:r>
                            <w:rPr>
                              <w:szCs w:val="24"/>
                            </w:rPr>
                            <w:t>3.6</w:t>
                          </w:r>
                        </w:sdtContent>
                      </w:sdt>
                      <w:r>
                        <w:rPr>
                          <w:szCs w:val="24"/>
                        </w:rPr>
                        <w:t>. socialinis darbuotojas;</w:t>
                      </w:r>
                    </w:p>
                  </w:sdtContent>
                </w:sdt>
                <w:sdt>
                  <w:sdtPr>
                    <w:alias w:val="pr. 3.7 pp."/>
                    <w:tag w:val="part_e31cc022b0ac4db5b200121fc7960ef1"/>
                    <w:lock w:val="sdtLocked"/>
                    <w:richText/>
                  </w:sdtPr>
                  <w:sdtContent>
                    <w:p>
                      <w:pPr>
                        <w:ind w:firstLine="709"/>
                        <w:jc w:val="both"/>
                        <w:rPr>
                          <w:szCs w:val="24"/>
                        </w:rPr>
                      </w:pPr>
                      <w:sdt>
                        <w:sdtPr>
                          <w:alias w:val="Numeris"/>
                          <w:tag w:val="nr_e31cc022b0ac4db5b200121fc7960ef1"/>
                          <w:lock w:val="sdtLocked"/>
                          <w:richText/>
                        </w:sdtPr>
                        <w:sdtContent>
                          <w:r>
                            <w:rPr>
                              <w:szCs w:val="24"/>
                            </w:rPr>
                            <w:t>3.7</w:t>
                          </w:r>
                        </w:sdtContent>
                      </w:sdt>
                      <w:r>
                        <w:rPr>
                          <w:szCs w:val="24"/>
                        </w:rPr>
                        <w:t>. logoterapeutas (esant indikacijų).</w:t>
                      </w:r>
                    </w:p>
                    <w:p>
                      <w:pPr>
                        <w:ind w:firstLine="709"/>
                        <w:jc w:val="both"/>
                        <w:rPr>
                          <w:szCs w:val="24"/>
                        </w:rPr>
                      </w:pPr>
                    </w:p>
                    <w:p>
                      <w:pPr>
                        <w:jc w:val="both"/>
                        <w:rPr>
                          <w:szCs w:val="24"/>
                        </w:rPr>
                      </w:pPr>
                      <w:r>
                        <w:rPr>
                          <w:szCs w:val="24"/>
                        </w:rPr>
                        <w:t>*Reabilitacijos įstaigos vadovas, vadovaudamasis Lietuvos Respublikos sveikatos apsaugos ministro 2006 m. gegužės 4 d. įsakymu Nr. V-363 „Dėl</w:t>
                      </w:r>
                      <w:r>
                        <w:rPr>
                          <w:b/>
                          <w:szCs w:val="24"/>
                        </w:rPr>
                        <w:t xml:space="preserve"> </w:t>
                      </w:r>
                      <w:r>
                        <w:rPr>
                          <w:szCs w:val="24"/>
                        </w:rPr>
                        <w:t>pavyzdinio pareigybių sąrašo, kuriuo vadovaujantis biudžetinėse įstaigose ir organizacijose darbuotojai priskiriami sveikatos priežiūros specialistams, patvirtinimo“, jei reikia, gali patvirtinti ir kitas pareigybes.</w:t>
                      </w:r>
                    </w:p>
                    <w:p>
                      <w:pPr>
                        <w:jc w:val="center"/>
                        <w:rPr>
                          <w:b/>
                          <w:szCs w:val="24"/>
                        </w:rPr>
                      </w:pPr>
                    </w:p>
                  </w:sdtContent>
                </w:sdt>
              </w:sdtContent>
            </w:sdt>
          </w:sdtContent>
        </w:sdt>
        <w:sdt>
          <w:sdtPr>
            <w:alias w:val="skyrius"/>
            <w:tag w:val="part_185a3738b4334d19a37ab10cd5eb14e1"/>
            <w:lock w:val="sdtLocked"/>
            <w:richText/>
          </w:sdtPr>
          <w:sdtContent>
            <w:p>
              <w:pPr>
                <w:jc w:val="center"/>
                <w:rPr>
                  <w:b/>
                  <w:szCs w:val="24"/>
                </w:rPr>
              </w:pPr>
              <w:sdt>
                <w:sdtPr>
                  <w:alias w:val="Numeris"/>
                  <w:tag w:val="nr_185a3738b4334d19a37ab10cd5eb14e1"/>
                  <w:lock w:val="sdtLocked"/>
                  <w:richText/>
                </w:sdtPr>
                <w:sdtContent>
                  <w:r>
                    <w:rPr>
                      <w:b/>
                      <w:szCs w:val="24"/>
                    </w:rPr>
                    <w:t>II</w:t>
                  </w:r>
                </w:sdtContent>
              </w:sdt>
              <w:r>
                <w:rPr>
                  <w:b/>
                  <w:szCs w:val="24"/>
                </w:rPr>
                <w:t xml:space="preserve"> SKYRIUS</w:t>
              </w:r>
            </w:p>
            <w:p>
              <w:pPr>
                <w:jc w:val="center"/>
                <w:rPr>
                  <w:b/>
                  <w:szCs w:val="24"/>
                </w:rPr>
              </w:pPr>
              <w:sdt>
                <w:sdtPr>
                  <w:alias w:val="Pavadinimas"/>
                  <w:tag w:val="title_185a3738b4334d19a37ab10cd5eb14e1"/>
                  <w:lock w:val="sdtLocked"/>
                  <w:richText/>
                </w:sdtPr>
                <w:sdtContent>
                  <w:r>
                    <w:rPr>
                      <w:b/>
                      <w:szCs w:val="24"/>
                    </w:rPr>
                    <w:t>BENDROS SIUNTIMO M</w:t>
                  </w:r>
                  <w:r>
                    <w:rPr>
                      <w:b/>
                      <w:iCs/>
                      <w:szCs w:val="24"/>
                    </w:rPr>
                    <w:t>EDICININEI REABILITACIJAI</w:t>
                  </w:r>
                  <w:r>
                    <w:rPr>
                      <w:b/>
                      <w:szCs w:val="24"/>
                    </w:rPr>
                    <w:t>, SVEIKATOS GRĄŽINAMAJAM GYDYMUI, ANTIRECIDYVINIAM GYDYMUI, PREVENCINEI MEDICININEI PSICHOLOGINEI REABILITACIJAI KONTRAINDIKACIJOS</w:t>
                  </w:r>
                </w:sdtContent>
              </w:sdt>
            </w:p>
            <w:p>
              <w:pPr>
                <w:rPr>
                  <w:szCs w:val="24"/>
                </w:rPr>
              </w:pPr>
            </w:p>
            <w:sdt>
              <w:sdtPr>
                <w:alias w:val="pr. 4 p."/>
                <w:tag w:val="part_7596aa8cb45349669aab155b22e701d8"/>
                <w:lock w:val="sdtLocked"/>
                <w:richText/>
              </w:sdtPr>
              <w:sdtContent>
                <w:p>
                  <w:pPr>
                    <w:ind w:firstLine="709"/>
                    <w:jc w:val="both"/>
                    <w:rPr>
                      <w:szCs w:val="24"/>
                    </w:rPr>
                  </w:pPr>
                  <w:sdt>
                    <w:sdtPr>
                      <w:alias w:val="Numeris"/>
                      <w:tag w:val="nr_7596aa8cb45349669aab155b22e701d8"/>
                      <w:lock w:val="sdtLocked"/>
                      <w:richText/>
                    </w:sdtPr>
                    <w:sdtContent>
                      <w:r>
                        <w:rPr>
                          <w:szCs w:val="24"/>
                        </w:rPr>
                        <w:t>4</w:t>
                      </w:r>
                    </w:sdtContent>
                  </w:sdt>
                  <w:r>
                    <w:rPr>
                      <w:szCs w:val="24"/>
                    </w:rPr>
                    <w:t>. Visų tuberkuliozės formų aktyvioji stadija A 15.0–1; A 15.5; A 15.7–9. Bet kokios kilmės echinokokozė (B 67), kitos pirmuonių sukeltos ligos, pedikuliozė.</w:t>
                  </w:r>
                </w:p>
              </w:sdtContent>
            </w:sdt>
            <w:sdt>
              <w:sdtPr>
                <w:alias w:val="pr. 5 p."/>
                <w:tag w:val="part_85e270b6d10b43d3b60a02a56af43a9a"/>
                <w:lock w:val="sdtLocked"/>
                <w:richText/>
              </w:sdtPr>
              <w:sdtContent>
                <w:p>
                  <w:pPr>
                    <w:ind w:firstLine="709"/>
                    <w:jc w:val="both"/>
                    <w:rPr>
                      <w:szCs w:val="24"/>
                    </w:rPr>
                  </w:pPr>
                  <w:sdt>
                    <w:sdtPr>
                      <w:alias w:val="Numeris"/>
                      <w:tag w:val="nr_85e270b6d10b43d3b60a02a56af43a9a"/>
                      <w:lock w:val="sdtLocked"/>
                      <w:richText/>
                    </w:sdtPr>
                    <w:sdtContent>
                      <w:r>
                        <w:rPr>
                          <w:szCs w:val="24"/>
                        </w:rPr>
                        <w:t>5</w:t>
                      </w:r>
                    </w:sdtContent>
                  </w:sdt>
                  <w:r>
                    <w:rPr>
                      <w:szCs w:val="24"/>
                    </w:rPr>
                    <w:t>. Ūmios infekcinės ligos.</w:t>
                  </w:r>
                </w:p>
              </w:sdtContent>
            </w:sdt>
            <w:sdt>
              <w:sdtPr>
                <w:alias w:val="pr. 6 p."/>
                <w:tag w:val="part_e144edf6b7734a55afd1ebab7bc374b8"/>
                <w:lock w:val="sdtLocked"/>
                <w:richText/>
              </w:sdtPr>
              <w:sdtContent>
                <w:p>
                  <w:pPr>
                    <w:ind w:firstLine="709"/>
                    <w:jc w:val="both"/>
                    <w:rPr>
                      <w:szCs w:val="24"/>
                    </w:rPr>
                  </w:pPr>
                  <w:sdt>
                    <w:sdtPr>
                      <w:alias w:val="Numeris"/>
                      <w:tag w:val="nr_e144edf6b7734a55afd1ebab7bc374b8"/>
                      <w:lock w:val="sdtLocked"/>
                      <w:richText/>
                    </w:sdtPr>
                    <w:sdtContent>
                      <w:r>
                        <w:rPr>
                          <w:szCs w:val="24"/>
                        </w:rPr>
                        <w:t>6</w:t>
                      </w:r>
                    </w:sdtContent>
                  </w:sdt>
                  <w:r>
                    <w:rPr>
                      <w:szCs w:val="24"/>
                    </w:rPr>
                    <w:t>. Lytiškai plintančios ligos (sifilis, gonorėja, trichomonozė ir kt.) A 50–A 64.</w:t>
                  </w:r>
                </w:p>
              </w:sdtContent>
            </w:sdt>
            <w:sdt>
              <w:sdtPr>
                <w:alias w:val="pr. 7 p."/>
                <w:tag w:val="part_01bb07aa818f4598adef60f077e3c1e2"/>
                <w:lock w:val="sdtLocked"/>
                <w:richText/>
              </w:sdtPr>
              <w:sdtContent>
                <w:p>
                  <w:pPr>
                    <w:ind w:firstLine="709"/>
                    <w:jc w:val="both"/>
                    <w:rPr>
                      <w:szCs w:val="24"/>
                    </w:rPr>
                  </w:pPr>
                  <w:sdt>
                    <w:sdtPr>
                      <w:alias w:val="Numeris"/>
                      <w:tag w:val="nr_01bb07aa818f4598adef60f077e3c1e2"/>
                      <w:lock w:val="sdtLocked"/>
                      <w:richText/>
                    </w:sdtPr>
                    <w:sdtContent>
                      <w:r>
                        <w:rPr>
                          <w:szCs w:val="24"/>
                        </w:rPr>
                        <w:t>7</w:t>
                      </w:r>
                    </w:sdtContent>
                  </w:sdt>
                  <w:r>
                    <w:rPr>
                      <w:szCs w:val="24"/>
                    </w:rPr>
                    <w:t>. Onkologiniai IV klinikinės grupės susirgimai.</w:t>
                  </w:r>
                </w:p>
              </w:sdtContent>
            </w:sdt>
            <w:sdt>
              <w:sdtPr>
                <w:alias w:val="pr. 8 p."/>
                <w:tag w:val="part_fdc2d8de07394d59abfd710a2c87c4cf"/>
                <w:lock w:val="sdtLocked"/>
                <w:richText/>
              </w:sdtPr>
              <w:sdtContent>
                <w:p>
                  <w:pPr>
                    <w:ind w:firstLine="709"/>
                    <w:jc w:val="both"/>
                    <w:rPr>
                      <w:szCs w:val="24"/>
                    </w:rPr>
                  </w:pPr>
                  <w:sdt>
                    <w:sdtPr>
                      <w:alias w:val="Numeris"/>
                      <w:tag w:val="nr_fdc2d8de07394d59abfd710a2c87c4cf"/>
                      <w:lock w:val="sdtLocked"/>
                      <w:richText/>
                    </w:sdtPr>
                    <w:sdtContent>
                      <w:r>
                        <w:rPr>
                          <w:szCs w:val="24"/>
                        </w:rPr>
                        <w:t>8</w:t>
                      </w:r>
                    </w:sdtContent>
                  </w:sdt>
                  <w:r>
                    <w:rPr>
                      <w:szCs w:val="24"/>
                    </w:rPr>
                    <w:t>. Endokrininės, mitybos ir medžiagų apykaitos nekoreguotos ligos (cukrinis diabetas, miksedema, tireotoksikozė ir kt.).</w:t>
                  </w:r>
                </w:p>
              </w:sdtContent>
            </w:sdt>
            <w:sdt>
              <w:sdtPr>
                <w:alias w:val="pr. 9 p."/>
                <w:tag w:val="part_850b68909ca245ac8f60d3384d6ee5a7"/>
                <w:lock w:val="sdtLocked"/>
                <w:richText/>
              </w:sdtPr>
              <w:sdtContent>
                <w:p>
                  <w:pPr>
                    <w:ind w:firstLine="709"/>
                    <w:jc w:val="both"/>
                    <w:rPr>
                      <w:szCs w:val="24"/>
                    </w:rPr>
                  </w:pPr>
                  <w:sdt>
                    <w:sdtPr>
                      <w:alias w:val="Numeris"/>
                      <w:tag w:val="nr_850b68909ca245ac8f60d3384d6ee5a7"/>
                      <w:lock w:val="sdtLocked"/>
                      <w:richText/>
                    </w:sdtPr>
                    <w:sdtContent>
                      <w:r>
                        <w:rPr>
                          <w:szCs w:val="24"/>
                        </w:rPr>
                        <w:t>9</w:t>
                      </w:r>
                    </w:sdtContent>
                  </w:sdt>
                  <w:r>
                    <w:rPr>
                      <w:szCs w:val="24"/>
                    </w:rPr>
                    <w:t>. Psichikos ligos su asmenybės desocializacija F 00; F 02; F 03; F 05; F 10–F 29; F 60; F 63; F 65; F 72–F 73.</w:t>
                  </w:r>
                </w:p>
              </w:sdtContent>
            </w:sdt>
            <w:sdt>
              <w:sdtPr>
                <w:alias w:val="pr. 10 p."/>
                <w:tag w:val="part_bbaa48427e3d4dba9961e3f094153e78"/>
                <w:lock w:val="sdtLocked"/>
                <w:richText/>
              </w:sdtPr>
              <w:sdtContent>
                <w:p>
                  <w:pPr>
                    <w:ind w:firstLine="709"/>
                    <w:jc w:val="both"/>
                    <w:rPr>
                      <w:szCs w:val="24"/>
                    </w:rPr>
                  </w:pPr>
                  <w:sdt>
                    <w:sdtPr>
                      <w:alias w:val="Numeris"/>
                      <w:tag w:val="nr_bbaa48427e3d4dba9961e3f094153e78"/>
                      <w:lock w:val="sdtLocked"/>
                      <w:richText/>
                    </w:sdtPr>
                    <w:sdtContent>
                      <w:r>
                        <w:rPr>
                          <w:szCs w:val="24"/>
                        </w:rPr>
                        <w:t>10</w:t>
                      </w:r>
                    </w:sdtContent>
                  </w:sdt>
                  <w:r>
                    <w:rPr>
                      <w:szCs w:val="24"/>
                    </w:rPr>
                    <w:t>. Įvairios kilmės dažnai besikartojantys arba gausūs kraujavimai, didelė anemija, kai hemoglobino kraujyje yra mažiau nei 80 g/l.</w:t>
                  </w:r>
                </w:p>
              </w:sdtContent>
            </w:sdt>
            <w:sdt>
              <w:sdtPr>
                <w:alias w:val="pr. 11 p."/>
                <w:tag w:val="part_900b67234be749288ba12c77ad59c282"/>
                <w:lock w:val="sdtLocked"/>
                <w:richText/>
              </w:sdtPr>
              <w:sdtContent>
                <w:p>
                  <w:pPr>
                    <w:ind w:firstLine="709"/>
                    <w:jc w:val="both"/>
                    <w:rPr>
                      <w:szCs w:val="24"/>
                    </w:rPr>
                  </w:pPr>
                  <w:sdt>
                    <w:sdtPr>
                      <w:alias w:val="Numeris"/>
                      <w:tag w:val="nr_900b67234be749288ba12c77ad59c282"/>
                      <w:lock w:val="sdtLocked"/>
                      <w:richText/>
                    </w:sdtPr>
                    <w:sdtContent>
                      <w:r>
                        <w:rPr>
                          <w:szCs w:val="24"/>
                        </w:rPr>
                        <w:t>11</w:t>
                      </w:r>
                    </w:sdtContent>
                  </w:sdt>
                  <w:r>
                    <w:rPr>
                      <w:szCs w:val="24"/>
                    </w:rPr>
                    <w:t>. Komplikuoti skilveliniai širdies ritmo sutrikimai, IV funkcinės klasės pagal NYHA širdies nepakankamumas.</w:t>
                  </w:r>
                </w:p>
              </w:sdtContent>
            </w:sdt>
            <w:sdt>
              <w:sdtPr>
                <w:alias w:val="pr. 12 p."/>
                <w:tag w:val="part_6264a6e1b06d4434bdb82919338c60b4"/>
                <w:lock w:val="sdtLocked"/>
                <w:richText/>
              </w:sdtPr>
              <w:sdtContent>
                <w:p>
                  <w:pPr>
                    <w:ind w:firstLine="709"/>
                    <w:jc w:val="both"/>
                    <w:rPr>
                      <w:szCs w:val="24"/>
                    </w:rPr>
                  </w:pPr>
                  <w:sdt>
                    <w:sdtPr>
                      <w:alias w:val="Numeris"/>
                      <w:tag w:val="nr_6264a6e1b06d4434bdb82919338c60b4"/>
                      <w:lock w:val="sdtLocked"/>
                      <w:richText/>
                    </w:sdtPr>
                    <w:sdtContent>
                      <w:r>
                        <w:rPr>
                          <w:szCs w:val="24"/>
                        </w:rPr>
                        <w:t>12</w:t>
                      </w:r>
                    </w:sdtContent>
                  </w:sdt>
                  <w:r>
                    <w:rPr>
                      <w:szCs w:val="24"/>
                    </w:rPr>
                    <w:t>. Ūmi giliųjų venų trombozė.</w:t>
                  </w:r>
                </w:p>
              </w:sdtContent>
            </w:sdt>
            <w:sdt>
              <w:sdtPr>
                <w:alias w:val="pr. 13 p."/>
                <w:tag w:val="part_72f8e1e2ea0a49c5832f71740ceaf619"/>
                <w:lock w:val="sdtLocked"/>
                <w:richText/>
              </w:sdtPr>
              <w:sdtContent>
                <w:p>
                  <w:pPr>
                    <w:ind w:firstLine="709"/>
                    <w:jc w:val="both"/>
                    <w:rPr>
                      <w:szCs w:val="24"/>
                    </w:rPr>
                  </w:pPr>
                  <w:sdt>
                    <w:sdtPr>
                      <w:alias w:val="Numeris"/>
                      <w:tag w:val="nr_72f8e1e2ea0a49c5832f71740ceaf619"/>
                      <w:lock w:val="sdtLocked"/>
                      <w:richText/>
                    </w:sdtPr>
                    <w:sdtContent>
                      <w:r>
                        <w:rPr>
                          <w:szCs w:val="24"/>
                        </w:rPr>
                        <w:t>13</w:t>
                      </w:r>
                    </w:sdtContent>
                  </w:sdt>
                  <w:r>
                    <w:rPr>
                      <w:szCs w:val="24"/>
                    </w:rPr>
                    <w:t>. Kvėpavimo funkcijos III laipsnio nepakankamumas.</w:t>
                  </w:r>
                </w:p>
              </w:sdtContent>
            </w:sdt>
            <w:sdt>
              <w:sdtPr>
                <w:alias w:val="pr. 14 p."/>
                <w:tag w:val="part_fe482576d9344c4ca529d7edafb6ad8f"/>
                <w:lock w:val="sdtLocked"/>
                <w:richText/>
              </w:sdtPr>
              <w:sdtContent>
                <w:p>
                  <w:pPr>
                    <w:ind w:firstLine="709"/>
                    <w:jc w:val="both"/>
                    <w:rPr>
                      <w:szCs w:val="24"/>
                    </w:rPr>
                  </w:pPr>
                  <w:sdt>
                    <w:sdtPr>
                      <w:alias w:val="Numeris"/>
                      <w:tag w:val="nr_fe482576d9344c4ca529d7edafb6ad8f"/>
                      <w:lock w:val="sdtLocked"/>
                      <w:richText/>
                    </w:sdtPr>
                    <w:sdtContent>
                      <w:r>
                        <w:rPr>
                          <w:szCs w:val="24"/>
                        </w:rPr>
                        <w:t>14</w:t>
                      </w:r>
                    </w:sdtContent>
                  </w:sdt>
                  <w:r>
                    <w:rPr>
                      <w:szCs w:val="24"/>
                    </w:rPr>
                    <w:t>. Pūliniai plaučių susirgimai, esant didelei intoksikacijai (J 85; J 86).</w:t>
                  </w:r>
                </w:p>
              </w:sdtContent>
            </w:sdt>
            <w:sdt>
              <w:sdtPr>
                <w:alias w:val="pr. 15 p."/>
                <w:tag w:val="part_88434e16fa3b4f9d9c83bb3c6a22aa42"/>
                <w:lock w:val="sdtLocked"/>
                <w:richText/>
              </w:sdtPr>
              <w:sdtContent>
                <w:p>
                  <w:pPr>
                    <w:ind w:firstLine="709"/>
                    <w:jc w:val="both"/>
                    <w:rPr>
                      <w:szCs w:val="24"/>
                    </w:rPr>
                  </w:pPr>
                  <w:sdt>
                    <w:sdtPr>
                      <w:alias w:val="Numeris"/>
                      <w:tag w:val="nr_88434e16fa3b4f9d9c83bb3c6a22aa42"/>
                      <w:lock w:val="sdtLocked"/>
                      <w:richText/>
                    </w:sdtPr>
                    <w:sdtContent>
                      <w:r>
                        <w:rPr>
                          <w:szCs w:val="24"/>
                        </w:rPr>
                        <w:t>15</w:t>
                      </w:r>
                    </w:sdtContent>
                  </w:sdt>
                  <w:r>
                    <w:rPr>
                      <w:szCs w:val="24"/>
                    </w:rPr>
                    <w:t>. Kepenų, kasos ligos, esant III laipsnio funkcijos nepakankamumui.</w:t>
                  </w:r>
                </w:p>
              </w:sdtContent>
            </w:sdt>
            <w:sdt>
              <w:sdtPr>
                <w:alias w:val="pr. 16 p."/>
                <w:tag w:val="part_a4501b3eaeb645fb8747d7b4280ff301"/>
                <w:lock w:val="sdtLocked"/>
                <w:richText/>
              </w:sdtPr>
              <w:sdtContent>
                <w:p>
                  <w:pPr>
                    <w:ind w:firstLine="709"/>
                    <w:jc w:val="both"/>
                    <w:rPr>
                      <w:szCs w:val="24"/>
                    </w:rPr>
                  </w:pPr>
                  <w:sdt>
                    <w:sdtPr>
                      <w:alias w:val="Numeris"/>
                      <w:tag w:val="nr_a4501b3eaeb645fb8747d7b4280ff301"/>
                      <w:lock w:val="sdtLocked"/>
                      <w:richText/>
                    </w:sdtPr>
                    <w:sdtContent>
                      <w:r>
                        <w:rPr>
                          <w:szCs w:val="24"/>
                        </w:rPr>
                        <w:t>16</w:t>
                      </w:r>
                    </w:sdtContent>
                  </w:sdt>
                  <w:r>
                    <w:rPr>
                      <w:szCs w:val="24"/>
                    </w:rPr>
                    <w:t>. Pūlinės odos ligos, užkrečiamosios odos ligos (niežai, grybelinės ligos ir kt.).</w:t>
                  </w:r>
                </w:p>
              </w:sdtContent>
            </w:sdt>
            <w:sdt>
              <w:sdtPr>
                <w:alias w:val="pr. 17 p."/>
                <w:tag w:val="part_abbaa9d3e64c4d7b9d56bec7c33cad9f"/>
                <w:lock w:val="sdtLocked"/>
                <w:richText/>
              </w:sdtPr>
              <w:sdtContent>
                <w:p>
                  <w:pPr>
                    <w:ind w:firstLine="709"/>
                    <w:jc w:val="both"/>
                    <w:rPr>
                      <w:szCs w:val="24"/>
                    </w:rPr>
                  </w:pPr>
                  <w:sdt>
                    <w:sdtPr>
                      <w:alias w:val="Numeris"/>
                      <w:tag w:val="nr_abbaa9d3e64c4d7b9d56bec7c33cad9f"/>
                      <w:lock w:val="sdtLocked"/>
                      <w:richText/>
                    </w:sdtPr>
                    <w:sdtContent>
                      <w:r>
                        <w:rPr>
                          <w:szCs w:val="24"/>
                        </w:rPr>
                        <w:t>17</w:t>
                      </w:r>
                    </w:sdtContent>
                  </w:sdt>
                  <w:r>
                    <w:rPr>
                      <w:szCs w:val="24"/>
                    </w:rPr>
                    <w:t>. III ir didesnio laipsnio pragulos.</w:t>
                  </w:r>
                </w:p>
              </w:sdtContent>
            </w:sdt>
            <w:sdt>
              <w:sdtPr>
                <w:alias w:val="pr. 18 p."/>
                <w:tag w:val="part_bf1b5393791c4b28909f8847331d6768"/>
                <w:lock w:val="sdtLocked"/>
                <w:richText/>
              </w:sdtPr>
              <w:sdtContent>
                <w:p>
                  <w:pPr>
                    <w:ind w:firstLine="709"/>
                    <w:jc w:val="both"/>
                    <w:rPr>
                      <w:szCs w:val="24"/>
                    </w:rPr>
                  </w:pPr>
                  <w:sdt>
                    <w:sdtPr>
                      <w:alias w:val="Numeris"/>
                      <w:tag w:val="nr_bf1b5393791c4b28909f8847331d6768"/>
                      <w:lock w:val="sdtLocked"/>
                      <w:richText/>
                    </w:sdtPr>
                    <w:sdtContent>
                      <w:r>
                        <w:rPr>
                          <w:szCs w:val="24"/>
                        </w:rPr>
                        <w:t>18</w:t>
                      </w:r>
                    </w:sdtContent>
                  </w:sdt>
                  <w:r>
                    <w:rPr>
                      <w:szCs w:val="24"/>
                    </w:rPr>
                    <w:t>. Ūmus osteomielitas.</w:t>
                  </w:r>
                </w:p>
              </w:sdtContent>
            </w:sdt>
            <w:sdt>
              <w:sdtPr>
                <w:alias w:val="pr. 19 p."/>
                <w:tag w:val="part_85072b69b4004caeb9491d79582e4528"/>
                <w:lock w:val="sdtLocked"/>
                <w:richText/>
              </w:sdtPr>
              <w:sdtContent>
                <w:p>
                  <w:pPr>
                    <w:ind w:firstLine="709"/>
                    <w:jc w:val="both"/>
                    <w:rPr>
                      <w:szCs w:val="24"/>
                    </w:rPr>
                  </w:pPr>
                  <w:sdt>
                    <w:sdtPr>
                      <w:alias w:val="Numeris"/>
                      <w:tag w:val="nr_85072b69b4004caeb9491d79582e4528"/>
                      <w:lock w:val="sdtLocked"/>
                      <w:richText/>
                    </w:sdtPr>
                    <w:sdtContent>
                      <w:r>
                        <w:rPr>
                          <w:szCs w:val="24"/>
                        </w:rPr>
                        <w:t>19</w:t>
                      </w:r>
                    </w:sdtContent>
                  </w:sdt>
                  <w:r>
                    <w:rPr>
                      <w:szCs w:val="24"/>
                    </w:rPr>
                    <w:t>. Febrilus karščiavimas arba neaiškios kilmės subfebrilus karščiavimas.</w:t>
                  </w:r>
                </w:p>
              </w:sdtContent>
            </w:sdt>
            <w:sdt>
              <w:sdtPr>
                <w:alias w:val="pr. 20 p."/>
                <w:tag w:val="part_39ad7c28db2a43b4bc2abda9d5eeb0e3"/>
                <w:lock w:val="sdtLocked"/>
                <w:richText/>
              </w:sdtPr>
              <w:sdtContent>
                <w:p>
                  <w:pPr>
                    <w:ind w:firstLine="709"/>
                    <w:jc w:val="both"/>
                    <w:rPr>
                      <w:szCs w:val="24"/>
                    </w:rPr>
                  </w:pPr>
                  <w:sdt>
                    <w:sdtPr>
                      <w:alias w:val="Numeris"/>
                      <w:tag w:val="nr_39ad7c28db2a43b4bc2abda9d5eeb0e3"/>
                      <w:lock w:val="sdtLocked"/>
                      <w:richText/>
                    </w:sdtPr>
                    <w:sdtContent>
                      <w:r>
                        <w:rPr>
                          <w:szCs w:val="24"/>
                        </w:rPr>
                        <w:t>20</w:t>
                      </w:r>
                    </w:sdtContent>
                  </w:sdt>
                  <w:r>
                    <w:rPr>
                      <w:szCs w:val="24"/>
                    </w:rPr>
                    <w:t>. Gretutiniai susirgimai, kurie trukdo 2–3 val. per dieną aktyviai dalyvauti reabilitacijos procese.</w:t>
                  </w:r>
                </w:p>
                <w:p>
                  <w:pPr>
                    <w:rPr>
                      <w:b/>
                      <w:bCs/>
                      <w:caps/>
                      <w:szCs w:val="24"/>
                    </w:rPr>
                  </w:pPr>
                </w:p>
                <w:p>
                  <w:pPr>
                    <w:rPr>
                      <w:b/>
                      <w:bCs/>
                      <w:caps/>
                      <w:szCs w:val="24"/>
                    </w:rPr>
                  </w:pPr>
                  <w:r>
                    <w:rPr>
                      <w:b/>
                      <w:bCs/>
                      <w:caps/>
                      <w:szCs w:val="24"/>
                    </w:rPr>
                    <w:br w:type="page"/>
                  </w:r>
                </w:p>
              </w:sdtContent>
            </w:sdt>
          </w:sdtContent>
        </w:sdt>
        <w:sdt>
          <w:sdtPr>
            <w:alias w:val="skyrius"/>
            <w:tag w:val="part_a2d88dc1262c4a3eb64afee55fea4904"/>
            <w:lock w:val="sdtLocked"/>
            <w:richText/>
          </w:sdtPr>
          <w:sdtContent>
            <w:p>
              <w:pPr>
                <w:jc w:val="center"/>
                <w:rPr>
                  <w:b/>
                  <w:bCs/>
                  <w:caps/>
                  <w:szCs w:val="24"/>
                </w:rPr>
              </w:pPr>
              <w:sdt>
                <w:sdtPr>
                  <w:alias w:val="Numeris"/>
                  <w:tag w:val="nr_a2d88dc1262c4a3eb64afee55fea4904"/>
                  <w:lock w:val="sdtLocked"/>
                  <w:richText/>
                </w:sdtPr>
                <w:sdtContent>
                  <w:r>
                    <w:rPr>
                      <w:b/>
                      <w:bCs/>
                      <w:caps/>
                      <w:szCs w:val="24"/>
                    </w:rPr>
                    <w:t>iii</w:t>
                  </w:r>
                </w:sdtContent>
              </w:sdt>
              <w:r>
                <w:rPr>
                  <w:b/>
                  <w:bCs/>
                  <w:caps/>
                  <w:szCs w:val="24"/>
                </w:rPr>
                <w:t xml:space="preserve"> SKYRIUS</w:t>
              </w:r>
            </w:p>
            <w:p>
              <w:pPr>
                <w:rPr>
                  <w:szCs w:val="24"/>
                </w:rPr>
              </w:pPr>
            </w:p>
            <w:p>
              <w:pPr>
                <w:tabs>
                  <w:tab w:val="left" w:pos="397"/>
                </w:tabs>
                <w:jc w:val="center"/>
                <w:rPr>
                  <w:b/>
                  <w:szCs w:val="24"/>
                </w:rPr>
              </w:pPr>
              <w:sdt>
                <w:sdtPr>
                  <w:alias w:val="Pavadinimas"/>
                  <w:tag w:val="title_a2d88dc1262c4a3eb64afee55fea4904"/>
                  <w:lock w:val="sdtLocked"/>
                  <w:richText/>
                </w:sdt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pPr>
                <w:jc w:val="center"/>
                <w:rPr>
                  <w:szCs w:val="24"/>
                </w:rPr>
              </w:pPr>
            </w:p>
            <w:sdt>
              <w:sdtPr>
                <w:alias w:val="poskyris"/>
                <w:tag w:val="part_c2229cf65b9c40eaab8ec01e0bccaaab"/>
                <w:lock w:val="sdtLocked"/>
                <w:richText/>
              </w:sdtPr>
              <w:sdtContent>
                <w:p>
                  <w:pPr>
                    <w:jc w:val="center"/>
                    <w:rPr>
                      <w:b/>
                      <w:iCs/>
                      <w:szCs w:val="24"/>
                    </w:rPr>
                  </w:pPr>
                  <w:sdt>
                    <w:sdtPr>
                      <w:alias w:val="Pavadinimas"/>
                      <w:tag w:val="title_c2229cf65b9c40eaab8ec01e0bccaaab"/>
                      <w:lock w:val="sdtLocked"/>
                      <w:richText/>
                    </w:sdtPr>
                    <w:sdtContent>
                      <w:r>
                        <w:rPr>
                          <w:b/>
                          <w:iCs/>
                          <w:szCs w:val="24"/>
                        </w:rPr>
                        <w:t>Endokrininės, mitybos ir medžiagų apykaitos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13"/>
                    <w:gridCol w:w="2581"/>
                    <w:gridCol w:w="1890"/>
                    <w:gridCol w:w="370"/>
                  </w:tblGrid>
                  <w:tr>
                    <w:trPr>
                      <w:gridAfter w:val="1"/>
                      <w:wAfter w:w="43" w:type="dxa"/>
                      <w:cantSplit/>
                      <w:trHeight w:val="1073"/>
                      <w:tblHeader/>
                    </w:trPr>
                    <w:tc>
                      <w:tcPr>
                        <w:tcW w:w="3117" w:type="pct"/>
                        <w:vAlign w:val="center"/>
                      </w:tcPr>
                      <w:p>
                        <w:pPr>
                          <w:jc w:val="center"/>
                          <w:rPr>
                            <w:szCs w:val="24"/>
                          </w:rPr>
                        </w:pPr>
                        <w:r>
                          <w:rPr>
                            <w:szCs w:val="24"/>
                          </w:rPr>
                          <w:t>Diagnozės</w:t>
                        </w:r>
                      </w:p>
                    </w:tc>
                    <w:tc>
                      <w:tcPr>
                        <w:tcW w:w="1104" w:type="pct"/>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gridAfter w:val="1"/>
                      <w:wAfter w:w="43" w:type="dxa"/>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6 procedūros, fizioterapija – 7 procedūros, 2 medicinos psichologo konsultacijos, 1 socialinio darbuotojo konsultacija, dietoterapija.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r>
                    <w:tblPrEx>
                      <w:tblCellMar>
                        <w:left w:w="65" w:type="dxa"/>
                        <w:right w:w="65" w:type="dxa"/>
                      </w:tblCellMar>
                    </w:tblPrEx>
                    <w:trPr>
                      <w:gridBefore w:val="1"/>
                      <w:cantSplit/>
                      <w:trHeight w:val="435"/>
                    </w:trPr>
                    <w:tc>
                      <w:tcPr>
                        <w:tcW w:w="3117" w:type="pct"/>
                        <w:vAlign w:val="center"/>
                      </w:tcPr>
                      <w:p>
                        <w:pPr>
                          <w:rPr>
                            <w:szCs w:val="24"/>
                          </w:rPr>
                        </w:pPr>
                        <w:r>
                          <w:rPr>
                            <w:szCs w:val="24"/>
                          </w:rPr>
                          <w:t>Cukrinis diabetas E10.4–7; E11.4–7; E12.4–7</w:t>
                        </w:r>
                      </w:p>
                    </w:tc>
                    <w:tc>
                      <w:tcPr>
                        <w:tcW w:w="1104" w:type="pct"/>
                      </w:tcPr>
                      <w:p>
                        <w:pPr>
                          <w:rPr>
                            <w:szCs w:val="24"/>
                          </w:rPr>
                        </w:pPr>
                        <w:r>
                          <w:rPr>
                            <w:szCs w:val="24"/>
                          </w:rPr>
                          <w:t>Vidutinė CD forma, subkompensacijos stadija, esant diabetinei polineuropatijai ar (ir) retinopatijai ar (ir) nefropatijai</w:t>
                        </w:r>
                      </w:p>
                    </w:tc>
                    <w:tc>
                      <w:tcPr>
                        <w:tcW w:w="779" w:type="pct"/>
                      </w:tcPr>
                      <w:p>
                        <w:pPr>
                          <w:jc w:val="center"/>
                          <w:rPr>
                            <w:szCs w:val="24"/>
                          </w:rPr>
                        </w:pPr>
                        <w:r>
                          <w:rPr>
                            <w:szCs w:val="24"/>
                          </w:rPr>
                          <w:t>18</w:t>
                        </w:r>
                      </w:p>
                    </w:tc>
                  </w:tr>
                  <w:tr>
                    <w:trPr>
                      <w:gridAfter w:val="1"/>
                      <w:wAfter w:w="43" w:type="dxa"/>
                      <w:cantSplit/>
                      <w:trHeight w:val="384"/>
                    </w:trPr>
                    <w:tc>
                      <w:tcPr>
                        <w:tcW w:w="5000" w:type="pct"/>
                        <w:gridSpan w:val="3"/>
                        <w:tcBorders>
                          <w:bottom w:val="nil"/>
                        </w:tcBorders>
                        <w:shd w:val="clear" w:color="auto" w:fill="FFFFFF"/>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4 procedūros, masažas – 6 procedūros, fizioterapija – 10 procedūrų, 2 medicinos psichologo konsultacijos, dietoterapija.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 xml:space="preserve">Pastaba. Paslaugos arba tyrimai pacientui, nustatyti šiuose reikalavimuose, gali būti didinami arba mažinami atsižvelgiant į paciento būklę bei indikacijas tai pagrindžiant ir padarius atitinkamus įrašus gydymo stacionare ligos istorijoje (forma Nr. 003/a). </w:t>
                        </w:r>
                      </w:p>
                    </w:tc>
                  </w:tr>
                  <w:tr>
                    <w:tblPrEx>
                      <w:tblCellMar>
                        <w:left w:w="65" w:type="dxa"/>
                        <w:right w:w="65" w:type="dxa"/>
                      </w:tblCellMar>
                    </w:tblPrEx>
                    <w:trPr>
                      <w:gridBefore w:val="1"/>
                      <w:cantSplit/>
                      <w:trHeight w:val="435"/>
                    </w:trPr>
                    <w:tc>
                      <w:tcPr>
                        <w:tcW w:w="3117" w:type="pct"/>
                        <w:vAlign w:val="center"/>
                      </w:tcPr>
                      <w:p>
                        <w:pPr>
                          <w:rPr>
                            <w:szCs w:val="24"/>
                          </w:rPr>
                        </w:pPr>
                        <w:r>
                          <w:rPr>
                            <w:szCs w:val="24"/>
                          </w:rPr>
                          <w:t>Cukrinis diabetas E10.4–7; E11.4–7; E12.4–7</w:t>
                        </w:r>
                      </w:p>
                    </w:tc>
                    <w:tc>
                      <w:tcPr>
                        <w:tcW w:w="1104" w:type="pct"/>
                      </w:tcPr>
                      <w:p>
                        <w:pPr>
                          <w:rPr>
                            <w:szCs w:val="24"/>
                          </w:rPr>
                        </w:pPr>
                        <w:r>
                          <w:rPr>
                            <w:szCs w:val="24"/>
                          </w:rPr>
                          <w:t>Vidutinė CD forma, subkompensacijos stadija</w:t>
                        </w:r>
                      </w:p>
                    </w:tc>
                    <w:tc>
                      <w:tcPr>
                        <w:tcW w:w="779" w:type="pct"/>
                      </w:tcPr>
                      <w:p>
                        <w:pPr>
                          <w:jc w:val="center"/>
                          <w:rPr>
                            <w:szCs w:val="24"/>
                          </w:rPr>
                        </w:pPr>
                        <w:r>
                          <w:rPr>
                            <w:szCs w:val="24"/>
                          </w:rPr>
                          <w:t>14</w:t>
                        </w:r>
                      </w:p>
                    </w:tc>
                  </w:tr>
                  <w:tr>
                    <w:trPr>
                      <w:gridAfter w:val="1"/>
                      <w:wAfter w:w="43" w:type="dxa"/>
                      <w:cantSplit/>
                      <w:trHeight w:val="826"/>
                    </w:trPr>
                    <w:tc>
                      <w:tcPr>
                        <w:tcW w:w="3117" w:type="pct"/>
                        <w:shd w:val="clear" w:color="auto" w:fill="FFFFFF"/>
                        <w:vAlign w:val="center"/>
                      </w:tcPr>
                      <w:p>
                        <w:pPr>
                          <w:ind w:hanging="54"/>
                          <w:rPr>
                            <w:szCs w:val="24"/>
                          </w:rPr>
                        </w:pPr>
                        <w:r>
                          <w:rPr>
                            <w:szCs w:val="24"/>
                          </w:rPr>
                          <w:t>Skydliaukės ligos:</w:t>
                        </w:r>
                      </w:p>
                      <w:p>
                        <w:pPr>
                          <w:ind w:hanging="54"/>
                          <w:rPr>
                            <w:szCs w:val="24"/>
                          </w:rPr>
                        </w:pPr>
                        <w:r>
                          <w:rPr>
                            <w:szCs w:val="24"/>
                          </w:rPr>
                          <w:t xml:space="preserve">tirotoksikozė arba po jos radikalaus gydymo D44.0, E03, E05 </w:t>
                        </w:r>
                      </w:p>
                      <w:p>
                        <w:pPr>
                          <w:ind w:hanging="54"/>
                          <w:rPr>
                            <w:szCs w:val="24"/>
                          </w:rPr>
                        </w:pPr>
                        <w:r>
                          <w:rPr>
                            <w:szCs w:val="24"/>
                          </w:rPr>
                          <w:t>Tiroiditai E06</w:t>
                        </w:r>
                      </w:p>
                      <w:p>
                        <w:pPr>
                          <w:ind w:hanging="54"/>
                          <w:rPr>
                            <w:szCs w:val="24"/>
                          </w:rPr>
                        </w:pPr>
                        <w:r>
                          <w:rPr>
                            <w:szCs w:val="24"/>
                          </w:rPr>
                          <w:t>Hipotirozė E89.0</w:t>
                        </w:r>
                      </w:p>
                    </w:tc>
                    <w:tc>
                      <w:tcPr>
                        <w:tcW w:w="1104" w:type="pct"/>
                        <w:shd w:val="clear" w:color="auto" w:fill="FFFFFF"/>
                      </w:tcPr>
                      <w:p>
                        <w:pPr>
                          <w:ind w:hanging="54"/>
                          <w:rPr>
                            <w:szCs w:val="24"/>
                          </w:rPr>
                        </w:pPr>
                        <w:r>
                          <w:rPr>
                            <w:szCs w:val="24"/>
                          </w:rPr>
                          <w:t>Esant sumažėjusiai fizinio krūvio tolerancijai dėl širdies metabolinio pakenkimo ar nervų sistemos pakenkimo</w:t>
                        </w:r>
                      </w:p>
                    </w:tc>
                    <w:tc>
                      <w:tcPr>
                        <w:tcW w:w="779" w:type="pct"/>
                        <w:tcBorders>
                          <w:left w:val="nil"/>
                        </w:tcBorders>
                        <w:shd w:val="clear" w:color="auto" w:fill="FFFFFF"/>
                      </w:tcPr>
                      <w:p>
                        <w:pPr>
                          <w:jc w:val="center"/>
                          <w:rPr>
                            <w:szCs w:val="24"/>
                          </w:rPr>
                        </w:pPr>
                        <w:r>
                          <w:rPr>
                            <w:szCs w:val="24"/>
                          </w:rPr>
                          <w:t>14</w:t>
                        </w:r>
                      </w:p>
                    </w:tc>
                  </w:tr>
                  <w:tr>
                    <w:trPr>
                      <w:gridAfter w:val="1"/>
                      <w:wAfter w:w="43" w:type="dxa"/>
                      <w:cantSplit/>
                      <w:trHeight w:val="826"/>
                    </w:trPr>
                    <w:tc>
                      <w:tcPr>
                        <w:tcW w:w="5000" w:type="pct"/>
                        <w:gridSpan w:val="3"/>
                        <w:shd w:val="clear" w:color="auto" w:fill="FFFFFF"/>
                        <w:vAlign w:val="center"/>
                      </w:tcPr>
                      <w:p>
                        <w:pPr>
                          <w:ind w:firstLine="33"/>
                          <w:jc w:val="both"/>
                          <w:rPr>
                            <w:bCs/>
                            <w:kern w:val="36"/>
                            <w:szCs w:val="24"/>
                            <w:lang w:eastAsia="lt-LT"/>
                          </w:rPr>
                        </w:pPr>
                        <w:r>
                          <w:rPr>
                            <w:bCs/>
                            <w:kern w:val="36"/>
                            <w:szCs w:val="24"/>
                            <w:lang w:eastAsia="lt-LT"/>
                          </w:rPr>
                          <w:t>Ambulatorinė reabilitacija II</w:t>
                        </w:r>
                      </w:p>
                      <w:p>
                        <w:pPr>
                          <w:ind w:firstLine="33"/>
                          <w:jc w:val="both"/>
                          <w:rPr>
                            <w:szCs w:val="24"/>
                          </w:rPr>
                        </w:pPr>
                        <w:r>
                          <w:rPr>
                            <w:szCs w:val="24"/>
                          </w:rPr>
                          <w:t>Paslaugos vienam pacientui per 10 darbo dienų: kineziterapija – 10 procedūrų, ergoterapija – 2 procedūros, masažas – 5 procedūros, fizioterapija – 10 procedūrų, 2 medicinos psichologo konsultacijos, 1 socialinio darbuotojo konsultacija. Paslaugos, teikiamos pagal indikacijas: paciento ir jo artimųjų mokymas ir kt. paslaugos. Tyrimų mastas vienam pacientui per 10 darbo dienų: tyrimai pagal indikacijas.</w:t>
                        </w:r>
                      </w:p>
                      <w:p>
                        <w:pPr>
                          <w:ind w:firstLine="33"/>
                          <w:jc w:val="both"/>
                          <w:rPr>
                            <w:szCs w:val="24"/>
                          </w:rPr>
                        </w:pPr>
                        <w:r>
                          <w:rPr>
                            <w:szCs w:val="24"/>
                          </w:rPr>
                          <w:t>Antrinio lygio sveikatos priežiūros paslaugas teikiantys konsultantai: gydytojas endokrinologas ir kt.</w:t>
                        </w:r>
                      </w:p>
                      <w:p>
                        <w:pPr>
                          <w:ind w:firstLine="33"/>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tblPrEx>
                      <w:tblCellMar>
                        <w:left w:w="63" w:type="dxa"/>
                        <w:right w:w="63" w:type="dxa"/>
                      </w:tblCellMar>
                    </w:tblPrEx>
                    <w:trPr>
                      <w:gridBefore w:val="1"/>
                      <w:cantSplit/>
                      <w:trHeight w:val="575"/>
                    </w:trPr>
                    <w:tc>
                      <w:tcPr>
                        <w:tcW w:w="3117" w:type="pct"/>
                        <w:vAlign w:val="center"/>
                      </w:tcPr>
                      <w:p>
                        <w:pPr>
                          <w:rPr>
                            <w:szCs w:val="24"/>
                          </w:rPr>
                        </w:pPr>
                        <w:r>
                          <w:rPr>
                            <w:szCs w:val="24"/>
                          </w:rPr>
                          <w:t>Cukrinis diabetas E 10.4–7; E 11.4–7; E 12.4–7</w:t>
                        </w:r>
                      </w:p>
                    </w:tc>
                    <w:tc>
                      <w:tcPr>
                        <w:tcW w:w="1104" w:type="pct"/>
                        <w:vAlign w:val="center"/>
                      </w:tcPr>
                      <w:p>
                        <w:pPr>
                          <w:rPr>
                            <w:szCs w:val="24"/>
                          </w:rPr>
                        </w:pPr>
                        <w:r>
                          <w:rPr>
                            <w:szCs w:val="24"/>
                          </w:rPr>
                          <w:t>CD forma esant diabetinei polineuropatijai</w:t>
                        </w:r>
                      </w:p>
                    </w:tc>
                    <w:tc>
                      <w:tcPr>
                        <w:tcW w:w="779" w:type="pct"/>
                        <w:vAlign w:val="center"/>
                      </w:tcPr>
                      <w:p>
                        <w:pPr>
                          <w:jc w:val="center"/>
                          <w:rPr>
                            <w:szCs w:val="24"/>
                          </w:rPr>
                        </w:pPr>
                        <w:r>
                          <w:rPr>
                            <w:szCs w:val="24"/>
                          </w:rPr>
                          <w:t>12</w:t>
                        </w:r>
                      </w:p>
                    </w:tc>
                  </w:tr>
                  <w:tr>
                    <w:tblPrEx>
                      <w:tblCellMar>
                        <w:left w:w="63" w:type="dxa"/>
                        <w:right w:w="63" w:type="dxa"/>
                      </w:tblCellMar>
                    </w:tblPrEx>
                    <w:trPr>
                      <w:gridBefore w:val="1"/>
                      <w:cantSplit/>
                      <w:trHeight w:val="278"/>
                    </w:trPr>
                    <w:tc>
                      <w:tcPr>
                        <w:tcW w:w="3117" w:type="pct"/>
                        <w:vAlign w:val="center"/>
                      </w:tcPr>
                      <w:p>
                        <w:pPr>
                          <w:rPr>
                            <w:szCs w:val="24"/>
                          </w:rPr>
                        </w:pPr>
                        <w:r>
                          <w:rPr>
                            <w:szCs w:val="24"/>
                          </w:rPr>
                          <w:t>Nutukimas E 66</w:t>
                        </w:r>
                      </w:p>
                    </w:tc>
                    <w:tc>
                      <w:tcPr>
                        <w:tcW w:w="1104" w:type="pct"/>
                        <w:vAlign w:val="center"/>
                      </w:tcPr>
                      <w:p>
                        <w:pPr>
                          <w:rPr>
                            <w:szCs w:val="24"/>
                          </w:rPr>
                        </w:pPr>
                        <w:r>
                          <w:rPr>
                            <w:szCs w:val="24"/>
                          </w:rPr>
                          <w:t>Esant Kūno masės indeksui 30 ir daugiau ir sumažėjusiai fizinio krūvio tolerancijai</w:t>
                        </w:r>
                      </w:p>
                    </w:tc>
                    <w:tc>
                      <w:tcPr>
                        <w:tcW w:w="779" w:type="pct"/>
                        <w:vAlign w:val="center"/>
                      </w:tcPr>
                      <w:p>
                        <w:pPr>
                          <w:jc w:val="center"/>
                          <w:rPr>
                            <w:szCs w:val="24"/>
                          </w:rPr>
                        </w:pPr>
                        <w:r>
                          <w:rPr>
                            <w:szCs w:val="24"/>
                          </w:rPr>
                          <w:t>12</w:t>
                        </w:r>
                      </w:p>
                    </w:tc>
                  </w:tr>
                  <w:tr>
                    <w:tblPrEx>
                      <w:tblCellMar>
                        <w:left w:w="63" w:type="dxa"/>
                        <w:right w:w="63" w:type="dxa"/>
                      </w:tblCellMar>
                    </w:tblPrEx>
                    <w:trPr>
                      <w:gridBefore w:val="1"/>
                      <w:cantSplit/>
                      <w:trHeight w:val="278"/>
                    </w:trPr>
                    <w:tc>
                      <w:tcPr>
                        <w:tcW w:w="3117" w:type="pct"/>
                        <w:vAlign w:val="center"/>
                      </w:tcPr>
                      <w:p>
                        <w:pPr>
                          <w:rPr>
                            <w:szCs w:val="24"/>
                          </w:rPr>
                        </w:pPr>
                        <w:r>
                          <w:rPr>
                            <w:szCs w:val="24"/>
                          </w:rPr>
                          <w:t>Skydliaukės ligos:</w:t>
                        </w:r>
                      </w:p>
                      <w:p>
                        <w:pPr>
                          <w:rPr>
                            <w:szCs w:val="24"/>
                          </w:rPr>
                        </w:pPr>
                        <w:r>
                          <w:rPr>
                            <w:szCs w:val="24"/>
                          </w:rPr>
                          <w:t xml:space="preserve">tirotoksikozė arba po jos radikalaus gydymo, D 44.0; E 03; E 05 </w:t>
                        </w:r>
                      </w:p>
                      <w:p>
                        <w:pPr>
                          <w:rPr>
                            <w:szCs w:val="24"/>
                          </w:rPr>
                        </w:pPr>
                      </w:p>
                      <w:p>
                        <w:pPr>
                          <w:rPr>
                            <w:szCs w:val="24"/>
                          </w:rPr>
                        </w:pPr>
                        <w:r>
                          <w:rPr>
                            <w:szCs w:val="24"/>
                          </w:rPr>
                          <w:t xml:space="preserve">Tiroiditai E 06 </w:t>
                        </w:r>
                      </w:p>
                      <w:p>
                        <w:pPr>
                          <w:rPr>
                            <w:szCs w:val="24"/>
                          </w:rPr>
                        </w:pPr>
                      </w:p>
                      <w:p>
                        <w:pPr>
                          <w:rPr>
                            <w:szCs w:val="24"/>
                          </w:rPr>
                        </w:pPr>
                        <w:r>
                          <w:rPr>
                            <w:szCs w:val="24"/>
                          </w:rPr>
                          <w:t>Hipotireozė D 44.0; E 89.0</w:t>
                        </w:r>
                      </w:p>
                    </w:tc>
                    <w:tc>
                      <w:tcPr>
                        <w:tcW w:w="1104" w:type="pct"/>
                      </w:tcPr>
                      <w:p>
                        <w:pPr>
                          <w:rPr>
                            <w:szCs w:val="24"/>
                          </w:rPr>
                        </w:pPr>
                      </w:p>
                    </w:tc>
                    <w:tc>
                      <w:tcPr>
                        <w:tcW w:w="779" w:type="pct"/>
                        <w:vAlign w:val="center"/>
                      </w:tcPr>
                      <w:p>
                        <w:pPr>
                          <w:jc w:val="center"/>
                          <w:rPr>
                            <w:szCs w:val="24"/>
                          </w:rPr>
                        </w:pPr>
                        <w:r>
                          <w:rPr>
                            <w:szCs w:val="24"/>
                          </w:rPr>
                          <w:t>12</w:t>
                        </w:r>
                      </w:p>
                    </w:tc>
                  </w:tr>
                </w:tbl>
                <w:p>
                  <w:pPr>
                    <w:rPr>
                      <w:szCs w:val="24"/>
                    </w:rPr>
                  </w:pPr>
                </w:p>
                <w:p>
                  <w:pPr>
                    <w:rPr>
                      <w:b/>
                      <w:bCs/>
                      <w:szCs w:val="24"/>
                    </w:rPr>
                  </w:pPr>
                  <w:r>
                    <w:rPr>
                      <w:b/>
                      <w:bCs/>
                      <w:szCs w:val="24"/>
                    </w:rPr>
                    <w:br w:type="page"/>
                  </w:r>
                </w:p>
              </w:sdtContent>
            </w:sdt>
            <w:sdt>
              <w:sdtPr>
                <w:alias w:val="poskyris"/>
                <w:tag w:val="part_ccd7b6ecfdcd499a873f1a16a2930dd8"/>
                <w:lock w:val="sdtLocked"/>
                <w:richText/>
              </w:sdtPr>
              <w:sdtContent>
                <w:p>
                  <w:pPr>
                    <w:jc w:val="center"/>
                    <w:rPr>
                      <w:b/>
                      <w:bCs/>
                      <w:szCs w:val="24"/>
                    </w:rPr>
                  </w:pPr>
                  <w:sdt>
                    <w:sdtPr>
                      <w:alias w:val="Pavadinimas"/>
                      <w:tag w:val="title_ccd7b6ecfdcd499a873f1a16a2930dd8"/>
                      <w:lock w:val="sdtLocked"/>
                      <w:richText/>
                    </w:sdtPr>
                    <w:sdtContent>
                      <w:r>
                        <w:rPr>
                          <w:b/>
                          <w:bCs/>
                          <w:szCs w:val="24"/>
                        </w:rPr>
                        <w:t>Nervų sistemos ligos</w:t>
                      </w:r>
                    </w:sdtContent>
                  </w:sdt>
                </w:p>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84"/>
                    <w:gridCol w:w="2328"/>
                    <w:gridCol w:w="1776"/>
                    <w:gridCol w:w="366"/>
                  </w:tblGrid>
                  <w:tr>
                    <w:trPr>
                      <w:gridAfter w:val="1"/>
                      <w:wAfter w:w="45" w:type="dxa"/>
                      <w:cantSplit/>
                      <w:trHeight w:val="990"/>
                      <w:tblHeader/>
                    </w:trPr>
                    <w:tc>
                      <w:tcPr>
                        <w:tcW w:w="3004" w:type="pct"/>
                        <w:vAlign w:val="center"/>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110" w:type="pct"/>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886"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gridAfter w:val="1"/>
                      <w:wAfter w:w="45" w:type="dxa"/>
                      <w:cantSplit/>
                      <w:trHeight w:val="273"/>
                    </w:trPr>
                    <w:tc>
                      <w:tcPr>
                        <w:tcW w:w="5000" w:type="pct"/>
                        <w:gridSpan w:val="3"/>
                        <w:vAlign w:val="center"/>
                      </w:tcPr>
                      <w:p>
                        <w:pPr>
                          <w:keepNext/>
                          <w:jc w:val="both"/>
                          <w:outlineLvl w:val="1"/>
                          <w:rPr>
                            <w:bCs/>
                            <w:iCs/>
                            <w:szCs w:val="24"/>
                          </w:rPr>
                        </w:pPr>
                        <w:r>
                          <w:rPr>
                            <w:bCs/>
                            <w:iCs/>
                            <w:szCs w:val="24"/>
                          </w:rPr>
                          <w:t>Stacionarinė reabilitacija</w:t>
                        </w:r>
                      </w:p>
                      <w:p>
                        <w:pPr>
                          <w:jc w:val="both"/>
                          <w:rPr>
                            <w:szCs w:val="24"/>
                          </w:rPr>
                        </w:pPr>
                        <w:r>
                          <w:rPr>
                            <w:spacing w:val="-4"/>
                            <w:szCs w:val="24"/>
                          </w:rPr>
                          <w:t xml:space="preserve">Paslaugos vienam pacientui per 10 darbo dienų: kineziterapija – 15 procedūrų, ergoterapija – 6 procedūros, masažas – 4 procedūros, fizioterapija </w:t>
                        </w:r>
                        <w:r>
                          <w:rPr>
                            <w:szCs w:val="24"/>
                          </w:rPr>
                          <w:t>– 5 procedūros, 2 medicinos psichologo konsultacijos, 1 socialinio darbuotojo konsultacija, logoterapeuto terapija – 4 procedūros (esant kalbos sutrikimų). Tyrimų mastas vienam pacientui per 10 darbo dienų: tyrimai pagal indikacijas</w:t>
                        </w:r>
                      </w:p>
                      <w:p>
                        <w:pPr>
                          <w:jc w:val="both"/>
                          <w:rPr>
                            <w:szCs w:val="24"/>
                          </w:rPr>
                        </w:pPr>
                        <w:r>
                          <w:rPr>
                            <w:szCs w:val="24"/>
                          </w:rPr>
                          <w:t>Antrinio lygio sveikatos priežiūros paslaugas teikiantys konsultantai: gydytojas neurologas, gydytojas neurochirurgas, gydytojas urologas, gydytojas anesteziologas reanimatologas, gydytojas kardiologas, gydytojas pulmonologas, gydytojas dietologas, gydytojas psichiatras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rPr>
                      <w:gridAfter w:val="1"/>
                      <w:wAfter w:w="45" w:type="dxa"/>
                      <w:cantSplit/>
                      <w:trHeight w:val="1970"/>
                    </w:trPr>
                    <w:tc>
                      <w:tcPr>
                        <w:tcW w:w="3004" w:type="pct"/>
                        <w:vAlign w:val="center"/>
                      </w:tcPr>
                      <w:p>
                        <w:pPr>
                          <w:rPr>
                            <w:szCs w:val="24"/>
                          </w:rPr>
                        </w:pPr>
                        <w:r>
                          <w:rPr>
                            <w:szCs w:val="24"/>
                          </w:rPr>
                          <w:t xml:space="preserve">Po galvos smegenų pažeidimų </w:t>
                        </w:r>
                      </w:p>
                      <w:p>
                        <w:pPr>
                          <w:rPr>
                            <w:szCs w:val="24"/>
                          </w:rPr>
                        </w:pPr>
                        <w:r>
                          <w:rPr>
                            <w:szCs w:val="24"/>
                          </w:rPr>
                          <w:t>A 84–A 85; A 87; A 89; B 02.1–2; D 32.0; D 33.0; D 33.1; G 00; G 02.0; G 03–G 04; G 06.0; G 09; G 93.0; G 93.1; I 60–I 64; I 69.0–8; S 06; T 90.5</w:t>
                        </w:r>
                      </w:p>
                    </w:tc>
                    <w:tc>
                      <w:tcPr>
                        <w:tcW w:w="1110" w:type="pct"/>
                      </w:tcPr>
                      <w:p>
                        <w:pPr>
                          <w:rPr>
                            <w:szCs w:val="24"/>
                          </w:rPr>
                        </w:pPr>
                        <w:r>
                          <w:rPr>
                            <w:szCs w:val="24"/>
                          </w:rPr>
                          <w:t>Bartelio indeksas daugiau kaip 80 balų,</w:t>
                        </w:r>
                      </w:p>
                      <w:p>
                        <w:pPr>
                          <w:rPr>
                            <w:szCs w:val="24"/>
                          </w:rPr>
                        </w:pPr>
                        <w:r>
                          <w:rPr>
                            <w:i/>
                            <w:szCs w:val="24"/>
                          </w:rPr>
                          <w:t>Mini Mental</w:t>
                        </w:r>
                        <w:r>
                          <w:rPr>
                            <w:szCs w:val="24"/>
                          </w:rPr>
                          <w:t xml:space="preserve"> testas (toliau – MMT) 15–30 (jei MMT neįmanoma testuoti dėl afazijos, pacientas turi vykdyti nurodymus, aktyviai dalyvauti reabilitacijos procese)</w:t>
                        </w:r>
                      </w:p>
                    </w:tc>
                    <w:tc>
                      <w:tcPr>
                        <w:tcW w:w="886" w:type="pct"/>
                      </w:tcPr>
                      <w:p>
                        <w:pPr>
                          <w:jc w:val="center"/>
                          <w:rPr>
                            <w:szCs w:val="24"/>
                          </w:rPr>
                        </w:pPr>
                        <w:r>
                          <w:rPr>
                            <w:szCs w:val="24"/>
                          </w:rPr>
                          <w:t>20</w:t>
                        </w:r>
                      </w:p>
                    </w:tc>
                  </w:tr>
                  <w:tr>
                    <w:trPr>
                      <w:gridAfter w:val="1"/>
                      <w:wAfter w:w="45" w:type="dxa"/>
                      <w:cantSplit/>
                      <w:trHeight w:val="380"/>
                    </w:trPr>
                    <w:tc>
                      <w:tcPr>
                        <w:tcW w:w="3004" w:type="pct"/>
                        <w:vAlign w:val="center"/>
                      </w:tcPr>
                      <w:p>
                        <w:pPr>
                          <w:rPr>
                            <w:szCs w:val="24"/>
                          </w:rPr>
                        </w:pPr>
                        <w:r>
                          <w:rPr>
                            <w:szCs w:val="24"/>
                          </w:rPr>
                          <w:t>Nugaros smegenų pažeidimai ir sisteminiai susirgimai.</w:t>
                        </w:r>
                      </w:p>
                      <w:p>
                        <w:pPr>
                          <w:rPr>
                            <w:szCs w:val="24"/>
                          </w:rPr>
                        </w:pPr>
                        <w:r>
                          <w:rPr>
                            <w:szCs w:val="24"/>
                          </w:rPr>
                          <w:t>D16.6, D32.1; G95.0–G95.2; G99.2; S14.0–S14.1; S24.0–S24.3; S34.0; S34–3; T09.3; T91.1–T91.3 I60–I64; S06</w:t>
                        </w:r>
                      </w:p>
                    </w:tc>
                    <w:tc>
                      <w:tcPr>
                        <w:tcW w:w="1110" w:type="pct"/>
                        <w:vAlign w:val="center"/>
                      </w:tcPr>
                      <w:p>
                        <w:pPr>
                          <w:rPr>
                            <w:szCs w:val="24"/>
                          </w:rPr>
                        </w:pPr>
                        <w:r>
                          <w:rPr>
                            <w:szCs w:val="24"/>
                          </w:rPr>
                          <w:t>Kai bent 2-ų raumenų grupių jėga mažesnė nei 4 balai.</w:t>
                        </w:r>
                      </w:p>
                    </w:tc>
                    <w:tc>
                      <w:tcPr>
                        <w:tcW w:w="886" w:type="pct"/>
                        <w:vAlign w:val="center"/>
                      </w:tcPr>
                      <w:p>
                        <w:pPr>
                          <w:jc w:val="center"/>
                          <w:rPr>
                            <w:szCs w:val="24"/>
                          </w:rPr>
                        </w:pPr>
                        <w:r>
                          <w:rPr>
                            <w:szCs w:val="24"/>
                          </w:rPr>
                          <w:t>18</w:t>
                        </w:r>
                      </w:p>
                    </w:tc>
                  </w:tr>
                  <w:tr>
                    <w:trPr>
                      <w:gridAfter w:val="1"/>
                      <w:wAfter w:w="45" w:type="dxa"/>
                      <w:cantSplit/>
                      <w:trHeight w:val="380"/>
                    </w:trPr>
                    <w:tc>
                      <w:tcPr>
                        <w:tcW w:w="3004" w:type="pct"/>
                        <w:vAlign w:val="center"/>
                      </w:tcPr>
                      <w:p>
                        <w:pPr>
                          <w:rPr>
                            <w:szCs w:val="24"/>
                          </w:rPr>
                        </w:pPr>
                        <w:r>
                          <w:rPr>
                            <w:szCs w:val="24"/>
                          </w:rPr>
                          <w:t>Demielinizuojančios ligos G 35; G 37</w:t>
                        </w:r>
                      </w:p>
                    </w:tc>
                    <w:tc>
                      <w:tcPr>
                        <w:tcW w:w="1110" w:type="pct"/>
                      </w:tcPr>
                      <w:p>
                        <w:pPr>
                          <w:rPr>
                            <w:szCs w:val="24"/>
                          </w:rPr>
                        </w:pPr>
                        <w:r>
                          <w:rPr>
                            <w:szCs w:val="24"/>
                          </w:rPr>
                          <w:t>Po paūmėjimo,</w:t>
                        </w:r>
                      </w:p>
                      <w:p>
                        <w:pPr>
                          <w:rPr>
                            <w:szCs w:val="24"/>
                          </w:rPr>
                        </w:pPr>
                        <w:r>
                          <w:rPr>
                            <w:szCs w:val="24"/>
                          </w:rPr>
                          <w:t>Bartelio indeksas daugiau kaip 80 balų</w:t>
                        </w:r>
                      </w:p>
                    </w:tc>
                    <w:tc>
                      <w:tcPr>
                        <w:tcW w:w="886" w:type="pct"/>
                      </w:tcPr>
                      <w:p>
                        <w:pPr>
                          <w:jc w:val="center"/>
                          <w:rPr>
                            <w:szCs w:val="24"/>
                          </w:rPr>
                        </w:pPr>
                        <w:r>
                          <w:rPr>
                            <w:szCs w:val="24"/>
                          </w:rPr>
                          <w:t>18</w:t>
                        </w:r>
                      </w:p>
                    </w:tc>
                  </w:tr>
                  <w:tr>
                    <w:trPr>
                      <w:gridAfter w:val="1"/>
                      <w:wAfter w:w="45" w:type="dxa"/>
                      <w:cantSplit/>
                      <w:trHeight w:val="318"/>
                    </w:trPr>
                    <w:tc>
                      <w:tcPr>
                        <w:tcW w:w="3004" w:type="pct"/>
                        <w:vAlign w:val="center"/>
                      </w:tcPr>
                      <w:p>
                        <w:pPr>
                          <w:rPr>
                            <w:szCs w:val="24"/>
                          </w:rPr>
                        </w:pPr>
                        <w:r>
                          <w:rPr>
                            <w:szCs w:val="24"/>
                          </w:rPr>
                          <w:t>Parkinsono liga. Antrinis parkinsonizmas G 20–G 21</w:t>
                        </w:r>
                      </w:p>
                    </w:tc>
                    <w:tc>
                      <w:tcPr>
                        <w:tcW w:w="1110" w:type="pct"/>
                      </w:tcPr>
                      <w:p>
                        <w:pPr>
                          <w:rPr>
                            <w:szCs w:val="24"/>
                          </w:rPr>
                        </w:pPr>
                        <w:r>
                          <w:rPr>
                            <w:szCs w:val="24"/>
                          </w:rPr>
                          <w:t>Bartelio indeksas daugiau kaip 80 balų</w:t>
                        </w:r>
                      </w:p>
                    </w:tc>
                    <w:tc>
                      <w:tcPr>
                        <w:tcW w:w="886" w:type="pct"/>
                      </w:tcPr>
                      <w:p>
                        <w:pPr>
                          <w:jc w:val="center"/>
                          <w:rPr>
                            <w:szCs w:val="24"/>
                          </w:rPr>
                        </w:pPr>
                        <w:r>
                          <w:rPr>
                            <w:szCs w:val="24"/>
                          </w:rPr>
                          <w:t>18</w:t>
                        </w:r>
                      </w:p>
                    </w:tc>
                  </w:tr>
                  <w:tr>
                    <w:trPr>
                      <w:gridAfter w:val="1"/>
                      <w:wAfter w:w="45" w:type="dxa"/>
                      <w:cantSplit/>
                      <w:trHeight w:val="268"/>
                    </w:trPr>
                    <w:tc>
                      <w:tcPr>
                        <w:tcW w:w="3004" w:type="pct"/>
                        <w:vAlign w:val="center"/>
                      </w:tcPr>
                      <w:p>
                        <w:pPr>
                          <w:rPr>
                            <w:szCs w:val="24"/>
                          </w:rPr>
                        </w:pPr>
                        <w:r>
                          <w:rPr>
                            <w:szCs w:val="24"/>
                          </w:rPr>
                          <w:t xml:space="preserve">Polineuropatija, degeneracinės nervų ir raumenų ligos </w:t>
                        </w:r>
                      </w:p>
                      <w:p>
                        <w:pPr>
                          <w:rPr>
                            <w:szCs w:val="24"/>
                          </w:rPr>
                        </w:pPr>
                        <w:r>
                          <w:rPr>
                            <w:szCs w:val="24"/>
                          </w:rPr>
                          <w:t>G 10–G 13; G 23; G 70–G 71; G 60–G 63</w:t>
                        </w:r>
                      </w:p>
                    </w:tc>
                    <w:tc>
                      <w:tcPr>
                        <w:tcW w:w="1110" w:type="pct"/>
                      </w:tcPr>
                      <w:p>
                        <w:pPr>
                          <w:rPr>
                            <w:szCs w:val="24"/>
                          </w:rPr>
                        </w:pPr>
                        <w:r>
                          <w:rPr>
                            <w:szCs w:val="24"/>
                          </w:rPr>
                          <w:t>Bartelio indeksas daugiau kaip 80 balų</w:t>
                        </w:r>
                      </w:p>
                    </w:tc>
                    <w:tc>
                      <w:tcPr>
                        <w:tcW w:w="886" w:type="pct"/>
                      </w:tcPr>
                      <w:p>
                        <w:pPr>
                          <w:jc w:val="center"/>
                          <w:rPr>
                            <w:szCs w:val="24"/>
                          </w:rPr>
                        </w:pPr>
                        <w:r>
                          <w:rPr>
                            <w:szCs w:val="24"/>
                          </w:rPr>
                          <w:t>18</w:t>
                        </w:r>
                      </w:p>
                    </w:tc>
                  </w:tr>
                  <w:tr>
                    <w:trPr>
                      <w:gridAfter w:val="1"/>
                      <w:wAfter w:w="45" w:type="dxa"/>
                      <w:cantSplit/>
                      <w:trHeight w:val="565"/>
                    </w:trPr>
                    <w:tc>
                      <w:tcPr>
                        <w:tcW w:w="3004" w:type="pct"/>
                        <w:vAlign w:val="center"/>
                      </w:tcPr>
                      <w:p>
                        <w:pPr>
                          <w:rPr>
                            <w:szCs w:val="24"/>
                          </w:rPr>
                        </w:pPr>
                        <w:r>
                          <w:rPr>
                            <w:szCs w:val="24"/>
                          </w:rPr>
                          <w:t xml:space="preserve">Po tarpslankstelinių diskų, spondilolitezių, stuburo stenozių operacijų </w:t>
                        </w:r>
                      </w:p>
                      <w:p>
                        <w:pPr>
                          <w:rPr>
                            <w:szCs w:val="24"/>
                          </w:rPr>
                        </w:pPr>
                        <w:r>
                          <w:rPr>
                            <w:szCs w:val="24"/>
                          </w:rPr>
                          <w:t xml:space="preserve">M 50–M 51; M 43.1; M 48.0 </w:t>
                        </w:r>
                      </w:p>
                    </w:tc>
                    <w:tc>
                      <w:tcPr>
                        <w:tcW w:w="1110" w:type="pct"/>
                      </w:tcPr>
                      <w:p>
                        <w:pPr>
                          <w:rPr>
                            <w:szCs w:val="24"/>
                          </w:rPr>
                        </w:pPr>
                        <w:r>
                          <w:rPr>
                            <w:szCs w:val="24"/>
                          </w:rPr>
                          <w:t>Kai bent 2-ų raumenų grupių jėga mažesnė nei 4 balai.</w:t>
                        </w:r>
                      </w:p>
                    </w:tc>
                    <w:tc>
                      <w:tcPr>
                        <w:tcW w:w="886" w:type="pct"/>
                      </w:tcPr>
                      <w:p>
                        <w:pPr>
                          <w:jc w:val="center"/>
                          <w:rPr>
                            <w:szCs w:val="24"/>
                          </w:rPr>
                        </w:pPr>
                        <w:r>
                          <w:rPr>
                            <w:szCs w:val="24"/>
                          </w:rPr>
                          <w:t>18</w:t>
                        </w:r>
                      </w:p>
                    </w:tc>
                  </w:tr>
                  <w:tr>
                    <w:trPr>
                      <w:gridAfter w:val="1"/>
                      <w:wAfter w:w="45" w:type="dxa"/>
                      <w:cantSplit/>
                      <w:trHeight w:val="368"/>
                    </w:trPr>
                    <w:tc>
                      <w:tcPr>
                        <w:tcW w:w="5000" w:type="pct"/>
                        <w:gridSpan w:val="3"/>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masažas – 4 procedūros, fizioterapija – 10 procedūrų, 2 medicinos psichologo konsultacijos, logoterapeuto terapija – 4 procedūros (esant kalbos sutrikimų).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gydymo stacionare ligos istorijoje (forma Nr. 003/a). </w:t>
                        </w:r>
                      </w:p>
                    </w:tc>
                  </w:tr>
                  <w:tr>
                    <w:trPr>
                      <w:gridAfter w:val="1"/>
                      <w:wAfter w:w="45" w:type="dxa"/>
                      <w:cantSplit/>
                      <w:trHeight w:val="493"/>
                    </w:trPr>
                    <w:tc>
                      <w:tcPr>
                        <w:tcW w:w="3004" w:type="pct"/>
                        <w:vAlign w:val="center"/>
                      </w:tcPr>
                      <w:p>
                        <w:pPr>
                          <w:rPr>
                            <w:szCs w:val="24"/>
                          </w:rPr>
                        </w:pPr>
                        <w:r>
                          <w:rPr>
                            <w:szCs w:val="24"/>
                          </w:rPr>
                          <w:t xml:space="preserve">Po tarpslankstelinių diskų, spondilolistezių, stuburo stenozių operacijų be nugaros smegenų pažeidimo </w:t>
                        </w:r>
                      </w:p>
                      <w:p>
                        <w:pPr>
                          <w:rPr>
                            <w:szCs w:val="24"/>
                          </w:rPr>
                        </w:pPr>
                        <w:r>
                          <w:rPr>
                            <w:szCs w:val="24"/>
                          </w:rPr>
                          <w:t>M43.1; M48.0; M50-M51</w:t>
                        </w:r>
                      </w:p>
                    </w:tc>
                    <w:tc>
                      <w:tcPr>
                        <w:tcW w:w="1110" w:type="pct"/>
                        <w:vAlign w:val="center"/>
                      </w:tcPr>
                      <w:p>
                        <w:pPr>
                          <w:rPr>
                            <w:szCs w:val="24"/>
                          </w:rPr>
                        </w:pPr>
                        <w:r>
                          <w:rPr>
                            <w:szCs w:val="24"/>
                          </w:rPr>
                          <w:t>Kai bent dviejų raumenų grupių jėga lygi 4 balams ar daugiau</w:t>
                        </w:r>
                      </w:p>
                      <w:p>
                        <w:pPr>
                          <w:rPr>
                            <w:szCs w:val="24"/>
                          </w:rPr>
                        </w:pPr>
                      </w:p>
                    </w:tc>
                    <w:tc>
                      <w:tcPr>
                        <w:tcW w:w="886" w:type="pct"/>
                        <w:vAlign w:val="center"/>
                      </w:tcPr>
                      <w:p>
                        <w:pPr>
                          <w:ind w:hanging="72"/>
                          <w:jc w:val="center"/>
                          <w:rPr>
                            <w:szCs w:val="24"/>
                          </w:rPr>
                        </w:pPr>
                        <w:r>
                          <w:rPr>
                            <w:szCs w:val="24"/>
                          </w:rPr>
                          <w:t>14</w:t>
                        </w:r>
                      </w:p>
                    </w:tc>
                  </w:tr>
                  <w:tr>
                    <w:trPr>
                      <w:gridAfter w:val="1"/>
                      <w:wAfter w:w="45" w:type="dxa"/>
                      <w:cantSplit/>
                      <w:trHeight w:val="776"/>
                    </w:trPr>
                    <w:tc>
                      <w:tcPr>
                        <w:tcW w:w="3004" w:type="pct"/>
                        <w:vAlign w:val="center"/>
                      </w:tcPr>
                      <w:p>
                        <w:pPr>
                          <w:rPr>
                            <w:szCs w:val="24"/>
                          </w:rPr>
                        </w:pPr>
                        <w:r>
                          <w:rPr>
                            <w:szCs w:val="24"/>
                          </w:rPr>
                          <w:t xml:space="preserve">Radikulopatijos ir nervų pažeidimai </w:t>
                        </w:r>
                      </w:p>
                      <w:p>
                        <w:pPr>
                          <w:rPr>
                            <w:szCs w:val="24"/>
                          </w:rPr>
                        </w:pPr>
                        <w:r>
                          <w:rPr>
                            <w:szCs w:val="24"/>
                          </w:rPr>
                          <w:t>G50; G51; G54; G55.1–G55.3; G56–G57; M47; M48.0; M50–M51; M53.0–1</w:t>
                        </w:r>
                      </w:p>
                    </w:tc>
                    <w:tc>
                      <w:tcPr>
                        <w:tcW w:w="1110" w:type="pct"/>
                      </w:tcPr>
                      <w:p>
                        <w:pPr>
                          <w:rPr>
                            <w:szCs w:val="24"/>
                          </w:rPr>
                        </w:pPr>
                      </w:p>
                      <w:p>
                        <w:pPr>
                          <w:rPr>
                            <w:szCs w:val="24"/>
                          </w:rPr>
                        </w:pPr>
                        <w:r>
                          <w:rPr>
                            <w:szCs w:val="24"/>
                          </w:rPr>
                          <w:t>Poūmiu periodu</w:t>
                        </w:r>
                      </w:p>
                      <w:p>
                        <w:pPr>
                          <w:rPr>
                            <w:szCs w:val="24"/>
                          </w:rPr>
                        </w:pPr>
                      </w:p>
                      <w:p>
                        <w:pPr>
                          <w:rPr>
                            <w:szCs w:val="24"/>
                          </w:rPr>
                        </w:pPr>
                      </w:p>
                    </w:tc>
                    <w:tc>
                      <w:tcPr>
                        <w:tcW w:w="886" w:type="pct"/>
                        <w:vAlign w:val="center"/>
                      </w:tcPr>
                      <w:p>
                        <w:pPr>
                          <w:ind w:hanging="72"/>
                          <w:jc w:val="center"/>
                          <w:rPr>
                            <w:szCs w:val="24"/>
                          </w:rPr>
                        </w:pPr>
                      </w:p>
                      <w:p>
                        <w:pPr>
                          <w:ind w:hanging="72"/>
                          <w:jc w:val="center"/>
                          <w:rPr>
                            <w:szCs w:val="24"/>
                          </w:rPr>
                        </w:pPr>
                        <w:r>
                          <w:rPr>
                            <w:szCs w:val="24"/>
                          </w:rPr>
                          <w:t>14</w:t>
                        </w:r>
                      </w:p>
                    </w:tc>
                  </w:tr>
                  <w:tr>
                    <w:trPr>
                      <w:gridAfter w:val="1"/>
                      <w:wAfter w:w="45" w:type="dxa"/>
                      <w:cantSplit/>
                      <w:trHeight w:val="661"/>
                    </w:trPr>
                    <w:tc>
                      <w:tcPr>
                        <w:tcW w:w="3004" w:type="pct"/>
                        <w:vAlign w:val="center"/>
                      </w:tcPr>
                      <w:p>
                        <w:pPr>
                          <w:rPr>
                            <w:szCs w:val="24"/>
                          </w:rPr>
                        </w:pPr>
                        <w:r>
                          <w:rPr>
                            <w:szCs w:val="24"/>
                          </w:rPr>
                          <w:t>Dorsalgija M 54.0-M54.9</w:t>
                        </w:r>
                      </w:p>
                    </w:tc>
                    <w:tc>
                      <w:tcPr>
                        <w:tcW w:w="1110" w:type="pct"/>
                        <w:vAlign w:val="center"/>
                      </w:tcPr>
                      <w:p>
                        <w:pPr>
                          <w:rPr>
                            <w:szCs w:val="24"/>
                          </w:rPr>
                        </w:pPr>
                        <w:r>
                          <w:rPr>
                            <w:szCs w:val="24"/>
                          </w:rPr>
                          <w:t>Poūmiu periodu</w:t>
                        </w:r>
                      </w:p>
                    </w:tc>
                    <w:tc>
                      <w:tcPr>
                        <w:tcW w:w="886" w:type="pct"/>
                        <w:vAlign w:val="center"/>
                      </w:tcPr>
                      <w:p>
                        <w:pPr>
                          <w:ind w:hanging="72"/>
                          <w:jc w:val="center"/>
                          <w:rPr>
                            <w:szCs w:val="24"/>
                          </w:rPr>
                        </w:pPr>
                        <w:r>
                          <w:rPr>
                            <w:szCs w:val="24"/>
                          </w:rPr>
                          <w:t>14</w:t>
                        </w:r>
                      </w:p>
                    </w:tc>
                  </w:tr>
                  <w:tr>
                    <w:trPr>
                      <w:gridAfter w:val="1"/>
                      <w:wAfter w:w="45" w:type="dxa"/>
                      <w:cantSplit/>
                      <w:trHeight w:val="519"/>
                    </w:trPr>
                    <w:tc>
                      <w:tcPr>
                        <w:tcW w:w="3004" w:type="pct"/>
                        <w:vAlign w:val="center"/>
                      </w:tcPr>
                      <w:p>
                        <w:pPr>
                          <w:rPr>
                            <w:szCs w:val="24"/>
                          </w:rPr>
                        </w:pPr>
                        <w:r>
                          <w:rPr>
                            <w:szCs w:val="24"/>
                          </w:rPr>
                          <w:t>Praeinantys (tranzitoriniai) išemijos priepuoliai ir su jais susiję sindromai G45.0-G45.1; G45.8</w:t>
                        </w:r>
                      </w:p>
                    </w:tc>
                    <w:tc>
                      <w:tcPr>
                        <w:tcW w:w="1110" w:type="pct"/>
                        <w:vAlign w:val="center"/>
                      </w:tcPr>
                      <w:p>
                        <w:pPr>
                          <w:rPr>
                            <w:szCs w:val="24"/>
                          </w:rPr>
                        </w:pPr>
                        <w:r>
                          <w:rPr>
                            <w:szCs w:val="24"/>
                          </w:rPr>
                          <w:t>Bartelio indeksas daugiau kaip 80 balų</w:t>
                        </w:r>
                      </w:p>
                      <w:p>
                        <w:pPr>
                          <w:rPr>
                            <w:szCs w:val="24"/>
                          </w:rPr>
                        </w:pPr>
                      </w:p>
                    </w:tc>
                    <w:tc>
                      <w:tcPr>
                        <w:tcW w:w="886" w:type="pct"/>
                        <w:vAlign w:val="center"/>
                      </w:tcPr>
                      <w:p>
                        <w:pPr>
                          <w:ind w:hanging="72"/>
                          <w:jc w:val="center"/>
                          <w:rPr>
                            <w:szCs w:val="24"/>
                          </w:rPr>
                        </w:pPr>
                        <w:r>
                          <w:rPr>
                            <w:szCs w:val="24"/>
                          </w:rPr>
                          <w:t>14</w:t>
                        </w:r>
                      </w:p>
                      <w:p>
                        <w:pPr>
                          <w:rPr>
                            <w:szCs w:val="24"/>
                          </w:rPr>
                        </w:pPr>
                      </w:p>
                    </w:tc>
                  </w:tr>
                  <w:tr>
                    <w:trPr>
                      <w:gridAfter w:val="1"/>
                      <w:wAfter w:w="45" w:type="dxa"/>
                      <w:cantSplit/>
                      <w:trHeight w:val="655"/>
                    </w:trPr>
                    <w:tc>
                      <w:tcPr>
                        <w:tcW w:w="3004" w:type="pct"/>
                        <w:vAlign w:val="center"/>
                      </w:tcPr>
                      <w:p>
                        <w:pPr>
                          <w:rPr>
                            <w:szCs w:val="24"/>
                          </w:rPr>
                        </w:pPr>
                        <w:r>
                          <w:rPr>
                            <w:szCs w:val="24"/>
                          </w:rPr>
                          <w:t>Migrena M43</w:t>
                        </w:r>
                      </w:p>
                    </w:tc>
                    <w:tc>
                      <w:tcPr>
                        <w:tcW w:w="1110" w:type="pct"/>
                        <w:vAlign w:val="center"/>
                      </w:tcPr>
                      <w:p>
                        <w:pPr>
                          <w:rPr>
                            <w:szCs w:val="24"/>
                          </w:rPr>
                        </w:pPr>
                        <w:r>
                          <w:rPr>
                            <w:szCs w:val="24"/>
                          </w:rPr>
                          <w:t>Poūmiu ligos periodu</w:t>
                        </w:r>
                      </w:p>
                    </w:tc>
                    <w:tc>
                      <w:tcPr>
                        <w:tcW w:w="886" w:type="pct"/>
                        <w:vAlign w:val="center"/>
                      </w:tcPr>
                      <w:p>
                        <w:pPr>
                          <w:ind w:hanging="72"/>
                          <w:jc w:val="center"/>
                          <w:rPr>
                            <w:szCs w:val="24"/>
                          </w:rPr>
                        </w:pPr>
                        <w:r>
                          <w:rPr>
                            <w:szCs w:val="24"/>
                          </w:rPr>
                          <w:t>14</w:t>
                        </w:r>
                      </w:p>
                    </w:tc>
                  </w:tr>
                  <w:tr>
                    <w:trPr>
                      <w:gridAfter w:val="1"/>
                      <w:wAfter w:w="45" w:type="dxa"/>
                      <w:cantSplit/>
                      <w:trHeight w:val="272"/>
                    </w:trPr>
                    <w:tc>
                      <w:tcPr>
                        <w:tcW w:w="5000" w:type="pct"/>
                        <w:gridSpan w:val="3"/>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logoterapeuto terapija – 2 procedūros (esant kalbos sutrikimų). Paslaugos, teikiamos pagal indikacijas: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gridBefore w:val="1"/>
                      <w:cantSplit/>
                      <w:trHeight w:val="649"/>
                    </w:trPr>
                    <w:tc>
                      <w:tcPr>
                        <w:tcW w:w="3010" w:type="pct"/>
                        <w:vAlign w:val="center"/>
                      </w:tcPr>
                      <w:p>
                        <w:pPr>
                          <w:rPr>
                            <w:szCs w:val="24"/>
                          </w:rPr>
                        </w:pPr>
                        <w:r>
                          <w:rPr>
                            <w:szCs w:val="24"/>
                          </w:rPr>
                          <w:t>Po galvos smegenų pažeidimų A 84–A 85; A 87; A 89; B 02.1–B 02.2; D 32–D 33; G 93.0; G 00; G 03–G 04; G 81–G 83; G 95.2; G 93.1; I 60–I 64; S 06</w:t>
                        </w:r>
                      </w:p>
                    </w:tc>
                    <w:tc>
                      <w:tcPr>
                        <w:tcW w:w="1104" w:type="pct"/>
                        <w:vAlign w:val="center"/>
                      </w:tcPr>
                      <w:p>
                        <w:pPr>
                          <w:rPr>
                            <w:szCs w:val="24"/>
                          </w:rPr>
                        </w:pPr>
                        <w:r>
                          <w:rPr>
                            <w:szCs w:val="24"/>
                          </w:rPr>
                          <w:t>MMT – 25–30 balų. Bartelio indeksas daugiau kaip 90 balų</w:t>
                        </w:r>
                      </w:p>
                    </w:tc>
                    <w:tc>
                      <w:tcPr>
                        <w:tcW w:w="886" w:type="pct"/>
                      </w:tcPr>
                      <w:p>
                        <w:pPr>
                          <w:jc w:val="center"/>
                          <w:rPr>
                            <w:szCs w:val="24"/>
                          </w:rPr>
                        </w:pPr>
                        <w:r>
                          <w:rPr>
                            <w:szCs w:val="24"/>
                          </w:rPr>
                          <w:t>12</w:t>
                        </w:r>
                      </w:p>
                    </w:tc>
                  </w:tr>
                  <w:tr>
                    <w:tblPrEx>
                      <w:tblCellMar>
                        <w:left w:w="63" w:type="dxa"/>
                        <w:right w:w="63" w:type="dxa"/>
                      </w:tblCellMar>
                    </w:tblPrEx>
                    <w:trPr>
                      <w:gridBefore w:val="1"/>
                      <w:cantSplit/>
                      <w:trHeight w:val="563"/>
                    </w:trPr>
                    <w:tc>
                      <w:tcPr>
                        <w:tcW w:w="3010" w:type="pct"/>
                        <w:vAlign w:val="center"/>
                      </w:tcPr>
                      <w:p>
                        <w:pPr>
                          <w:rPr>
                            <w:szCs w:val="24"/>
                          </w:rPr>
                        </w:pPr>
                        <w:r>
                          <w:rPr>
                            <w:szCs w:val="24"/>
                          </w:rPr>
                          <w:t>Demielinizuojančios ligos G 35; G 37</w:t>
                        </w:r>
                      </w:p>
                    </w:tc>
                    <w:tc>
                      <w:tcPr>
                        <w:tcW w:w="1104" w:type="pct"/>
                        <w:vAlign w:val="center"/>
                      </w:tcPr>
                      <w:p>
                        <w:pPr>
                          <w:rPr>
                            <w:szCs w:val="24"/>
                          </w:rPr>
                        </w:pPr>
                        <w:r>
                          <w:rPr>
                            <w:szCs w:val="24"/>
                          </w:rPr>
                          <w:t>Po paūmėjimo</w:t>
                        </w:r>
                      </w:p>
                    </w:tc>
                    <w:tc>
                      <w:tcPr>
                        <w:tcW w:w="886" w:type="pct"/>
                      </w:tcPr>
                      <w:p>
                        <w:pPr>
                          <w:jc w:val="center"/>
                          <w:rPr>
                            <w:szCs w:val="24"/>
                          </w:rPr>
                        </w:pPr>
                        <w:r>
                          <w:rPr>
                            <w:szCs w:val="24"/>
                          </w:rPr>
                          <w:t>12</w:t>
                        </w:r>
                      </w:p>
                    </w:tc>
                  </w:tr>
                  <w:tr>
                    <w:tblPrEx>
                      <w:tblCellMar>
                        <w:left w:w="63" w:type="dxa"/>
                        <w:right w:w="63" w:type="dxa"/>
                      </w:tblCellMar>
                    </w:tblPrEx>
                    <w:trPr>
                      <w:gridBefore w:val="1"/>
                      <w:cantSplit/>
                      <w:trHeight w:val="495"/>
                    </w:trPr>
                    <w:tc>
                      <w:tcPr>
                        <w:tcW w:w="3010" w:type="pct"/>
                        <w:vAlign w:val="center"/>
                      </w:tcPr>
                      <w:p>
                        <w:pPr>
                          <w:rPr>
                            <w:szCs w:val="24"/>
                          </w:rPr>
                        </w:pPr>
                        <w:r>
                          <w:rPr>
                            <w:szCs w:val="24"/>
                          </w:rPr>
                          <w:t>Parkinsono liga. Antrinis parkinsonizmas G 20–G 21</w:t>
                        </w:r>
                      </w:p>
                    </w:tc>
                    <w:tc>
                      <w:tcPr>
                        <w:tcW w:w="1104" w:type="pct"/>
                        <w:vAlign w:val="center"/>
                      </w:tcPr>
                      <w:p>
                        <w:pPr>
                          <w:rPr>
                            <w:szCs w:val="24"/>
                          </w:rPr>
                        </w:pPr>
                        <w:r>
                          <w:rPr>
                            <w:szCs w:val="24"/>
                          </w:rPr>
                          <w:t>Po paūmėjimo</w:t>
                        </w:r>
                      </w:p>
                    </w:tc>
                    <w:tc>
                      <w:tcPr>
                        <w:tcW w:w="886" w:type="pct"/>
                      </w:tcPr>
                      <w:p>
                        <w:pPr>
                          <w:jc w:val="center"/>
                          <w:rPr>
                            <w:szCs w:val="24"/>
                          </w:rPr>
                        </w:pPr>
                        <w:r>
                          <w:rPr>
                            <w:szCs w:val="24"/>
                          </w:rPr>
                          <w:t>12</w:t>
                        </w:r>
                      </w:p>
                    </w:tc>
                  </w:tr>
                  <w:tr>
                    <w:tblPrEx>
                      <w:tblCellMar>
                        <w:left w:w="63" w:type="dxa"/>
                        <w:right w:w="63" w:type="dxa"/>
                      </w:tblCellMar>
                    </w:tblPrEx>
                    <w:trPr>
                      <w:gridBefore w:val="1"/>
                      <w:cantSplit/>
                      <w:trHeight w:val="575"/>
                    </w:trPr>
                    <w:tc>
                      <w:tcPr>
                        <w:tcW w:w="3010" w:type="pct"/>
                        <w:vAlign w:val="center"/>
                      </w:tcPr>
                      <w:p>
                        <w:pPr>
                          <w:rPr>
                            <w:szCs w:val="24"/>
                          </w:rPr>
                        </w:pPr>
                        <w:r>
                          <w:rPr>
                            <w:szCs w:val="24"/>
                          </w:rPr>
                          <w:t>Uždegiminės polineuropatijos, degeneracinės nervų ir raumenų ligos G 10–G 13; G 23; G 60–63 G; G70–G 71</w:t>
                        </w:r>
                      </w:p>
                    </w:tc>
                    <w:tc>
                      <w:tcPr>
                        <w:tcW w:w="1104" w:type="pct"/>
                      </w:tcPr>
                      <w:p>
                        <w:pPr>
                          <w:rPr>
                            <w:szCs w:val="24"/>
                          </w:rPr>
                        </w:pPr>
                        <w:r>
                          <w:rPr>
                            <w:szCs w:val="24"/>
                          </w:rPr>
                          <w:t xml:space="preserve">Stabili ligos eiga </w:t>
                        </w:r>
                      </w:p>
                      <w:p>
                        <w:pPr>
                          <w:rPr>
                            <w:szCs w:val="24"/>
                          </w:rPr>
                        </w:pPr>
                      </w:p>
                    </w:tc>
                    <w:tc>
                      <w:tcPr>
                        <w:tcW w:w="886" w:type="pct"/>
                      </w:tcPr>
                      <w:p>
                        <w:pPr>
                          <w:jc w:val="center"/>
                          <w:rPr>
                            <w:szCs w:val="24"/>
                          </w:rPr>
                        </w:pPr>
                        <w:r>
                          <w:rPr>
                            <w:szCs w:val="24"/>
                          </w:rPr>
                          <w:t>12</w:t>
                        </w:r>
                      </w:p>
                    </w:tc>
                  </w:tr>
                  <w:tr>
                    <w:tblPrEx>
                      <w:tblCellMar>
                        <w:left w:w="63" w:type="dxa"/>
                        <w:right w:w="63" w:type="dxa"/>
                      </w:tblCellMar>
                    </w:tblPrEx>
                    <w:trPr>
                      <w:gridBefore w:val="1"/>
                      <w:cantSplit/>
                      <w:trHeight w:val="495"/>
                    </w:trPr>
                    <w:tc>
                      <w:tcPr>
                        <w:tcW w:w="3010" w:type="pct"/>
                        <w:vAlign w:val="center"/>
                      </w:tcPr>
                      <w:p>
                        <w:pPr>
                          <w:rPr>
                            <w:szCs w:val="24"/>
                          </w:rPr>
                        </w:pPr>
                        <w:r>
                          <w:rPr>
                            <w:szCs w:val="24"/>
                          </w:rPr>
                          <w:t>Po tarpslankstelinių diskų operacijų M 43.1; M 48.0; M 50–M 51</w:t>
                        </w:r>
                      </w:p>
                    </w:tc>
                    <w:tc>
                      <w:tcPr>
                        <w:tcW w:w="1104" w:type="pct"/>
                        <w:vAlign w:val="center"/>
                      </w:tcPr>
                      <w:p>
                        <w:pPr>
                          <w:rPr>
                            <w:szCs w:val="24"/>
                          </w:rPr>
                        </w:pPr>
                        <w:r>
                          <w:rPr>
                            <w:szCs w:val="24"/>
                          </w:rPr>
                          <w:t>Sutrikusi apsitarnavimo arba judėjimo funkcija</w:t>
                        </w:r>
                      </w:p>
                    </w:tc>
                    <w:tc>
                      <w:tcPr>
                        <w:tcW w:w="886" w:type="pct"/>
                      </w:tcPr>
                      <w:p>
                        <w:pPr>
                          <w:jc w:val="center"/>
                          <w:rPr>
                            <w:szCs w:val="24"/>
                          </w:rPr>
                        </w:pPr>
                        <w:r>
                          <w:rPr>
                            <w:szCs w:val="24"/>
                          </w:rPr>
                          <w:t>12</w:t>
                        </w:r>
                      </w:p>
                    </w:tc>
                  </w:tr>
                  <w:tr>
                    <w:trPr>
                      <w:gridAfter w:val="1"/>
                      <w:wAfter w:w="45" w:type="dxa"/>
                      <w:cantSplit/>
                      <w:trHeight w:val="304"/>
                    </w:trPr>
                    <w:tc>
                      <w:tcPr>
                        <w:tcW w:w="3010" w:type="pct"/>
                        <w:vAlign w:val="center"/>
                      </w:tcPr>
                      <w:p>
                        <w:pPr>
                          <w:rPr>
                            <w:szCs w:val="24"/>
                          </w:rPr>
                        </w:pPr>
                        <w:r>
                          <w:rPr>
                            <w:szCs w:val="24"/>
                          </w:rPr>
                          <w:t>Vibracinė liga T 75.2; Z 57.7</w:t>
                        </w:r>
                      </w:p>
                    </w:tc>
                    <w:tc>
                      <w:tcPr>
                        <w:tcW w:w="1104" w:type="pct"/>
                        <w:shd w:val="clear" w:color="auto" w:fill="FFFFFF"/>
                        <w:vAlign w:val="center"/>
                      </w:tcPr>
                      <w:p>
                        <w:pPr>
                          <w:rPr>
                            <w:szCs w:val="24"/>
                          </w:rPr>
                        </w:pPr>
                      </w:p>
                    </w:tc>
                    <w:tc>
                      <w:tcPr>
                        <w:tcW w:w="886" w:type="pct"/>
                        <w:shd w:val="clear" w:color="auto" w:fill="FFFFFF"/>
                        <w:vAlign w:val="center"/>
                      </w:tcPr>
                      <w:p>
                        <w:pPr>
                          <w:jc w:val="center"/>
                          <w:rPr>
                            <w:szCs w:val="24"/>
                          </w:rPr>
                        </w:pPr>
                        <w:r>
                          <w:rPr>
                            <w:szCs w:val="24"/>
                          </w:rPr>
                          <w:t>12</w:t>
                        </w:r>
                      </w:p>
                    </w:tc>
                  </w:tr>
                  <w:tr>
                    <w:tblPrEx>
                      <w:tblCellMar>
                        <w:left w:w="63" w:type="dxa"/>
                        <w:right w:w="63" w:type="dxa"/>
                      </w:tblCellMar>
                    </w:tblPrEx>
                    <w:trPr>
                      <w:gridBefore w:val="1"/>
                      <w:cantSplit/>
                      <w:trHeight w:val="495"/>
                    </w:trPr>
                    <w:tc>
                      <w:tcPr>
                        <w:tcW w:w="3010" w:type="pct"/>
                        <w:vAlign w:val="center"/>
                      </w:tcPr>
                      <w:p>
                        <w:pPr>
                          <w:rPr>
                            <w:szCs w:val="24"/>
                          </w:rPr>
                        </w:pPr>
                        <w:r>
                          <w:rPr>
                            <w:szCs w:val="24"/>
                          </w:rPr>
                          <w:t>Radikulopatijos ir nervų pažeidimai G 51; G 54, G 55.1; G 55.2; G 56–G 57; M 47; M 50–M 51; M54; S 14.3, S 44.0–2; S 54.0–2; S 74.0–1; S 84.0–1</w:t>
                        </w:r>
                      </w:p>
                    </w:tc>
                    <w:tc>
                      <w:tcPr>
                        <w:tcW w:w="1104" w:type="pct"/>
                      </w:tcPr>
                      <w:p>
                        <w:pPr>
                          <w:rPr>
                            <w:szCs w:val="24"/>
                          </w:rPr>
                        </w:pPr>
                        <w:r>
                          <w:rPr>
                            <w:szCs w:val="24"/>
                          </w:rPr>
                          <w:t>Sutrikusi apsitarnavimo arba judėjimo funkcija</w:t>
                        </w:r>
                      </w:p>
                    </w:tc>
                    <w:tc>
                      <w:tcPr>
                        <w:tcW w:w="886" w:type="pct"/>
                      </w:tcPr>
                      <w:p>
                        <w:pPr>
                          <w:jc w:val="center"/>
                          <w:rPr>
                            <w:szCs w:val="24"/>
                          </w:rPr>
                        </w:pPr>
                        <w:r>
                          <w:rPr>
                            <w:szCs w:val="24"/>
                          </w:rPr>
                          <w:t>12</w:t>
                        </w:r>
                      </w:p>
                    </w:tc>
                  </w:tr>
                </w:tbl>
                <w:p>
                  <w:pPr>
                    <w:rPr>
                      <w:szCs w:val="24"/>
                    </w:rPr>
                  </w:pPr>
                </w:p>
                <w:p>
                  <w:pPr>
                    <w:rPr>
                      <w:szCs w:val="24"/>
                    </w:rPr>
                  </w:pPr>
                </w:p>
              </w:sdtContent>
            </w:sdt>
            <w:sdt>
              <w:sdtPr>
                <w:alias w:val="poskyris"/>
                <w:tag w:val="part_176e59624000411ea49ae892cfd2234c"/>
                <w:lock w:val="sdtLocked"/>
                <w:richText/>
              </w:sdtPr>
              <w:sdtContent>
                <w:p>
                  <w:pPr>
                    <w:jc w:val="center"/>
                    <w:rPr>
                      <w:b/>
                      <w:bCs/>
                      <w:szCs w:val="24"/>
                    </w:rPr>
                  </w:pPr>
                  <w:sdt>
                    <w:sdtPr>
                      <w:alias w:val="Pavadinimas"/>
                      <w:tag w:val="title_176e59624000411ea49ae892cfd2234c"/>
                      <w:lock w:val="sdtLocked"/>
                      <w:richText/>
                    </w:sdtPr>
                    <w:sdtContent>
                      <w:r>
                        <w:rPr>
                          <w:b/>
                          <w:bCs/>
                          <w:szCs w:val="24"/>
                        </w:rPr>
                        <w:t>Kraujotakos sistemos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3"/>
                    <w:gridCol w:w="2601"/>
                    <w:gridCol w:w="1850"/>
                    <w:gridCol w:w="370"/>
                  </w:tblGrid>
                  <w:tr>
                    <w:trPr>
                      <w:gridAfter w:val="1"/>
                      <w:wAfter w:w="43" w:type="dxa"/>
                      <w:cantSplit/>
                      <w:trHeight w:val="979"/>
                    </w:trPr>
                    <w:tc>
                      <w:tcPr>
                        <w:tcW w:w="3117" w:type="pct"/>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104" w:type="pct"/>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gridAfter w:val="1"/>
                      <w:wAfter w:w="43" w:type="dxa"/>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Kardiologinių pacientų reabilitacijos komandai vadovauja gydytojas kardiologas (baigęs reabilitacijos ir antrinės prevencijos tobulinimosi kursus) arba fizinės medicinos ir reabilitacijos gydytojas (baigęs kardiologijos ir prevencijos tobulinimosi kursus).</w:t>
                        </w:r>
                      </w:p>
                      <w:p>
                        <w:pPr>
                          <w:jc w:val="both"/>
                          <w:rPr>
                            <w:szCs w:val="24"/>
                          </w:rPr>
                        </w:pPr>
                        <w:r>
                          <w:rPr>
                            <w:szCs w:val="24"/>
                          </w:rPr>
                          <w:t>Paslaugos vienam pacientui per 10 darbo dienų: kineziterapija – 15 procedūrų, masažas – 7 procedūros, fizioterapija – 5 procedūros, 5 medicinos psichologo konsultacijos.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blPrEx>
                      <w:tblCellMar>
                        <w:left w:w="65" w:type="dxa"/>
                        <w:right w:w="65" w:type="dxa"/>
                      </w:tblCellMar>
                    </w:tblPrEx>
                    <w:trPr>
                      <w:gridBefore w:val="1"/>
                      <w:cantSplit/>
                      <w:trHeight w:val="324"/>
                    </w:trPr>
                    <w:tc>
                      <w:tcPr>
                        <w:tcW w:w="3117" w:type="pct"/>
                        <w:vAlign w:val="center"/>
                      </w:tcPr>
                      <w:p>
                        <w:pPr>
                          <w:rPr>
                            <w:szCs w:val="24"/>
                          </w:rPr>
                        </w:pPr>
                        <w:r>
                          <w:rPr>
                            <w:szCs w:val="24"/>
                          </w:rPr>
                          <w:t>Miokardo infarktas (po 2 ir daugiau mėnesių) I 21–I 22</w:t>
                        </w:r>
                      </w:p>
                    </w:tc>
                    <w:tc>
                      <w:tcPr>
                        <w:tcW w:w="1104" w:type="pct"/>
                        <w:tcBorders>
                          <w:top w:val="nil"/>
                        </w:tcBorders>
                      </w:tcPr>
                      <w:p>
                        <w:pPr>
                          <w:rPr>
                            <w:szCs w:val="24"/>
                          </w:rPr>
                        </w:pPr>
                        <w:r>
                          <w:rPr>
                            <w:szCs w:val="24"/>
                          </w:rPr>
                          <w:t>Širdies nepakankamumas (ŠN) I–III funkcinė klasė pagal NYHA</w:t>
                        </w:r>
                      </w:p>
                    </w:tc>
                    <w:tc>
                      <w:tcPr>
                        <w:tcW w:w="779" w:type="pct"/>
                        <w:tcBorders>
                          <w:top w:val="nil"/>
                          <w:bottom w:val="outset" w:sz="6" w:space="0" w:color="auto"/>
                        </w:tcBorders>
                      </w:tcPr>
                      <w:p>
                        <w:pPr>
                          <w:jc w:val="center"/>
                          <w:rPr>
                            <w:szCs w:val="24"/>
                          </w:rPr>
                        </w:pPr>
                        <w:r>
                          <w:rPr>
                            <w:szCs w:val="24"/>
                          </w:rPr>
                          <w:t>18</w:t>
                        </w:r>
                      </w:p>
                    </w:tc>
                  </w:tr>
                  <w:tr>
                    <w:tblPrEx>
                      <w:tblCellMar>
                        <w:left w:w="65" w:type="dxa"/>
                        <w:right w:w="65" w:type="dxa"/>
                      </w:tblCellMar>
                    </w:tblPrEx>
                    <w:trPr>
                      <w:gridBefore w:val="1"/>
                      <w:cantSplit/>
                      <w:trHeight w:val="324"/>
                    </w:trPr>
                    <w:tc>
                      <w:tcPr>
                        <w:tcW w:w="3117" w:type="pct"/>
                        <w:vAlign w:val="center"/>
                      </w:tcPr>
                      <w:p>
                        <w:pPr>
                          <w:rPr>
                            <w:szCs w:val="24"/>
                          </w:rPr>
                        </w:pPr>
                        <w:r>
                          <w:rPr>
                            <w:szCs w:val="24"/>
                          </w:rPr>
                          <w:t>Krūtinės angina I 20.0, I20.8</w:t>
                        </w:r>
                      </w:p>
                    </w:tc>
                    <w:tc>
                      <w:tcPr>
                        <w:tcW w:w="1104" w:type="pct"/>
                        <w:tcBorders>
                          <w:top w:val="nil"/>
                        </w:tcBorders>
                        <w:vAlign w:val="center"/>
                      </w:tcPr>
                      <w:p>
                        <w:pPr>
                          <w:rPr>
                            <w:szCs w:val="24"/>
                          </w:rPr>
                        </w:pPr>
                        <w:r>
                          <w:rPr>
                            <w:szCs w:val="24"/>
                          </w:rPr>
                          <w:t xml:space="preserve">Įtampos krūtinės angina, III funkcinė klasė </w:t>
                        </w:r>
                      </w:p>
                    </w:tc>
                    <w:tc>
                      <w:tcPr>
                        <w:tcW w:w="779" w:type="pct"/>
                        <w:tcBorders>
                          <w:top w:val="nil"/>
                          <w:bottom w:val="outset" w:sz="6" w:space="0" w:color="auto"/>
                        </w:tcBorders>
                        <w:vAlign w:val="center"/>
                      </w:tcPr>
                      <w:p>
                        <w:pPr>
                          <w:jc w:val="center"/>
                          <w:rPr>
                            <w:szCs w:val="24"/>
                          </w:rPr>
                        </w:pPr>
                        <w:r>
                          <w:rPr>
                            <w:szCs w:val="24"/>
                          </w:rPr>
                          <w:t>16</w:t>
                        </w:r>
                      </w:p>
                    </w:tc>
                  </w:tr>
                  <w:tr>
                    <w:tblPrEx>
                      <w:tblCellMar>
                        <w:left w:w="65" w:type="dxa"/>
                        <w:right w:w="65" w:type="dxa"/>
                      </w:tblCellMar>
                    </w:tblPrEx>
                    <w:trPr>
                      <w:gridBefore w:val="1"/>
                      <w:cantSplit/>
                      <w:trHeight w:val="371"/>
                    </w:trPr>
                    <w:tc>
                      <w:tcPr>
                        <w:tcW w:w="3117" w:type="pct"/>
                        <w:vAlign w:val="center"/>
                      </w:tcPr>
                      <w:p>
                        <w:pPr>
                          <w:rPr>
                            <w:szCs w:val="24"/>
                          </w:rPr>
                        </w:pPr>
                        <w:r>
                          <w:rPr>
                            <w:szCs w:val="24"/>
                          </w:rPr>
                          <w:t>Po širdies ir kraujagyslių operacijų (po 2 ir daugiau mėnesių) Z 94.1; Z 95.0–5; Z 95.8</w:t>
                        </w:r>
                      </w:p>
                    </w:tc>
                    <w:tc>
                      <w:tcPr>
                        <w:tcW w:w="1104" w:type="pct"/>
                        <w:tcBorders>
                          <w:right w:val="outset" w:sz="6" w:space="0" w:color="auto"/>
                        </w:tcBorders>
                      </w:tcPr>
                      <w:p>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tcPr>
                      <w:p>
                        <w:pPr>
                          <w:jc w:val="center"/>
                          <w:rPr>
                            <w:szCs w:val="24"/>
                          </w:rPr>
                        </w:pPr>
                        <w:r>
                          <w:rPr>
                            <w:szCs w:val="24"/>
                          </w:rPr>
                          <w:t>16</w:t>
                        </w:r>
                      </w:p>
                    </w:tc>
                  </w:tr>
                  <w:tr>
                    <w:tblPrEx>
                      <w:tblCellMar>
                        <w:left w:w="65" w:type="dxa"/>
                        <w:right w:w="65" w:type="dxa"/>
                      </w:tblCellMar>
                    </w:tblPrEx>
                    <w:trPr>
                      <w:gridBefore w:val="1"/>
                      <w:cantSplit/>
                      <w:trHeight w:val="371"/>
                    </w:trPr>
                    <w:tc>
                      <w:tcPr>
                        <w:tcW w:w="3117" w:type="pct"/>
                        <w:vAlign w:val="center"/>
                      </w:tcPr>
                      <w:p>
                        <w:pPr>
                          <w:rPr>
                            <w:szCs w:val="24"/>
                          </w:rPr>
                        </w:pPr>
                        <w:r>
                          <w:rPr>
                            <w:szCs w:val="24"/>
                          </w:rPr>
                          <w:t xml:space="preserve">Reumatinės vožtuvų ydos I 05–I 08 </w:t>
                        </w:r>
                      </w:p>
                    </w:tc>
                    <w:tc>
                      <w:tcPr>
                        <w:tcW w:w="1104" w:type="pct"/>
                        <w:tcBorders>
                          <w:right w:val="outset" w:sz="6" w:space="0" w:color="auto"/>
                        </w:tcBorders>
                        <w:vAlign w:val="center"/>
                      </w:tcPr>
                      <w:p>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vAlign w:val="center"/>
                      </w:tcPr>
                      <w:p>
                        <w:pPr>
                          <w:jc w:val="center"/>
                          <w:rPr>
                            <w:szCs w:val="24"/>
                          </w:rPr>
                        </w:pPr>
                        <w:r>
                          <w:rPr>
                            <w:szCs w:val="24"/>
                          </w:rPr>
                          <w:t>16</w:t>
                        </w:r>
                      </w:p>
                    </w:tc>
                  </w:tr>
                  <w:tr>
                    <w:tblPrEx>
                      <w:tblCellMar>
                        <w:left w:w="65" w:type="dxa"/>
                        <w:right w:w="65" w:type="dxa"/>
                      </w:tblCellMar>
                    </w:tblPrEx>
                    <w:trPr>
                      <w:gridBefore w:val="1"/>
                      <w:cantSplit/>
                      <w:trHeight w:val="371"/>
                    </w:trPr>
                    <w:tc>
                      <w:tcPr>
                        <w:tcW w:w="3117" w:type="pct"/>
                        <w:vAlign w:val="center"/>
                      </w:tcPr>
                      <w:p>
                        <w:pPr>
                          <w:rPr>
                            <w:szCs w:val="24"/>
                          </w:rPr>
                        </w:pPr>
                        <w:r>
                          <w:rPr>
                            <w:szCs w:val="24"/>
                          </w:rPr>
                          <w:t>Kardiomiopatija I 42.0–5; I 42.7</w:t>
                        </w:r>
                      </w:p>
                    </w:tc>
                    <w:tc>
                      <w:tcPr>
                        <w:tcW w:w="1104" w:type="pct"/>
                        <w:tcBorders>
                          <w:right w:val="outset" w:sz="6" w:space="0" w:color="auto"/>
                        </w:tcBorders>
                        <w:vAlign w:val="center"/>
                      </w:tcPr>
                      <w:p>
                        <w:pPr>
                          <w:rPr>
                            <w:szCs w:val="24"/>
                          </w:rPr>
                        </w:pPr>
                        <w:r>
                          <w:rPr>
                            <w:szCs w:val="24"/>
                          </w:rPr>
                          <w:t>ŠN I–III funkcinė klasė pagal NYHA</w:t>
                        </w:r>
                      </w:p>
                    </w:tc>
                    <w:tc>
                      <w:tcPr>
                        <w:tcW w:w="779" w:type="pct"/>
                        <w:tcBorders>
                          <w:top w:val="outset" w:sz="6" w:space="0" w:color="auto"/>
                          <w:left w:val="outset" w:sz="6" w:space="0" w:color="auto"/>
                          <w:right w:val="inset" w:sz="6" w:space="0" w:color="auto"/>
                        </w:tcBorders>
                        <w:vAlign w:val="center"/>
                      </w:tcPr>
                      <w:p>
                        <w:pPr>
                          <w:jc w:val="center"/>
                          <w:rPr>
                            <w:szCs w:val="24"/>
                          </w:rPr>
                        </w:pPr>
                        <w:r>
                          <w:rPr>
                            <w:szCs w:val="24"/>
                          </w:rPr>
                          <w:t>16</w:t>
                        </w:r>
                      </w:p>
                    </w:tc>
                  </w:tr>
                  <w:tr>
                    <w:tblPrEx>
                      <w:tblCellMar>
                        <w:left w:w="63" w:type="dxa"/>
                        <w:right w:w="63" w:type="dxa"/>
                      </w:tblCellMar>
                    </w:tblPrEx>
                    <w:trPr>
                      <w:gridBefore w:val="1"/>
                      <w:cantSplit/>
                      <w:trHeight w:val="543"/>
                    </w:trPr>
                    <w:tc>
                      <w:tcPr>
                        <w:tcW w:w="3117" w:type="pct"/>
                        <w:vAlign w:val="center"/>
                      </w:tcPr>
                      <w:p>
                        <w:pPr>
                          <w:rPr>
                            <w:szCs w:val="24"/>
                          </w:rPr>
                        </w:pPr>
                        <w:r>
                          <w:rPr>
                            <w:szCs w:val="24"/>
                          </w:rPr>
                          <w:t>Pirminė arterinė ir inkstų hipertenzijos I 10–I 13</w:t>
                        </w:r>
                      </w:p>
                    </w:tc>
                    <w:tc>
                      <w:tcPr>
                        <w:tcW w:w="1104" w:type="pct"/>
                        <w:vAlign w:val="center"/>
                      </w:tcPr>
                      <w:p>
                        <w:pPr>
                          <w:rPr>
                            <w:szCs w:val="24"/>
                          </w:rPr>
                        </w:pPr>
                        <w:r>
                          <w:rPr>
                            <w:szCs w:val="24"/>
                          </w:rPr>
                          <w:t>Didelės kardiovaskulinės rizikos asmenys, II–III laipsnio AKS padidėjimas</w:t>
                        </w:r>
                      </w:p>
                    </w:tc>
                    <w:tc>
                      <w:tcPr>
                        <w:tcW w:w="779" w:type="pct"/>
                        <w:vAlign w:val="center"/>
                      </w:tcPr>
                      <w:p>
                        <w:pPr>
                          <w:jc w:val="center"/>
                          <w:rPr>
                            <w:szCs w:val="24"/>
                          </w:rPr>
                        </w:pPr>
                        <w:r>
                          <w:rPr>
                            <w:szCs w:val="24"/>
                          </w:rPr>
                          <w:t>16</w:t>
                        </w:r>
                      </w:p>
                    </w:tc>
                  </w:tr>
                  <w:tr>
                    <w:trPr>
                      <w:gridAfter w:val="1"/>
                      <w:wAfter w:w="43" w:type="dxa"/>
                      <w:trHeight w:val="272"/>
                    </w:trPr>
                    <w:tc>
                      <w:tcPr>
                        <w:tcW w:w="5000" w:type="pct"/>
                        <w:gridSpan w:val="3"/>
                      </w:tcPr>
                      <w:p>
                        <w:pPr>
                          <w:jc w:val="both"/>
                          <w:rPr>
                            <w:bCs/>
                            <w:kern w:val="36"/>
                            <w:szCs w:val="24"/>
                            <w:lang w:eastAsia="lt-LT"/>
                          </w:rPr>
                        </w:pPr>
                        <w:r>
                          <w:rPr>
                            <w:bCs/>
                            <w:kern w:val="36"/>
                            <w:szCs w:val="24"/>
                            <w:lang w:eastAsia="lt-LT"/>
                          </w:rPr>
                          <w:t>Ambulatorinė reabilitacija II</w:t>
                        </w:r>
                      </w:p>
                      <w:p>
                        <w:pPr>
                          <w:jc w:val="both"/>
                          <w:rPr>
                            <w:szCs w:val="24"/>
                          </w:rPr>
                        </w:pPr>
                        <w:r>
                          <w:rPr>
                            <w:szCs w:val="24"/>
                          </w:rPr>
                          <w:t xml:space="preserve">Paslaugos vienam pacientui per 10 darbo dienų: kineziterapija – 10 procedūrų, masažas – 6 procedūros, fizioterapija – 10 procedūrų, 3 medicinos psichologo konsultacijos. </w:t>
                        </w:r>
                      </w:p>
                      <w:p>
                        <w:pPr>
                          <w:jc w:val="both"/>
                          <w:rPr>
                            <w:szCs w:val="24"/>
                          </w:rPr>
                        </w:pPr>
                        <w:r>
                          <w:rPr>
                            <w:szCs w:val="24"/>
                          </w:rPr>
                          <w:t xml:space="preserve">Paslaugos, teikiamos pagal indikacijas: paciento ir jo artimųjų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gridBefore w:val="1"/>
                      <w:cantSplit/>
                      <w:trHeight w:val="295"/>
                    </w:trPr>
                    <w:tc>
                      <w:tcPr>
                        <w:tcW w:w="3117" w:type="pct"/>
                        <w:vAlign w:val="center"/>
                      </w:tcPr>
                      <w:p>
                        <w:pPr>
                          <w:rPr>
                            <w:szCs w:val="24"/>
                          </w:rPr>
                        </w:pPr>
                        <w:r>
                          <w:rPr>
                            <w:szCs w:val="24"/>
                          </w:rPr>
                          <w:t>Po ūmaus miokardo infarkto I 21–I 22</w:t>
                        </w:r>
                      </w:p>
                    </w:tc>
                    <w:tc>
                      <w:tcPr>
                        <w:tcW w:w="1104" w:type="pct"/>
                      </w:tcPr>
                      <w:p>
                        <w:pPr>
                          <w:rPr>
                            <w:szCs w:val="24"/>
                          </w:rPr>
                        </w:pPr>
                        <w:r>
                          <w:rPr>
                            <w:szCs w:val="24"/>
                          </w:rPr>
                          <w:t>ŠN I–II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gridBefore w:val="1"/>
                      <w:cantSplit/>
                      <w:trHeight w:val="286"/>
                    </w:trPr>
                    <w:tc>
                      <w:tcPr>
                        <w:tcW w:w="3117" w:type="pct"/>
                        <w:vAlign w:val="center"/>
                      </w:tcPr>
                      <w:p>
                        <w:pPr>
                          <w:rPr>
                            <w:szCs w:val="24"/>
                          </w:rPr>
                        </w:pPr>
                        <w:r>
                          <w:rPr>
                            <w:szCs w:val="24"/>
                          </w:rPr>
                          <w:t>Po širdies operacijų Z95</w:t>
                        </w:r>
                      </w:p>
                    </w:tc>
                    <w:tc>
                      <w:tcPr>
                        <w:tcW w:w="1104" w:type="pct"/>
                      </w:tcPr>
                      <w:p>
                        <w:pPr>
                          <w:rPr>
                            <w:szCs w:val="24"/>
                          </w:rPr>
                        </w:pPr>
                        <w:r>
                          <w:rPr>
                            <w:szCs w:val="24"/>
                          </w:rPr>
                          <w:t>ŠN I–II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gridBefore w:val="1"/>
                      <w:cantSplit/>
                      <w:trHeight w:val="495"/>
                    </w:trPr>
                    <w:tc>
                      <w:tcPr>
                        <w:tcW w:w="3117" w:type="pct"/>
                        <w:vAlign w:val="center"/>
                      </w:tcPr>
                      <w:p>
                        <w:pPr>
                          <w:rPr>
                            <w:szCs w:val="24"/>
                          </w:rPr>
                        </w:pPr>
                        <w:r>
                          <w:rPr>
                            <w:szCs w:val="24"/>
                          </w:rPr>
                          <w:t>Krūtinės angina, I 20.0; I 20.1; I 20.8</w:t>
                        </w:r>
                      </w:p>
                    </w:tc>
                    <w:tc>
                      <w:tcPr>
                        <w:tcW w:w="1104" w:type="pct"/>
                      </w:tcPr>
                      <w:p>
                        <w:pPr>
                          <w:rPr>
                            <w:szCs w:val="24"/>
                          </w:rPr>
                        </w:pPr>
                        <w:r>
                          <w:rPr>
                            <w:szCs w:val="24"/>
                          </w:rPr>
                          <w:t>II–III funkcinė klasė</w:t>
                        </w:r>
                      </w:p>
                    </w:tc>
                    <w:tc>
                      <w:tcPr>
                        <w:tcW w:w="779" w:type="pct"/>
                        <w:tcBorders>
                          <w:top w:val="nil"/>
                        </w:tcBorders>
                        <w:vAlign w:val="center"/>
                      </w:tcPr>
                      <w:p>
                        <w:pPr>
                          <w:jc w:val="center"/>
                          <w:rPr>
                            <w:szCs w:val="24"/>
                          </w:rPr>
                        </w:pPr>
                        <w:r>
                          <w:rPr>
                            <w:szCs w:val="24"/>
                          </w:rPr>
                          <w:t>12</w:t>
                        </w:r>
                      </w:p>
                    </w:tc>
                  </w:tr>
                  <w:tr>
                    <w:tblPrEx>
                      <w:tblCellMar>
                        <w:left w:w="63" w:type="dxa"/>
                        <w:right w:w="63" w:type="dxa"/>
                      </w:tblCellMar>
                    </w:tblPrEx>
                    <w:trPr>
                      <w:gridBefore w:val="1"/>
                      <w:cantSplit/>
                      <w:trHeight w:val="347"/>
                    </w:trPr>
                    <w:tc>
                      <w:tcPr>
                        <w:tcW w:w="3117" w:type="pct"/>
                        <w:vAlign w:val="center"/>
                      </w:tcPr>
                      <w:p>
                        <w:pPr>
                          <w:rPr>
                            <w:szCs w:val="24"/>
                          </w:rPr>
                        </w:pPr>
                        <w:r>
                          <w:rPr>
                            <w:szCs w:val="24"/>
                          </w:rPr>
                          <w:t>Reumatinės vožtuvų ydos I 05–I 08</w:t>
                        </w:r>
                      </w:p>
                    </w:tc>
                    <w:tc>
                      <w:tcPr>
                        <w:tcW w:w="1104" w:type="pct"/>
                        <w:vAlign w:val="center"/>
                      </w:tcPr>
                      <w:p>
                        <w:pPr>
                          <w:rPr>
                            <w:szCs w:val="24"/>
                          </w:rPr>
                        </w:pPr>
                        <w:r>
                          <w:rPr>
                            <w:szCs w:val="24"/>
                          </w:rPr>
                          <w:t>ŠN 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gridBefore w:val="1"/>
                      <w:cantSplit/>
                      <w:trHeight w:val="240"/>
                    </w:trPr>
                    <w:tc>
                      <w:tcPr>
                        <w:tcW w:w="3117" w:type="pct"/>
                        <w:vAlign w:val="center"/>
                      </w:tcPr>
                      <w:p>
                        <w:pPr>
                          <w:rPr>
                            <w:szCs w:val="24"/>
                          </w:rPr>
                        </w:pPr>
                        <w:r>
                          <w:rPr>
                            <w:szCs w:val="24"/>
                          </w:rPr>
                          <w:t>Kardiomiopatijos I 42.0–I 42.5; I 42.7</w:t>
                        </w:r>
                      </w:p>
                    </w:tc>
                    <w:tc>
                      <w:tcPr>
                        <w:tcW w:w="1104" w:type="pct"/>
                        <w:vAlign w:val="center"/>
                      </w:tcPr>
                      <w:p>
                        <w:pPr>
                          <w:rPr>
                            <w:szCs w:val="24"/>
                          </w:rPr>
                        </w:pPr>
                        <w:r>
                          <w:rPr>
                            <w:szCs w:val="24"/>
                          </w:rPr>
                          <w:t>ŠN II funkcinė klasė pagal NYHA</w:t>
                        </w:r>
                      </w:p>
                    </w:tc>
                    <w:tc>
                      <w:tcPr>
                        <w:tcW w:w="779" w:type="pct"/>
                        <w:vAlign w:val="center"/>
                      </w:tcPr>
                      <w:p>
                        <w:pPr>
                          <w:jc w:val="center"/>
                          <w:rPr>
                            <w:szCs w:val="24"/>
                          </w:rPr>
                        </w:pPr>
                        <w:r>
                          <w:rPr>
                            <w:szCs w:val="24"/>
                          </w:rPr>
                          <w:t>12</w:t>
                        </w:r>
                      </w:p>
                    </w:tc>
                  </w:tr>
                  <w:tr>
                    <w:tblPrEx>
                      <w:tblCellMar>
                        <w:left w:w="63" w:type="dxa"/>
                        <w:right w:w="63" w:type="dxa"/>
                      </w:tblCellMar>
                    </w:tblPrEx>
                    <w:trPr>
                      <w:gridBefore w:val="1"/>
                      <w:cantSplit/>
                      <w:trHeight w:val="543"/>
                    </w:trPr>
                    <w:tc>
                      <w:tcPr>
                        <w:tcW w:w="3117" w:type="pct"/>
                        <w:vAlign w:val="center"/>
                      </w:tcPr>
                      <w:p>
                        <w:pPr>
                          <w:rPr>
                            <w:szCs w:val="24"/>
                          </w:rPr>
                        </w:pPr>
                        <w:r>
                          <w:rPr>
                            <w:szCs w:val="24"/>
                          </w:rPr>
                          <w:t>Pirminė arterinė ir inkstų hipertenzijos I 10–I 13</w:t>
                        </w:r>
                      </w:p>
                    </w:tc>
                    <w:tc>
                      <w:tcPr>
                        <w:tcW w:w="1104" w:type="pct"/>
                        <w:vAlign w:val="center"/>
                      </w:tcPr>
                      <w:p>
                        <w:pPr>
                          <w:rPr>
                            <w:szCs w:val="24"/>
                          </w:rPr>
                        </w:pPr>
                        <w:r>
                          <w:rPr>
                            <w:szCs w:val="24"/>
                          </w:rPr>
                          <w:t>II–III laipsnio AKS padidėjimas</w:t>
                        </w:r>
                      </w:p>
                    </w:tc>
                    <w:tc>
                      <w:tcPr>
                        <w:tcW w:w="779" w:type="pct"/>
                        <w:vAlign w:val="center"/>
                      </w:tcPr>
                      <w:p>
                        <w:pPr>
                          <w:jc w:val="center"/>
                          <w:rPr>
                            <w:szCs w:val="24"/>
                          </w:rPr>
                        </w:pPr>
                        <w:r>
                          <w:rPr>
                            <w:szCs w:val="24"/>
                          </w:rPr>
                          <w:t>12</w:t>
                        </w:r>
                      </w:p>
                    </w:tc>
                  </w:tr>
                </w:tbl>
                <w:p>
                  <w:pPr>
                    <w:rPr>
                      <w:szCs w:val="24"/>
                    </w:rPr>
                  </w:pPr>
                </w:p>
                <w:p>
                  <w:pPr>
                    <w:rPr>
                      <w:b/>
                      <w:iCs/>
                      <w:szCs w:val="24"/>
                    </w:rPr>
                  </w:pPr>
                  <w:r>
                    <w:rPr>
                      <w:b/>
                      <w:iCs/>
                      <w:szCs w:val="24"/>
                    </w:rPr>
                    <w:br w:type="page"/>
                  </w:r>
                </w:p>
              </w:sdtContent>
            </w:sdt>
            <w:sdt>
              <w:sdtPr>
                <w:alias w:val="poskyris"/>
                <w:tag w:val="part_91bd61ecca154b7fb470f28932d1a0e2"/>
                <w:lock w:val="sdtLocked"/>
                <w:richText/>
              </w:sdtPr>
              <w:sdtContent>
                <w:p>
                  <w:pPr>
                    <w:jc w:val="center"/>
                    <w:rPr>
                      <w:b/>
                      <w:iCs/>
                      <w:szCs w:val="24"/>
                    </w:rPr>
                  </w:pPr>
                  <w:sdt>
                    <w:sdtPr>
                      <w:alias w:val="Pavadinimas"/>
                      <w:tag w:val="title_91bd61ecca154b7fb470f28932d1a0e2"/>
                      <w:lock w:val="sdtLocked"/>
                      <w:richText/>
                    </w:sdtPr>
                    <w:sdtContent>
                      <w:r>
                        <w:rPr>
                          <w:b/>
                          <w:iCs/>
                          <w:szCs w:val="24"/>
                        </w:rPr>
                        <w:t>Kvėpavimo sistemos ligos</w:t>
                      </w:r>
                    </w:sdtContent>
                  </w:sdt>
                </w:p>
                <w:p>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88"/>
                    <w:gridCol w:w="9"/>
                    <w:gridCol w:w="9"/>
                    <w:gridCol w:w="2028"/>
                    <w:gridCol w:w="1850"/>
                    <w:gridCol w:w="370"/>
                  </w:tblGrid>
                  <w:tr>
                    <w:trPr>
                      <w:gridAfter w:val="1"/>
                      <w:wAfter w:w="43" w:type="dxa"/>
                      <w:cantSplit/>
                      <w:trHeight w:val="979"/>
                    </w:trPr>
                    <w:tc>
                      <w:tcPr>
                        <w:tcW w:w="3117" w:type="pct"/>
                        <w:gridSpan w:val="2"/>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104" w:type="pct"/>
                        <w:gridSpan w:val="2"/>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gridAfter w:val="1"/>
                      <w:wAfter w:w="43" w:type="dxa"/>
                      <w:cantSplit/>
                      <w:trHeight w:val="272"/>
                    </w:trPr>
                    <w:tc>
                      <w:tcPr>
                        <w:tcW w:w="5000" w:type="pct"/>
                        <w:gridSpan w:val="5"/>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masažas – 8 procedūros, fizioterapija – 10 procedūrų, 3 medicinos psichologo konsultacijos, 1 socialinio darbuotojo konsultacija. Paslaugos, teikiamos pagal indikacijas: medikamentinis gydymas, paciento ir jo artimųjų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pulmonologas, gydytojas kardiologas, gydytojas radiologas,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blPrEx>
                      <w:tblCellMar>
                        <w:left w:w="65" w:type="dxa"/>
                        <w:right w:w="65" w:type="dxa"/>
                      </w:tblCellMar>
                    </w:tblPrEx>
                    <w:trPr>
                      <w:gridBefore w:val="1"/>
                      <w:cantSplit/>
                      <w:trHeight w:val="765"/>
                    </w:trPr>
                    <w:tc>
                      <w:tcPr>
                        <w:tcW w:w="3117" w:type="pct"/>
                        <w:gridSpan w:val="3"/>
                        <w:vAlign w:val="center"/>
                      </w:tcPr>
                      <w:p>
                        <w:pPr>
                          <w:rPr>
                            <w:szCs w:val="24"/>
                          </w:rPr>
                        </w:pPr>
                        <w:r>
                          <w:rPr>
                            <w:szCs w:val="24"/>
                          </w:rPr>
                          <w:t xml:space="preserve">Komplikuotos plaučių ligos J 44 </w:t>
                        </w:r>
                      </w:p>
                    </w:tc>
                    <w:tc>
                      <w:tcPr>
                        <w:tcW w:w="1104" w:type="pct"/>
                      </w:tcPr>
                      <w:p>
                        <w:pPr>
                          <w:rPr>
                            <w:szCs w:val="24"/>
                          </w:rPr>
                        </w:pPr>
                        <w:r>
                          <w:rPr>
                            <w:szCs w:val="24"/>
                          </w:rPr>
                          <w:t xml:space="preserve">LOPL paūmėjimas, kai yra lėtinis kvėpavimo nepakankamumas </w:t>
                        </w:r>
                      </w:p>
                    </w:tc>
                    <w:tc>
                      <w:tcPr>
                        <w:tcW w:w="779" w:type="pct"/>
                      </w:tcPr>
                      <w:p>
                        <w:pPr>
                          <w:jc w:val="center"/>
                          <w:rPr>
                            <w:szCs w:val="24"/>
                          </w:rPr>
                        </w:pPr>
                        <w:r>
                          <w:rPr>
                            <w:szCs w:val="24"/>
                          </w:rPr>
                          <w:t>20</w:t>
                        </w:r>
                      </w:p>
                    </w:tc>
                  </w:tr>
                  <w:tr>
                    <w:tblPrEx>
                      <w:tblCellMar>
                        <w:left w:w="65" w:type="dxa"/>
                        <w:right w:w="65" w:type="dxa"/>
                      </w:tblCellMar>
                    </w:tblPrEx>
                    <w:trPr>
                      <w:gridBefore w:val="1"/>
                      <w:cantSplit/>
                      <w:trHeight w:val="451"/>
                    </w:trPr>
                    <w:tc>
                      <w:tcPr>
                        <w:tcW w:w="3117" w:type="pct"/>
                        <w:gridSpan w:val="3"/>
                        <w:vAlign w:val="center"/>
                      </w:tcPr>
                      <w:p>
                        <w:pPr>
                          <w:rPr>
                            <w:szCs w:val="24"/>
                          </w:rPr>
                        </w:pPr>
                        <w:r>
                          <w:rPr>
                            <w:szCs w:val="24"/>
                          </w:rPr>
                          <w:t>Bronchų astma J 45</w:t>
                        </w:r>
                      </w:p>
                    </w:tc>
                    <w:tc>
                      <w:tcPr>
                        <w:tcW w:w="1104" w:type="pct"/>
                      </w:tcPr>
                      <w:p>
                        <w:pPr>
                          <w:rPr>
                            <w:szCs w:val="24"/>
                          </w:rPr>
                        </w:pPr>
                        <w:r>
                          <w:rPr>
                            <w:szCs w:val="24"/>
                          </w:rPr>
                          <w:t xml:space="preserve">Kai paūmėjimai trikdo fizinį aktyvumą ir miegą </w:t>
                        </w:r>
                      </w:p>
                    </w:tc>
                    <w:tc>
                      <w:tcPr>
                        <w:tcW w:w="779" w:type="pct"/>
                      </w:tcPr>
                      <w:p>
                        <w:pPr>
                          <w:jc w:val="center"/>
                          <w:rPr>
                            <w:szCs w:val="24"/>
                          </w:rPr>
                        </w:pPr>
                        <w:r>
                          <w:rPr>
                            <w:szCs w:val="24"/>
                          </w:rPr>
                          <w:t>16</w:t>
                        </w:r>
                      </w:p>
                    </w:tc>
                  </w:tr>
                  <w:tr>
                    <w:tblPrEx>
                      <w:tblCellMar>
                        <w:left w:w="65" w:type="dxa"/>
                        <w:right w:w="65" w:type="dxa"/>
                      </w:tblCellMar>
                    </w:tblPrEx>
                    <w:trPr>
                      <w:gridBefore w:val="1"/>
                      <w:cantSplit/>
                      <w:trHeight w:val="597"/>
                    </w:trPr>
                    <w:tc>
                      <w:tcPr>
                        <w:tcW w:w="3117" w:type="pct"/>
                        <w:gridSpan w:val="3"/>
                        <w:vAlign w:val="center"/>
                      </w:tcPr>
                      <w:p>
                        <w:pPr>
                          <w:rPr>
                            <w:szCs w:val="24"/>
                          </w:rPr>
                        </w:pPr>
                        <w:r>
                          <w:rPr>
                            <w:szCs w:val="24"/>
                          </w:rPr>
                          <w:t xml:space="preserve">Po plaučių operacijų  </w:t>
                          <w:br/>
                          <w:t>C 33–C 39; C 45.0; D 14.1–4; D 38.0–6</w:t>
                        </w:r>
                      </w:p>
                    </w:tc>
                    <w:tc>
                      <w:tcPr>
                        <w:tcW w:w="1104" w:type="pct"/>
                        <w:vAlign w:val="center"/>
                      </w:tcPr>
                      <w:p>
                        <w:pPr>
                          <w:rPr>
                            <w:szCs w:val="24"/>
                          </w:rPr>
                        </w:pPr>
                        <w:r>
                          <w:rPr>
                            <w:szCs w:val="24"/>
                          </w:rPr>
                          <w:t>Karnovskio indeksas 60 ir daugiau balų</w:t>
                        </w:r>
                      </w:p>
                    </w:tc>
                    <w:tc>
                      <w:tcPr>
                        <w:tcW w:w="779" w:type="pct"/>
                      </w:tcPr>
                      <w:p>
                        <w:pPr>
                          <w:jc w:val="center"/>
                          <w:rPr>
                            <w:szCs w:val="24"/>
                          </w:rPr>
                        </w:pPr>
                        <w:r>
                          <w:rPr>
                            <w:szCs w:val="24"/>
                          </w:rPr>
                          <w:t>16</w:t>
                        </w:r>
                      </w:p>
                    </w:tc>
                  </w:tr>
                  <w:tr>
                    <w:trPr>
                      <w:gridAfter w:val="1"/>
                      <w:wAfter w:w="43" w:type="dxa"/>
                      <w:cantSplit/>
                      <w:trHeight w:val="272"/>
                    </w:trPr>
                    <w:tc>
                      <w:tcPr>
                        <w:tcW w:w="5000" w:type="pct"/>
                        <w:gridSpan w:val="5"/>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masažas – 6 procedūros, fizioterapija – 10 procedūrų, 3 medicinos psichologo konsultacijos. Paslaugos, teikiamos pagal indikacijas: medikamentinis gydymas,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 xml:space="preserve">gydymo stacionare ligos istorijoje (forma Nr. 003/a). </w:t>
                        </w:r>
                      </w:p>
                    </w:tc>
                  </w:tr>
                  <w:tr>
                    <w:trPr>
                      <w:gridAfter w:val="1"/>
                      <w:wAfter w:w="43" w:type="dxa"/>
                      <w:cantSplit/>
                      <w:trHeight w:val="746"/>
                    </w:trPr>
                    <w:tc>
                      <w:tcPr>
                        <w:tcW w:w="3117" w:type="pct"/>
                        <w:gridSpan w:val="2"/>
                        <w:vAlign w:val="center"/>
                      </w:tcPr>
                      <w:p>
                        <w:pPr>
                          <w:rPr>
                            <w:szCs w:val="24"/>
                          </w:rPr>
                        </w:pPr>
                        <w:r>
                          <w:rPr>
                            <w:szCs w:val="24"/>
                          </w:rPr>
                          <w:t xml:space="preserve">Lėtiniai nespecifiniai plaučių susirgimai: bronchų astma, bronchektazinė liga </w:t>
                        </w:r>
                      </w:p>
                      <w:p>
                        <w:pPr>
                          <w:rPr>
                            <w:szCs w:val="24"/>
                          </w:rPr>
                        </w:pPr>
                        <w:r>
                          <w:rPr>
                            <w:szCs w:val="24"/>
                          </w:rPr>
                          <w:t>J44; J45; J47; Z57.2; Z57.6</w:t>
                        </w:r>
                      </w:p>
                    </w:tc>
                    <w:tc>
                      <w:tcPr>
                        <w:tcW w:w="1104" w:type="pct"/>
                        <w:gridSpan w:val="2"/>
                        <w:shd w:val="clear" w:color="auto" w:fill="FFFFFF"/>
                        <w:vAlign w:val="center"/>
                      </w:tcPr>
                      <w:p>
                        <w:pPr>
                          <w:rPr>
                            <w:szCs w:val="24"/>
                          </w:rPr>
                        </w:pPr>
                        <w:r>
                          <w:rPr>
                            <w:szCs w:val="24"/>
                          </w:rPr>
                          <w:t>I–II laipsnio kvėpavimo nepakankamumas</w:t>
                        </w:r>
                      </w:p>
                    </w:tc>
                    <w:tc>
                      <w:tcPr>
                        <w:tcW w:w="779" w:type="pct"/>
                        <w:shd w:val="clear" w:color="auto" w:fill="FFFFFF"/>
                        <w:vAlign w:val="center"/>
                      </w:tcPr>
                      <w:p>
                        <w:pPr>
                          <w:ind w:firstLine="620"/>
                          <w:rPr>
                            <w:szCs w:val="24"/>
                          </w:rPr>
                        </w:pPr>
                        <w:r>
                          <w:rPr>
                            <w:szCs w:val="24"/>
                          </w:rPr>
                          <w:t>14</w:t>
                        </w:r>
                      </w:p>
                    </w:tc>
                  </w:tr>
                  <w:tr>
                    <w:trPr>
                      <w:gridAfter w:val="1"/>
                      <w:wAfter w:w="43" w:type="dxa"/>
                      <w:cantSplit/>
                      <w:trHeight w:val="423"/>
                    </w:trPr>
                    <w:tc>
                      <w:tcPr>
                        <w:tcW w:w="3117" w:type="pct"/>
                        <w:gridSpan w:val="2"/>
                        <w:vAlign w:val="center"/>
                      </w:tcPr>
                      <w:p>
                        <w:pPr>
                          <w:rPr>
                            <w:szCs w:val="24"/>
                          </w:rPr>
                        </w:pPr>
                        <w:r>
                          <w:rPr>
                            <w:szCs w:val="24"/>
                          </w:rPr>
                          <w:t>Plaučių uždegimas J12-J18, J85</w:t>
                        </w:r>
                      </w:p>
                    </w:tc>
                    <w:tc>
                      <w:tcPr>
                        <w:tcW w:w="1104" w:type="pct"/>
                        <w:gridSpan w:val="2"/>
                        <w:shd w:val="clear" w:color="auto" w:fill="FFFFFF"/>
                        <w:vAlign w:val="center"/>
                      </w:tcPr>
                      <w:p>
                        <w:pPr>
                          <w:rPr>
                            <w:szCs w:val="24"/>
                          </w:rPr>
                        </w:pPr>
                        <w:r>
                          <w:rPr>
                            <w:szCs w:val="24"/>
                          </w:rPr>
                          <w:t>Kai ligos eiga užsitęsusi ir (ar) komplikuota</w:t>
                        </w:r>
                      </w:p>
                    </w:tc>
                    <w:tc>
                      <w:tcPr>
                        <w:tcW w:w="779" w:type="pct"/>
                        <w:shd w:val="clear" w:color="auto" w:fill="FFFFFF"/>
                      </w:tcPr>
                      <w:p>
                        <w:pPr>
                          <w:ind w:firstLine="528"/>
                          <w:rPr>
                            <w:szCs w:val="24"/>
                          </w:rPr>
                        </w:pPr>
                        <w:r>
                          <w:rPr>
                            <w:szCs w:val="24"/>
                          </w:rPr>
                          <w:t>14</w:t>
                        </w:r>
                      </w:p>
                    </w:tc>
                  </w:tr>
                  <w:tr>
                    <w:trPr>
                      <w:gridAfter w:val="1"/>
                      <w:wAfter w:w="43" w:type="dxa"/>
                      <w:cantSplit/>
                      <w:trHeight w:val="990"/>
                    </w:trPr>
                    <w:tc>
                      <w:tcPr>
                        <w:tcW w:w="3117" w:type="pct"/>
                        <w:gridSpan w:val="2"/>
                        <w:vAlign w:val="center"/>
                      </w:tcPr>
                      <w:p>
                        <w:pPr>
                          <w:rPr>
                            <w:szCs w:val="24"/>
                          </w:rPr>
                        </w:pPr>
                        <w:r>
                          <w:rPr>
                            <w:szCs w:val="24"/>
                          </w:rPr>
                          <w:t>Užsitęsęs ūmus obstrukcinis bronchitas J20</w:t>
                        </w:r>
                      </w:p>
                    </w:tc>
                    <w:tc>
                      <w:tcPr>
                        <w:tcW w:w="1104" w:type="pct"/>
                        <w:gridSpan w:val="2"/>
                        <w:shd w:val="clear" w:color="auto" w:fill="FFFFFF"/>
                        <w:vAlign w:val="center"/>
                      </w:tcPr>
                      <w:p>
                        <w:pPr>
                          <w:rPr>
                            <w:szCs w:val="24"/>
                          </w:rPr>
                        </w:pPr>
                        <w:r>
                          <w:rPr>
                            <w:szCs w:val="24"/>
                          </w:rPr>
                          <w:t>Bronchų hiperaktyvumas, patvirtintas spirografijos objektyviais duomenimis</w:t>
                        </w:r>
                      </w:p>
                    </w:tc>
                    <w:tc>
                      <w:tcPr>
                        <w:tcW w:w="779" w:type="pct"/>
                        <w:shd w:val="clear" w:color="auto" w:fill="FFFFFF"/>
                      </w:tcPr>
                      <w:p>
                        <w:pPr>
                          <w:ind w:firstLine="528"/>
                          <w:rPr>
                            <w:szCs w:val="24"/>
                          </w:rPr>
                        </w:pPr>
                        <w:r>
                          <w:rPr>
                            <w:szCs w:val="24"/>
                          </w:rPr>
                          <w:t>14</w:t>
                        </w:r>
                      </w:p>
                    </w:tc>
                  </w:tr>
                  <w:tr>
                    <w:trPr>
                      <w:gridAfter w:val="1"/>
                      <w:wAfter w:w="43" w:type="dxa"/>
                      <w:cantSplit/>
                      <w:trHeight w:val="272"/>
                    </w:trPr>
                    <w:tc>
                      <w:tcPr>
                        <w:tcW w:w="5000" w:type="pct"/>
                        <w:gridSpan w:val="5"/>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masažas – 5 procedūros, fizioterapija – 10 procedūrų, 2 medicinos psichologo konsultacijos. Paslaugos, teikiamos pagal indikacijas: paciento ir jo artimųjų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bCs/>
                            <w:kern w:val="36"/>
                            <w:szCs w:val="24"/>
                            <w:lang w:eastAsia="lt-LT"/>
                          </w:rPr>
                        </w:pPr>
                        <w:r>
                          <w:rPr>
                            <w:bCs/>
                            <w:kern w:val="36"/>
                            <w:szCs w:val="24"/>
                            <w:lang w:eastAsia="lt-LT"/>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rPr>
                      <w:gridAfter w:val="1"/>
                      <w:wAfter w:w="43" w:type="dxa"/>
                      <w:cantSplit/>
                      <w:trHeight w:val="272"/>
                    </w:trPr>
                    <w:tc>
                      <w:tcPr>
                        <w:tcW w:w="3154" w:type="pct"/>
                        <w:gridSpan w:val="3"/>
                        <w:vAlign w:val="center"/>
                      </w:tcPr>
                      <w:p>
                        <w:pPr>
                          <w:rPr>
                            <w:szCs w:val="24"/>
                          </w:rPr>
                        </w:pPr>
                        <w:r>
                          <w:rPr>
                            <w:szCs w:val="24"/>
                          </w:rPr>
                          <w:t xml:space="preserve">Komplikuotos plaučių ligos: D 14.2–D 15; E 84.0; </w:t>
                          <w:br/>
                          <w:t>J 12–J 18; J 20; J 44; J 45; J 47; J 85; Z 57.2</w:t>
                        </w:r>
                      </w:p>
                    </w:tc>
                    <w:tc>
                      <w:tcPr>
                        <w:tcW w:w="1067" w:type="pct"/>
                        <w:vAlign w:val="center"/>
                      </w:tcPr>
                      <w:p>
                        <w:pPr>
                          <w:rPr>
                            <w:szCs w:val="24"/>
                          </w:rPr>
                        </w:pPr>
                        <w:r>
                          <w:rPr>
                            <w:szCs w:val="24"/>
                          </w:rPr>
                          <w:t>I–II laipsnio kvėpavimo nepakankamumas</w:t>
                        </w:r>
                      </w:p>
                    </w:tc>
                    <w:tc>
                      <w:tcPr>
                        <w:tcW w:w="779" w:type="pct"/>
                      </w:tcPr>
                      <w:p>
                        <w:pPr>
                          <w:jc w:val="center"/>
                          <w:rPr>
                            <w:szCs w:val="24"/>
                          </w:rPr>
                        </w:pPr>
                        <w:r>
                          <w:rPr>
                            <w:szCs w:val="24"/>
                          </w:rPr>
                          <w:t>14</w:t>
                        </w:r>
                      </w:p>
                    </w:tc>
                  </w:tr>
                  <w:tr>
                    <w:trPr>
                      <w:gridAfter w:val="1"/>
                      <w:wAfter w:w="43" w:type="dxa"/>
                      <w:cantSplit/>
                      <w:trHeight w:val="272"/>
                    </w:trPr>
                    <w:tc>
                      <w:tcPr>
                        <w:tcW w:w="3154" w:type="pct"/>
                        <w:gridSpan w:val="3"/>
                        <w:vAlign w:val="center"/>
                      </w:tcPr>
                      <w:p>
                        <w:pPr>
                          <w:rPr>
                            <w:szCs w:val="24"/>
                          </w:rPr>
                        </w:pPr>
                        <w:r>
                          <w:rPr>
                            <w:szCs w:val="24"/>
                          </w:rPr>
                          <w:t xml:space="preserve">Lėtiniai nespecifiniai plaučių susirgimai J 44 </w:t>
                        </w:r>
                      </w:p>
                    </w:tc>
                    <w:tc>
                      <w:tcPr>
                        <w:tcW w:w="1067" w:type="pct"/>
                        <w:vAlign w:val="center"/>
                      </w:tcPr>
                      <w:p>
                        <w:pPr>
                          <w:rPr>
                            <w:szCs w:val="24"/>
                          </w:rPr>
                        </w:pPr>
                        <w:r>
                          <w:rPr>
                            <w:szCs w:val="24"/>
                          </w:rPr>
                          <w:t>Ligos paūmėjimas</w:t>
                        </w:r>
                      </w:p>
                    </w:tc>
                    <w:tc>
                      <w:tcPr>
                        <w:tcW w:w="779" w:type="pct"/>
                        <w:vAlign w:val="center"/>
                      </w:tcPr>
                      <w:p>
                        <w:pPr>
                          <w:jc w:val="center"/>
                          <w:rPr>
                            <w:szCs w:val="24"/>
                          </w:rPr>
                        </w:pPr>
                        <w:r>
                          <w:rPr>
                            <w:szCs w:val="24"/>
                          </w:rPr>
                          <w:t>12</w:t>
                        </w:r>
                      </w:p>
                    </w:tc>
                  </w:tr>
                  <w:tr>
                    <w:trPr>
                      <w:gridAfter w:val="1"/>
                      <w:wAfter w:w="43" w:type="dxa"/>
                      <w:cantSplit/>
                      <w:trHeight w:val="272"/>
                    </w:trPr>
                    <w:tc>
                      <w:tcPr>
                        <w:tcW w:w="3154" w:type="pct"/>
                        <w:gridSpan w:val="3"/>
                        <w:vAlign w:val="center"/>
                      </w:tcPr>
                      <w:p>
                        <w:pPr>
                          <w:rPr>
                            <w:szCs w:val="24"/>
                          </w:rPr>
                        </w:pPr>
                        <w:r>
                          <w:rPr>
                            <w:szCs w:val="24"/>
                          </w:rPr>
                          <w:t>Užsitęsęs ūmus obstrukcinis bronchitas J 20</w:t>
                        </w:r>
                      </w:p>
                    </w:tc>
                    <w:tc>
                      <w:tcPr>
                        <w:tcW w:w="1067" w:type="pct"/>
                        <w:vAlign w:val="center"/>
                      </w:tcPr>
                      <w:p>
                        <w:pPr>
                          <w:rPr>
                            <w:szCs w:val="24"/>
                          </w:rPr>
                        </w:pPr>
                        <w:r>
                          <w:rPr>
                            <w:szCs w:val="24"/>
                          </w:rPr>
                          <w:t>Obstrukcinis sindromas, patvirtintas kliniškai ir spirografiškai</w:t>
                        </w:r>
                      </w:p>
                    </w:tc>
                    <w:tc>
                      <w:tcPr>
                        <w:tcW w:w="779" w:type="pct"/>
                        <w:vAlign w:val="center"/>
                      </w:tcPr>
                      <w:p>
                        <w:pPr>
                          <w:jc w:val="center"/>
                          <w:rPr>
                            <w:szCs w:val="24"/>
                          </w:rPr>
                        </w:pPr>
                        <w:r>
                          <w:rPr>
                            <w:szCs w:val="24"/>
                          </w:rPr>
                          <w:t>12</w:t>
                        </w:r>
                      </w:p>
                    </w:tc>
                  </w:tr>
                  <w:tr>
                    <w:trPr>
                      <w:gridAfter w:val="1"/>
                      <w:wAfter w:w="43" w:type="dxa"/>
                      <w:cantSplit/>
                      <w:trHeight w:val="272"/>
                    </w:trPr>
                    <w:tc>
                      <w:tcPr>
                        <w:tcW w:w="3154" w:type="pct"/>
                        <w:gridSpan w:val="3"/>
                        <w:vAlign w:val="center"/>
                      </w:tcPr>
                      <w:p>
                        <w:pPr>
                          <w:rPr>
                            <w:szCs w:val="24"/>
                          </w:rPr>
                        </w:pPr>
                        <w:r>
                          <w:rPr>
                            <w:szCs w:val="24"/>
                          </w:rPr>
                          <w:t>Bronchų astma J 45</w:t>
                        </w:r>
                      </w:p>
                    </w:tc>
                    <w:tc>
                      <w:tcPr>
                        <w:tcW w:w="1067" w:type="pct"/>
                        <w:vAlign w:val="center"/>
                      </w:tcPr>
                      <w:p>
                        <w:pPr>
                          <w:rPr>
                            <w:szCs w:val="24"/>
                          </w:rPr>
                        </w:pPr>
                        <w:r>
                          <w:rPr>
                            <w:szCs w:val="24"/>
                          </w:rPr>
                          <w:t>Lengva forma, paūmėjimas</w:t>
                        </w:r>
                      </w:p>
                    </w:tc>
                    <w:tc>
                      <w:tcPr>
                        <w:tcW w:w="779" w:type="pct"/>
                        <w:vAlign w:val="center"/>
                      </w:tcPr>
                      <w:p>
                        <w:pPr>
                          <w:jc w:val="center"/>
                          <w:rPr>
                            <w:szCs w:val="24"/>
                          </w:rPr>
                        </w:pPr>
                        <w:r>
                          <w:rPr>
                            <w:szCs w:val="24"/>
                          </w:rPr>
                          <w:t>12</w:t>
                        </w:r>
                      </w:p>
                    </w:tc>
                  </w:tr>
                  <w:tr>
                    <w:trPr>
                      <w:gridAfter w:val="1"/>
                      <w:wAfter w:w="43" w:type="dxa"/>
                      <w:cantSplit/>
                      <w:trHeight w:val="272"/>
                    </w:trPr>
                    <w:tc>
                      <w:tcPr>
                        <w:tcW w:w="3154" w:type="pct"/>
                        <w:gridSpan w:val="3"/>
                        <w:vAlign w:val="center"/>
                      </w:tcPr>
                      <w:p>
                        <w:pPr>
                          <w:rPr>
                            <w:szCs w:val="24"/>
                          </w:rPr>
                        </w:pPr>
                        <w:r>
                          <w:rPr>
                            <w:szCs w:val="24"/>
                          </w:rPr>
                          <w:t>Bronchektazinė liga J 47</w:t>
                        </w:r>
                      </w:p>
                    </w:tc>
                    <w:tc>
                      <w:tcPr>
                        <w:tcW w:w="1067" w:type="pct"/>
                        <w:vAlign w:val="center"/>
                      </w:tcPr>
                      <w:p>
                        <w:pPr>
                          <w:rPr>
                            <w:szCs w:val="24"/>
                          </w:rPr>
                        </w:pPr>
                        <w:r>
                          <w:rPr>
                            <w:szCs w:val="24"/>
                          </w:rPr>
                          <w:t>I–II laipsnio kvėpavimo nepakankamumas</w:t>
                        </w:r>
                      </w:p>
                    </w:tc>
                    <w:tc>
                      <w:tcPr>
                        <w:tcW w:w="779" w:type="pct"/>
                        <w:vAlign w:val="center"/>
                      </w:tcPr>
                      <w:p>
                        <w:pPr>
                          <w:jc w:val="center"/>
                          <w:rPr>
                            <w:szCs w:val="24"/>
                          </w:rPr>
                        </w:pPr>
                        <w:r>
                          <w:rPr>
                            <w:szCs w:val="24"/>
                          </w:rPr>
                          <w:t>12</w:t>
                        </w:r>
                      </w:p>
                    </w:tc>
                  </w:tr>
                </w:tbl>
                <w:p>
                  <w:pPr>
                    <w:rPr>
                      <w:iCs/>
                      <w:szCs w:val="24"/>
                    </w:rPr>
                  </w:pPr>
                </w:p>
                <w:p>
                  <w:pPr>
                    <w:rPr>
                      <w:b/>
                      <w:iCs/>
                      <w:szCs w:val="24"/>
                    </w:rPr>
                  </w:pPr>
                  <w:r>
                    <w:rPr>
                      <w:b/>
                      <w:iCs/>
                      <w:szCs w:val="24"/>
                    </w:rPr>
                    <w:br w:type="page"/>
                  </w:r>
                </w:p>
              </w:sdtContent>
            </w:sdt>
            <w:sdt>
              <w:sdtPr>
                <w:alias w:val="poskyris"/>
                <w:tag w:val="part_68d473eda99243f2a276245108de32a4"/>
                <w:lock w:val="sdtLocked"/>
                <w:richText/>
              </w:sdtPr>
              <w:sdtContent>
                <w:p>
                  <w:pPr>
                    <w:jc w:val="center"/>
                    <w:rPr>
                      <w:b/>
                      <w:iCs/>
                      <w:szCs w:val="24"/>
                    </w:rPr>
                  </w:pPr>
                  <w:sdt>
                    <w:sdtPr>
                      <w:alias w:val="Pavadinimas"/>
                      <w:tag w:val="title_68d473eda99243f2a276245108de32a4"/>
                      <w:lock w:val="sdtLocked"/>
                      <w:richText/>
                    </w:sdtPr>
                    <w:sdtContent>
                      <w:r>
                        <w:rPr>
                          <w:b/>
                          <w:iCs/>
                          <w:szCs w:val="24"/>
                        </w:rPr>
                        <w:t>Jungiamojo audinio ir raumenų bei skeleto ligos</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72"/>
                    <w:gridCol w:w="2640"/>
                    <w:gridCol w:w="1776"/>
                    <w:gridCol w:w="366"/>
                  </w:tblGrid>
                  <w:tr>
                    <w:trPr>
                      <w:gridAfter w:val="1"/>
                      <w:wAfter w:w="45" w:type="dxa"/>
                      <w:cantSplit/>
                      <w:trHeight w:val="1104"/>
                      <w:tblHeader/>
                    </w:trPr>
                    <w:tc>
                      <w:tcPr>
                        <w:tcW w:w="3117" w:type="pct"/>
                        <w:vAlign w:val="center"/>
                      </w:tcPr>
                      <w:p>
                        <w:pPr>
                          <w:jc w:val="center"/>
                          <w:rPr>
                            <w:szCs w:val="24"/>
                          </w:rPr>
                        </w:pPr>
                        <w:r>
                          <w:rPr>
                            <w:szCs w:val="24"/>
                          </w:rPr>
                          <w:t>Diagnozės</w:t>
                        </w:r>
                      </w:p>
                    </w:tc>
                    <w:tc>
                      <w:tcPr>
                        <w:tcW w:w="1104" w:type="pct"/>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77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gridAfter w:val="1"/>
                      <w:wAfter w:w="45" w:type="dxa"/>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4 procedūros, fizioterapija – 5 procedūros, 2 medicinos psichologo konsultacijos, 1 socialinio darbuotojo konsultacija. Paslaugos, teikiamos pagal indikacijas: medikamentinis gydymas, paciento ir jo artimųjų mokymas ir kt. paslaugos. Tyrimų mastas vienam pacientui per 10 darbo dienų: tyrimai pagal indikacijas.</w:t>
                        </w:r>
                      </w:p>
                      <w:p>
                        <w:pPr>
                          <w:jc w:val="both"/>
                          <w:rPr>
                            <w:spacing w:val="-4"/>
                            <w:szCs w:val="24"/>
                          </w:rPr>
                        </w:pPr>
                        <w:r>
                          <w:rPr>
                            <w:spacing w:val="-4"/>
                            <w:szCs w:val="24"/>
                          </w:rPr>
                          <w:t xml:space="preserve">Antrinio lygio sveikatos priežiūros paslaugas teikiantys konsultantai: </w:t>
                        </w:r>
                        <w:r>
                          <w:rPr>
                            <w:szCs w:val="24"/>
                          </w:rPr>
                          <w:t>gydytojas</w:t>
                        </w:r>
                        <w:r>
                          <w:rPr>
                            <w:spacing w:val="-4"/>
                            <w:szCs w:val="24"/>
                          </w:rPr>
                          <w:t xml:space="preserve"> neurologas, </w:t>
                        </w:r>
                        <w:r>
                          <w:rPr>
                            <w:szCs w:val="24"/>
                          </w:rPr>
                          <w:t>gydytojas</w:t>
                        </w:r>
                        <w:r>
                          <w:rPr>
                            <w:spacing w:val="-4"/>
                            <w:szCs w:val="24"/>
                          </w:rPr>
                          <w:t xml:space="preserve">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gydymo stacionare ligos istorijoje (forma Nr. 003/a).</w:t>
                        </w:r>
                      </w:p>
                    </w:tc>
                  </w:tr>
                  <w:tr>
                    <w:trPr>
                      <w:gridAfter w:val="1"/>
                      <w:wAfter w:w="45" w:type="dxa"/>
                      <w:cantSplit/>
                      <w:trHeight w:val="592"/>
                    </w:trPr>
                    <w:tc>
                      <w:tcPr>
                        <w:tcW w:w="3117" w:type="pct"/>
                        <w:vAlign w:val="center"/>
                      </w:tcPr>
                      <w:p>
                        <w:pPr>
                          <w:keepNext/>
                          <w:outlineLvl w:val="3"/>
                          <w:rPr>
                            <w:bCs/>
                            <w:szCs w:val="24"/>
                          </w:rPr>
                        </w:pPr>
                        <w:r>
                          <w:rPr>
                            <w:bCs/>
                            <w:szCs w:val="24"/>
                          </w:rPr>
                          <w:t xml:space="preserve">Po ilgųjų, dubens kaulų lūžių ir susirgimų D 16.1–3; D 16.8; S72; S 82; S 83.7; S 86.0; T02 </w:t>
                        </w:r>
                      </w:p>
                    </w:tc>
                    <w:tc>
                      <w:tcPr>
                        <w:tcW w:w="1104" w:type="pct"/>
                      </w:tcPr>
                      <w:p>
                        <w:pPr>
                          <w:rPr>
                            <w:szCs w:val="24"/>
                          </w:rPr>
                        </w:pPr>
                        <w:r>
                          <w:rPr>
                            <w:szCs w:val="24"/>
                          </w:rPr>
                          <w:t>Kai pacientą galima aktyvinti, Bartelio indeksas daugiau kaip 80 balų, modifikuotas Keitelio indeksas daugiau kaip 30 balų</w:t>
                        </w:r>
                      </w:p>
                    </w:tc>
                    <w:tc>
                      <w:tcPr>
                        <w:tcW w:w="779" w:type="pct"/>
                      </w:tcPr>
                      <w:p>
                        <w:pPr>
                          <w:jc w:val="center"/>
                          <w:rPr>
                            <w:szCs w:val="24"/>
                          </w:rPr>
                        </w:pPr>
                        <w:r>
                          <w:rPr>
                            <w:szCs w:val="24"/>
                          </w:rPr>
                          <w:t>18</w:t>
                        </w:r>
                      </w:p>
                    </w:tc>
                  </w:tr>
                  <w:tr>
                    <w:trPr>
                      <w:gridAfter w:val="1"/>
                      <w:wAfter w:w="45" w:type="dxa"/>
                      <w:cantSplit/>
                      <w:trHeight w:val="417"/>
                    </w:trPr>
                    <w:tc>
                      <w:tcPr>
                        <w:tcW w:w="3117" w:type="pct"/>
                        <w:vAlign w:val="center"/>
                      </w:tcPr>
                      <w:p>
                        <w:pPr>
                          <w:rPr>
                            <w:szCs w:val="24"/>
                          </w:rPr>
                        </w:pPr>
                        <w:r>
                          <w:rPr>
                            <w:szCs w:val="24"/>
                          </w:rPr>
                          <w:t>Po sąnarių operacijų (artroplastikos, osteotomijos, artrodezės, sąnario pakeitimo operacijos ir kt.) D 16.1–3; D 16.8; M 05–M 06; M 15–M 17; M 19; M 23–</w:t>
                        </w:r>
                        <w:r>
                          <w:rPr>
                            <w:bCs/>
                            <w:szCs w:val="24"/>
                            <w:shd w:val="clear" w:color="auto" w:fill="FFFFFF"/>
                          </w:rPr>
                          <w:t>M 24;</w:t>
                        </w:r>
                        <w:r>
                          <w:rPr>
                            <w:bCs/>
                            <w:szCs w:val="24"/>
                          </w:rPr>
                          <w:t xml:space="preserve"> M66; </w:t>
                        </w:r>
                        <w:r>
                          <w:rPr>
                            <w:szCs w:val="24"/>
                          </w:rPr>
                          <w:t xml:space="preserve">M 75; S 72; S 43; S 46; </w:t>
                        </w:r>
                        <w:r>
                          <w:rPr>
                            <w:bCs/>
                            <w:szCs w:val="24"/>
                          </w:rPr>
                          <w:t xml:space="preserve">S 83; </w:t>
                        </w:r>
                        <w:r>
                          <w:rPr>
                            <w:szCs w:val="24"/>
                          </w:rPr>
                          <w:t>Z 96.6.</w:t>
                        </w:r>
                      </w:p>
                    </w:tc>
                    <w:tc>
                      <w:tcPr>
                        <w:tcW w:w="1104" w:type="pct"/>
                      </w:tcPr>
                      <w:p>
                        <w:pPr>
                          <w:rPr>
                            <w:szCs w:val="24"/>
                          </w:rPr>
                        </w:pPr>
                        <w:r>
                          <w:rPr>
                            <w:szCs w:val="24"/>
                          </w:rPr>
                          <w:t>Bartelio indeksas daugiau kaip 80 balų, modifikuotas Keitelio indeksas daugiau kaip 30 balų</w:t>
                        </w:r>
                      </w:p>
                    </w:tc>
                    <w:tc>
                      <w:tcPr>
                        <w:tcW w:w="779" w:type="pct"/>
                      </w:tcPr>
                      <w:p>
                        <w:pPr>
                          <w:jc w:val="center"/>
                          <w:rPr>
                            <w:szCs w:val="24"/>
                          </w:rPr>
                        </w:pPr>
                        <w:r>
                          <w:rPr>
                            <w:szCs w:val="24"/>
                          </w:rPr>
                          <w:t>18</w:t>
                        </w:r>
                      </w:p>
                    </w:tc>
                  </w:tr>
                  <w:tr>
                    <w:trPr>
                      <w:gridAfter w:val="1"/>
                      <w:wAfter w:w="45" w:type="dxa"/>
                      <w:cantSplit/>
                      <w:trHeight w:val="415"/>
                    </w:trPr>
                    <w:tc>
                      <w:tcPr>
                        <w:tcW w:w="3117" w:type="pct"/>
                        <w:vAlign w:val="center"/>
                      </w:tcPr>
                      <w:p>
                        <w:pPr>
                          <w:rPr>
                            <w:szCs w:val="24"/>
                          </w:rPr>
                        </w:pPr>
                        <w:r>
                          <w:rPr>
                            <w:szCs w:val="24"/>
                          </w:rPr>
                          <w:t xml:space="preserve">Po neurologiškai nekomplikuoto kompresinio stuburo slankstelio lūžimo </w:t>
                        </w:r>
                      </w:p>
                      <w:p>
                        <w:pPr>
                          <w:rPr>
                            <w:szCs w:val="24"/>
                          </w:rPr>
                        </w:pPr>
                        <w:r>
                          <w:rPr>
                            <w:szCs w:val="24"/>
                          </w:rPr>
                          <w:t>S 22.0–1; S 32</w:t>
                        </w:r>
                      </w:p>
                    </w:tc>
                    <w:tc>
                      <w:tcPr>
                        <w:tcW w:w="1104" w:type="pct"/>
                      </w:tcPr>
                      <w:p>
                        <w:pPr>
                          <w:rPr>
                            <w:szCs w:val="24"/>
                          </w:rPr>
                        </w:pPr>
                        <w:r>
                          <w:rPr>
                            <w:szCs w:val="24"/>
                          </w:rPr>
                          <w:t>Kai pacientą galima aktyvinti, Bartelio indeksas daugiau kaip 80 balų</w:t>
                        </w:r>
                      </w:p>
                    </w:tc>
                    <w:tc>
                      <w:tcPr>
                        <w:tcW w:w="779" w:type="pct"/>
                      </w:tcPr>
                      <w:p>
                        <w:pPr>
                          <w:jc w:val="center"/>
                          <w:rPr>
                            <w:szCs w:val="24"/>
                          </w:rPr>
                        </w:pPr>
                        <w:r>
                          <w:rPr>
                            <w:szCs w:val="24"/>
                          </w:rPr>
                          <w:t>18</w:t>
                        </w:r>
                      </w:p>
                    </w:tc>
                  </w:tr>
                  <w:tr>
                    <w:trPr>
                      <w:gridAfter w:val="1"/>
                      <w:wAfter w:w="45" w:type="dxa"/>
                      <w:cantSplit/>
                      <w:trHeight w:val="545"/>
                    </w:trPr>
                    <w:tc>
                      <w:tcPr>
                        <w:tcW w:w="3117" w:type="pct"/>
                        <w:vAlign w:val="center"/>
                      </w:tcPr>
                      <w:p>
                        <w:pPr>
                          <w:rPr>
                            <w:szCs w:val="24"/>
                          </w:rPr>
                        </w:pPr>
                        <w:r>
                          <w:rPr>
                            <w:szCs w:val="24"/>
                          </w:rPr>
                          <w:t>Po mikrochirurginių galūnių operacijų S 68; S 98</w:t>
                        </w:r>
                      </w:p>
                    </w:tc>
                    <w:tc>
                      <w:tcPr>
                        <w:tcW w:w="1104" w:type="pct"/>
                      </w:tcPr>
                      <w:p>
                        <w:pPr>
                          <w:rPr>
                            <w:szCs w:val="24"/>
                          </w:rPr>
                        </w:pPr>
                        <w:r>
                          <w:rPr>
                            <w:szCs w:val="24"/>
                          </w:rPr>
                          <w:t>Modifikuotas Keitelio indeksas daugiau kaip 40 balų</w:t>
                        </w:r>
                      </w:p>
                    </w:tc>
                    <w:tc>
                      <w:tcPr>
                        <w:tcW w:w="779" w:type="pct"/>
                        <w:vAlign w:val="center"/>
                      </w:tcPr>
                      <w:p>
                        <w:pPr>
                          <w:jc w:val="center"/>
                          <w:rPr>
                            <w:szCs w:val="24"/>
                          </w:rPr>
                        </w:pPr>
                        <w:r>
                          <w:rPr>
                            <w:szCs w:val="24"/>
                          </w:rPr>
                          <w:t>18</w:t>
                        </w:r>
                      </w:p>
                    </w:tc>
                  </w:tr>
                  <w:tr>
                    <w:trPr>
                      <w:gridAfter w:val="1"/>
                      <w:wAfter w:w="45" w:type="dxa"/>
                      <w:cantSplit/>
                      <w:trHeight w:val="423"/>
                    </w:trPr>
                    <w:tc>
                      <w:tcPr>
                        <w:tcW w:w="3117" w:type="pct"/>
                        <w:vAlign w:val="center"/>
                      </w:tcPr>
                      <w:p>
                        <w:pPr>
                          <w:rPr>
                            <w:szCs w:val="24"/>
                          </w:rPr>
                        </w:pPr>
                        <w:r>
                          <w:rPr>
                            <w:szCs w:val="24"/>
                          </w:rPr>
                          <w:t xml:space="preserve">Artropatijos M 02–M 03 </w:t>
                        </w:r>
                      </w:p>
                      <w:p>
                        <w:pPr>
                          <w:rPr>
                            <w:szCs w:val="24"/>
                          </w:rPr>
                        </w:pPr>
                        <w:r>
                          <w:rPr>
                            <w:szCs w:val="24"/>
                          </w:rPr>
                          <w:t xml:space="preserve">Reumatoidinis artritas, ne didesnis kaip II laipsnio aktyvumas, II–III laipsnio funkcijos sutrikimas M 05–M 06 </w:t>
                        </w:r>
                      </w:p>
                      <w:p>
                        <w:pPr>
                          <w:rPr>
                            <w:szCs w:val="24"/>
                          </w:rPr>
                        </w:pPr>
                        <w:r>
                          <w:rPr>
                            <w:szCs w:val="24"/>
                          </w:rPr>
                          <w:t>Podagra ir kitos kristalinės artropatijos M 07; M 10; M 11</w:t>
                        </w:r>
                      </w:p>
                      <w:p>
                        <w:pPr>
                          <w:rPr>
                            <w:szCs w:val="24"/>
                          </w:rPr>
                        </w:pPr>
                        <w:r>
                          <w:rPr>
                            <w:szCs w:val="24"/>
                          </w:rPr>
                          <w:t xml:space="preserve">Sisteminės jungiamojo audinio ligos M 30–M 35 </w:t>
                        </w:r>
                      </w:p>
                    </w:tc>
                    <w:tc>
                      <w:tcPr>
                        <w:tcW w:w="1104" w:type="pct"/>
                      </w:tcPr>
                      <w:p>
                        <w:pPr>
                          <w:rPr>
                            <w:szCs w:val="24"/>
                          </w:rPr>
                        </w:pPr>
                        <w:r>
                          <w:rPr>
                            <w:szCs w:val="24"/>
                          </w:rPr>
                          <w:t>Keitelio indeksas daugiau kaip 65 balai</w:t>
                        </w:r>
                      </w:p>
                    </w:tc>
                    <w:tc>
                      <w:tcPr>
                        <w:tcW w:w="779" w:type="pct"/>
                      </w:tcPr>
                      <w:p>
                        <w:pPr>
                          <w:jc w:val="center"/>
                          <w:rPr>
                            <w:szCs w:val="24"/>
                          </w:rPr>
                        </w:pPr>
                        <w:r>
                          <w:rPr>
                            <w:szCs w:val="24"/>
                          </w:rPr>
                          <w:t>18</w:t>
                        </w:r>
                      </w:p>
                    </w:tc>
                  </w:tr>
                  <w:tr>
                    <w:trPr>
                      <w:gridAfter w:val="1"/>
                      <w:wAfter w:w="45" w:type="dxa"/>
                      <w:cantSplit/>
                      <w:trHeight w:val="545"/>
                    </w:trPr>
                    <w:tc>
                      <w:tcPr>
                        <w:tcW w:w="3117" w:type="pct"/>
                        <w:vAlign w:val="center"/>
                      </w:tcPr>
                      <w:p>
                        <w:pPr>
                          <w:rPr>
                            <w:szCs w:val="24"/>
                          </w:rPr>
                        </w:pPr>
                        <w:r>
                          <w:rPr>
                            <w:szCs w:val="24"/>
                          </w:rPr>
                          <w:t xml:space="preserve">Kelio, klubo, čiurnos sąnario osteoartrozė (II–III st., II laipsnio funkcijos nepakankamumas) M 16; M 17; M 19 </w:t>
                        </w:r>
                      </w:p>
                    </w:tc>
                    <w:tc>
                      <w:tcPr>
                        <w:tcW w:w="1104" w:type="pct"/>
                      </w:tcPr>
                      <w:p>
                        <w:pPr>
                          <w:rPr>
                            <w:szCs w:val="24"/>
                          </w:rPr>
                        </w:pPr>
                        <w:r>
                          <w:rPr>
                            <w:szCs w:val="24"/>
                          </w:rPr>
                          <w:t>Modifikuotas Keitelio indeksas daugiau kaip 30 balų</w:t>
                        </w:r>
                      </w:p>
                    </w:tc>
                    <w:tc>
                      <w:tcPr>
                        <w:tcW w:w="779" w:type="pct"/>
                      </w:tcPr>
                      <w:p>
                        <w:pPr>
                          <w:jc w:val="center"/>
                          <w:rPr>
                            <w:szCs w:val="24"/>
                          </w:rPr>
                        </w:pPr>
                        <w:r>
                          <w:rPr>
                            <w:szCs w:val="24"/>
                          </w:rPr>
                          <w:t>18</w:t>
                        </w:r>
                      </w:p>
                    </w:tc>
                  </w:tr>
                  <w:tr>
                    <w:tblPrEx>
                      <w:tblCellMar>
                        <w:left w:w="63" w:type="dxa"/>
                        <w:right w:w="63" w:type="dxa"/>
                      </w:tblCellMar>
                    </w:tblPrEx>
                    <w:trPr>
                      <w:gridBefore w:val="1"/>
                      <w:cantSplit/>
                      <w:trHeight w:val="495"/>
                    </w:trPr>
                    <w:tc>
                      <w:tcPr>
                        <w:tcW w:w="3117" w:type="pct"/>
                        <w:vAlign w:val="center"/>
                      </w:tcPr>
                      <w:p>
                        <w:pPr>
                          <w:ind w:hanging="9"/>
                          <w:rPr>
                            <w:szCs w:val="24"/>
                          </w:rPr>
                        </w:pPr>
                        <w:r>
                          <w:rPr>
                            <w:szCs w:val="24"/>
                          </w:rPr>
                          <w:t>Pacientų paruošimas pirminiam (gydomajam) protezavimui (bigių formavimas, konservatyvus kontraktūrų ir kitų komplikacijų po amputacijos gydymas) ir mokymas naudotis protezu bei vaikščioti T 05.0–6; T 11.6; T 13.6; Y 83.5; Q 71; Q 72; Z 89.1–8</w:t>
                        </w:r>
                      </w:p>
                    </w:tc>
                    <w:tc>
                      <w:tcPr>
                        <w:tcW w:w="1104" w:type="pct"/>
                      </w:tcPr>
                      <w:p>
                        <w:pPr>
                          <w:rPr>
                            <w:szCs w:val="24"/>
                          </w:rPr>
                        </w:pPr>
                      </w:p>
                    </w:tc>
                    <w:tc>
                      <w:tcPr>
                        <w:tcW w:w="779" w:type="pct"/>
                      </w:tcPr>
                      <w:p>
                        <w:pPr>
                          <w:jc w:val="center"/>
                          <w:rPr>
                            <w:szCs w:val="24"/>
                          </w:rPr>
                        </w:pPr>
                        <w:r>
                          <w:rPr>
                            <w:szCs w:val="24"/>
                          </w:rPr>
                          <w:t>18</w:t>
                        </w:r>
                      </w:p>
                    </w:tc>
                  </w:tr>
                  <w:tr>
                    <w:trPr>
                      <w:gridAfter w:val="1"/>
                      <w:wAfter w:w="45" w:type="dxa"/>
                      <w:cantSplit/>
                      <w:trHeight w:val="1120"/>
                    </w:trPr>
                    <w:tc>
                      <w:tcPr>
                        <w:tcW w:w="5000" w:type="pct"/>
                        <w:gridSpan w:val="3"/>
                      </w:tcPr>
                      <w:p>
                        <w:pPr>
                          <w:rPr>
                            <w:bCs/>
                            <w:kern w:val="36"/>
                            <w:szCs w:val="24"/>
                            <w:lang w:eastAsia="lt-LT"/>
                          </w:rPr>
                        </w:pPr>
                        <w:r>
                          <w:rPr>
                            <w:bCs/>
                            <w:kern w:val="36"/>
                            <w:szCs w:val="24"/>
                            <w:lang w:eastAsia="lt-LT"/>
                          </w:rPr>
                          <w:t>Sveikatos grąžinamasis gydymas</w:t>
                        </w:r>
                      </w:p>
                      <w:p>
                        <w:pPr>
                          <w:rPr>
                            <w:szCs w:val="24"/>
                          </w:rPr>
                        </w:pPr>
                        <w:r>
                          <w:rPr>
                            <w:szCs w:val="24"/>
                          </w:rPr>
                          <w:t>Paslaugos vienam pacientui per 10 darbo dienų: kineziterapija – 10 procedūrų, ergoterapija – 6 procedūros, masažas – 4 procedūros, fizioterapija – 10 procedūrų, 2 medicinos psichologo konsultacijos. Paslaugos, teikiamos pagal indikacijas: medikamentinis gydymas, paciento ir jo artimųjų mokymas ir kt. paslaugos. Tyrimų mastas vienam pacientui per 10 darbo dienų: tyrimai pagal indikacijas.</w:t>
                        </w:r>
                      </w:p>
                      <w:p>
                        <w:pPr>
                          <w:rPr>
                            <w:szCs w:val="24"/>
                          </w:rPr>
                        </w:pPr>
                        <w:r>
                          <w:rPr>
                            <w:szCs w:val="24"/>
                          </w:rPr>
                          <w:t>Antrinio lygio sveikatos priežiūros paslaugas teikiantys konsultantai: gydytojas traumatologas ortopedas ir kt.</w:t>
                        </w:r>
                      </w:p>
                      <w:p>
                        <w:pPr>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gydymo stacionare ligos istorijoje (forma Nr. 003/a).</w:t>
                        </w:r>
                      </w:p>
                    </w:tc>
                  </w:tr>
                  <w:tr>
                    <w:trPr>
                      <w:gridAfter w:val="1"/>
                      <w:wAfter w:w="45" w:type="dxa"/>
                      <w:cantSplit/>
                      <w:trHeight w:val="599"/>
                    </w:trPr>
                    <w:tc>
                      <w:tcPr>
                        <w:tcW w:w="3117" w:type="pct"/>
                        <w:tcBorders>
                          <w:bottom w:val="nil"/>
                        </w:tcBorders>
                        <w:vAlign w:val="center"/>
                      </w:tcPr>
                      <w:p>
                        <w:pPr>
                          <w:rPr>
                            <w:szCs w:val="24"/>
                          </w:rPr>
                        </w:pPr>
                        <w:r>
                          <w:rPr>
                            <w:szCs w:val="24"/>
                          </w:rPr>
                          <w:t>Po kaulų lūžių (kai sulėtėjusi konsolidacija, nustatyta raumenų hipotrofija, yra gretimų sąnarių kontraktūros) S42; S52; S62; S72; S82; S92; T02; T03</w:t>
                        </w:r>
                      </w:p>
                    </w:tc>
                    <w:tc>
                      <w:tcPr>
                        <w:tcW w:w="1104" w:type="pct"/>
                        <w:shd w:val="clear" w:color="auto" w:fill="FFFFFF"/>
                      </w:tcPr>
                      <w:p>
                        <w:pPr>
                          <w:rPr>
                            <w:szCs w:val="24"/>
                          </w:rPr>
                        </w:pPr>
                        <w:r>
                          <w:rPr>
                            <w:szCs w:val="24"/>
                          </w:rPr>
                          <w:t>Modifikuotas Keitelio indeksas daugiau kaip 40 balų.</w:t>
                        </w:r>
                      </w:p>
                    </w:tc>
                    <w:tc>
                      <w:tcPr>
                        <w:tcW w:w="779" w:type="pct"/>
                        <w:shd w:val="clear" w:color="auto" w:fill="FFFFFF"/>
                        <w:vAlign w:val="center"/>
                      </w:tcPr>
                      <w:p>
                        <w:pPr>
                          <w:jc w:val="center"/>
                          <w:rPr>
                            <w:szCs w:val="24"/>
                          </w:rPr>
                        </w:pPr>
                        <w:r>
                          <w:rPr>
                            <w:szCs w:val="24"/>
                          </w:rPr>
                          <w:t>16</w:t>
                        </w:r>
                      </w:p>
                    </w:tc>
                  </w:tr>
                  <w:tr>
                    <w:trPr>
                      <w:gridAfter w:val="1"/>
                      <w:wAfter w:w="45" w:type="dxa"/>
                      <w:cantSplit/>
                      <w:trHeight w:val="686"/>
                    </w:trPr>
                    <w:tc>
                      <w:tcPr>
                        <w:tcW w:w="3117" w:type="pct"/>
                        <w:shd w:val="clear" w:color="auto" w:fill="FFFFFF"/>
                        <w:vAlign w:val="center"/>
                      </w:tcPr>
                      <w:p>
                        <w:pPr>
                          <w:rPr>
                            <w:szCs w:val="24"/>
                          </w:rPr>
                        </w:pPr>
                        <w:r>
                          <w:rPr>
                            <w:szCs w:val="24"/>
                          </w:rPr>
                          <w:t>Po neurologiškai nekomplikuoto kompresinio stuburo slankstelio lūžio, dauginių kaklo išnirimų S12; S13.3; S22.0–1; S32</w:t>
                        </w:r>
                      </w:p>
                    </w:tc>
                    <w:tc>
                      <w:tcPr>
                        <w:tcW w:w="1104" w:type="pct"/>
                        <w:shd w:val="clear" w:color="auto" w:fill="FFFFFF"/>
                        <w:vAlign w:val="center"/>
                      </w:tcPr>
                      <w:p>
                        <w:pPr>
                          <w:rPr>
                            <w:szCs w:val="24"/>
                          </w:rPr>
                        </w:pPr>
                        <w:r>
                          <w:rPr>
                            <w:szCs w:val="24"/>
                          </w:rPr>
                          <w:t xml:space="preserve">Kai sulėtėjusi konsolidacija, nustatyta raumenų hipotrofija </w:t>
                        </w:r>
                      </w:p>
                      <w:p>
                        <w:pPr>
                          <w:rPr>
                            <w:szCs w:val="24"/>
                          </w:rPr>
                        </w:pPr>
                      </w:p>
                    </w:tc>
                    <w:tc>
                      <w:tcPr>
                        <w:tcW w:w="779" w:type="pct"/>
                        <w:shd w:val="clear" w:color="auto" w:fill="FFFFFF"/>
                      </w:tcPr>
                      <w:p>
                        <w:pPr>
                          <w:jc w:val="center"/>
                          <w:rPr>
                            <w:szCs w:val="24"/>
                          </w:rPr>
                        </w:pPr>
                        <w:r>
                          <w:rPr>
                            <w:szCs w:val="24"/>
                          </w:rPr>
                          <w:t>16</w:t>
                        </w:r>
                      </w:p>
                    </w:tc>
                  </w:tr>
                  <w:tr>
                    <w:trPr>
                      <w:gridAfter w:val="1"/>
                      <w:wAfter w:w="45" w:type="dxa"/>
                      <w:cantSplit/>
                      <w:trHeight w:val="348"/>
                    </w:trPr>
                    <w:tc>
                      <w:tcPr>
                        <w:tcW w:w="3117" w:type="pct"/>
                        <w:shd w:val="clear" w:color="auto" w:fill="FFFFFF"/>
                        <w:vAlign w:val="center"/>
                      </w:tcPr>
                      <w:p>
                        <w:pPr>
                          <w:rPr>
                            <w:szCs w:val="24"/>
                          </w:rPr>
                        </w:pPr>
                        <w:r>
                          <w:rPr>
                            <w:szCs w:val="24"/>
                          </w:rPr>
                          <w:t>Nudegimų ir nušalimų padariniai T95.0-4; T95.8-9</w:t>
                        </w:r>
                      </w:p>
                    </w:tc>
                    <w:tc>
                      <w:tcPr>
                        <w:tcW w:w="1104" w:type="pct"/>
                        <w:shd w:val="clear" w:color="auto" w:fill="FFFFFF"/>
                      </w:tcPr>
                      <w:p>
                        <w:pPr>
                          <w:rPr>
                            <w:szCs w:val="24"/>
                          </w:rPr>
                        </w:pPr>
                        <w:r>
                          <w:rPr>
                            <w:szCs w:val="24"/>
                          </w:rPr>
                          <w:t>Po stacionarinio gydymo</w:t>
                        </w:r>
                      </w:p>
                    </w:tc>
                    <w:tc>
                      <w:tcPr>
                        <w:tcW w:w="779" w:type="pct"/>
                        <w:shd w:val="clear" w:color="auto" w:fill="FFFFFF"/>
                      </w:tcPr>
                      <w:p>
                        <w:pPr>
                          <w:jc w:val="center"/>
                          <w:rPr>
                            <w:szCs w:val="24"/>
                          </w:rPr>
                        </w:pPr>
                        <w:r>
                          <w:rPr>
                            <w:szCs w:val="24"/>
                          </w:rPr>
                          <w:t>16</w:t>
                        </w:r>
                      </w:p>
                    </w:tc>
                  </w:tr>
                  <w:tr>
                    <w:trPr>
                      <w:gridAfter w:val="1"/>
                      <w:wAfter w:w="45" w:type="dxa"/>
                      <w:cantSplit/>
                      <w:trHeight w:val="645"/>
                    </w:trPr>
                    <w:tc>
                      <w:tcPr>
                        <w:tcW w:w="3117" w:type="pct"/>
                        <w:shd w:val="clear" w:color="auto" w:fill="FFFFFF"/>
                        <w:vAlign w:val="center"/>
                      </w:tcPr>
                      <w:p>
                        <w:pPr>
                          <w:rPr>
                            <w:szCs w:val="24"/>
                          </w:rPr>
                        </w:pPr>
                        <w:r>
                          <w:rPr>
                            <w:szCs w:val="24"/>
                          </w:rPr>
                          <w:t xml:space="preserve">Po sąnarių, sausgyslių, raumenų, raiščių sužalojimų, </w:t>
                        </w:r>
                      </w:p>
                      <w:p>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104" w:type="pct"/>
                        <w:shd w:val="clear" w:color="auto" w:fill="FFFFFF"/>
                      </w:tcPr>
                      <w:p>
                        <w:pPr>
                          <w:rPr>
                            <w:szCs w:val="24"/>
                          </w:rPr>
                        </w:pPr>
                        <w:r>
                          <w:rPr>
                            <w:szCs w:val="24"/>
                          </w:rPr>
                          <w:t xml:space="preserve">Kai yra raumenų hipotrofija, sąnarių kontraktūra </w:t>
                        </w:r>
                      </w:p>
                    </w:tc>
                    <w:tc>
                      <w:tcPr>
                        <w:tcW w:w="779" w:type="pct"/>
                        <w:shd w:val="clear" w:color="auto" w:fill="FFFFFF"/>
                      </w:tcPr>
                      <w:p>
                        <w:pPr>
                          <w:jc w:val="center"/>
                          <w:rPr>
                            <w:szCs w:val="24"/>
                          </w:rPr>
                        </w:pPr>
                        <w:r>
                          <w:rPr>
                            <w:szCs w:val="24"/>
                          </w:rPr>
                          <w:t>16</w:t>
                        </w:r>
                      </w:p>
                    </w:tc>
                  </w:tr>
                  <w:tr>
                    <w:trPr>
                      <w:gridAfter w:val="1"/>
                      <w:wAfter w:w="45" w:type="dxa"/>
                      <w:cantSplit/>
                      <w:trHeight w:val="198"/>
                    </w:trPr>
                    <w:tc>
                      <w:tcPr>
                        <w:tcW w:w="3117" w:type="pct"/>
                        <w:shd w:val="clear" w:color="auto" w:fill="FFFFFF"/>
                        <w:vAlign w:val="center"/>
                      </w:tcPr>
                      <w:p>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104" w:type="pct"/>
                        <w:shd w:val="clear" w:color="auto" w:fill="FFFFFF"/>
                        <w:vAlign w:val="center"/>
                      </w:tcPr>
                      <w:p>
                        <w:pPr>
                          <w:rPr>
                            <w:szCs w:val="24"/>
                          </w:rPr>
                        </w:pPr>
                        <w:r>
                          <w:rPr>
                            <w:szCs w:val="24"/>
                          </w:rPr>
                          <w:t>II laipsnio funkcijos sutrikimas, Keitelio indeksas daugiau kaip 70 balų (modifikuotas Keitelio indeksas daugiau 30 balų)</w:t>
                        </w:r>
                      </w:p>
                    </w:tc>
                    <w:tc>
                      <w:tcPr>
                        <w:tcW w:w="779" w:type="pct"/>
                        <w:shd w:val="clear" w:color="auto" w:fill="FFFFFF"/>
                      </w:tcPr>
                      <w:p>
                        <w:pPr>
                          <w:jc w:val="center"/>
                          <w:rPr>
                            <w:szCs w:val="24"/>
                          </w:rPr>
                        </w:pPr>
                        <w:r>
                          <w:rPr>
                            <w:szCs w:val="24"/>
                          </w:rPr>
                          <w:t>16</w:t>
                        </w:r>
                      </w:p>
                    </w:tc>
                  </w:tr>
                  <w:tr>
                    <w:trPr>
                      <w:gridAfter w:val="1"/>
                      <w:wAfter w:w="45" w:type="dxa"/>
                      <w:cantSplit/>
                      <w:trHeight w:val="198"/>
                    </w:trPr>
                    <w:tc>
                      <w:tcPr>
                        <w:tcW w:w="3117" w:type="pct"/>
                        <w:shd w:val="clear" w:color="auto" w:fill="FFFFFF"/>
                        <w:vAlign w:val="center"/>
                      </w:tcPr>
                      <w:p>
                        <w:pPr>
                          <w:rPr>
                            <w:szCs w:val="24"/>
                          </w:rPr>
                        </w:pPr>
                        <w:r>
                          <w:rPr>
                            <w:szCs w:val="24"/>
                          </w:rPr>
                          <w:t>Osteoporozė su patologiniu stuburo slankstelio lūžiu M80</w:t>
                        </w:r>
                      </w:p>
                    </w:tc>
                    <w:tc>
                      <w:tcPr>
                        <w:tcW w:w="1104" w:type="pct"/>
                        <w:shd w:val="clear" w:color="auto" w:fill="FFFFFF"/>
                        <w:vAlign w:val="center"/>
                      </w:tcPr>
                      <w:p>
                        <w:pPr>
                          <w:rPr>
                            <w:szCs w:val="24"/>
                          </w:rPr>
                        </w:pPr>
                        <w:r>
                          <w:rPr>
                            <w:szCs w:val="24"/>
                          </w:rPr>
                          <w:t>Bartelio indeksas daugiau kaip 80 balų</w:t>
                        </w:r>
                      </w:p>
                    </w:tc>
                    <w:tc>
                      <w:tcPr>
                        <w:tcW w:w="779" w:type="pct"/>
                        <w:shd w:val="clear" w:color="auto" w:fill="FFFFFF"/>
                      </w:tcPr>
                      <w:p>
                        <w:pPr>
                          <w:jc w:val="center"/>
                          <w:rPr>
                            <w:szCs w:val="24"/>
                          </w:rPr>
                        </w:pPr>
                        <w:r>
                          <w:rPr>
                            <w:szCs w:val="24"/>
                          </w:rPr>
                          <w:t>16</w:t>
                        </w:r>
                      </w:p>
                    </w:tc>
                  </w:tr>
                  <w:tr>
                    <w:trPr>
                      <w:gridAfter w:val="1"/>
                      <w:wAfter w:w="45" w:type="dxa"/>
                      <w:cantSplit/>
                      <w:trHeight w:val="198"/>
                    </w:trPr>
                    <w:tc>
                      <w:tcPr>
                        <w:tcW w:w="3117" w:type="pct"/>
                        <w:shd w:val="clear" w:color="auto" w:fill="FFFFFF"/>
                        <w:vAlign w:val="center"/>
                      </w:tcPr>
                      <w:p>
                        <w:pPr>
                          <w:rPr>
                            <w:szCs w:val="24"/>
                          </w:rPr>
                        </w:pPr>
                        <w:r>
                          <w:rPr>
                            <w:szCs w:val="24"/>
                          </w:rPr>
                          <w:t>Artropatijos M02.3; M02.8; M03.6</w:t>
                        </w:r>
                      </w:p>
                      <w:p>
                        <w:pPr>
                          <w:rPr>
                            <w:szCs w:val="24"/>
                          </w:rPr>
                        </w:pPr>
                      </w:p>
                    </w:tc>
                    <w:tc>
                      <w:tcPr>
                        <w:tcW w:w="1104" w:type="pct"/>
                        <w:shd w:val="clear" w:color="auto" w:fill="FFFFFF"/>
                      </w:tcPr>
                      <w:p>
                        <w:pPr>
                          <w:rPr>
                            <w:szCs w:val="24"/>
                          </w:rPr>
                        </w:pPr>
                        <w:r>
                          <w:rPr>
                            <w:szCs w:val="24"/>
                          </w:rPr>
                          <w:t>Modifikuotas Keitelio indeksas daugiau kaip 40 balų</w:t>
                        </w:r>
                      </w:p>
                    </w:tc>
                    <w:tc>
                      <w:tcPr>
                        <w:tcW w:w="779" w:type="pct"/>
                        <w:shd w:val="clear" w:color="auto" w:fill="FFFFFF"/>
                      </w:tcPr>
                      <w:p>
                        <w:pPr>
                          <w:jc w:val="center"/>
                          <w:rPr>
                            <w:szCs w:val="24"/>
                          </w:rPr>
                        </w:pPr>
                        <w:r>
                          <w:rPr>
                            <w:szCs w:val="24"/>
                          </w:rPr>
                          <w:t>16</w:t>
                        </w:r>
                      </w:p>
                    </w:tc>
                  </w:tr>
                  <w:tr>
                    <w:trPr>
                      <w:gridAfter w:val="1"/>
                      <w:wAfter w:w="45" w:type="dxa"/>
                      <w:cantSplit/>
                      <w:trHeight w:val="198"/>
                    </w:trPr>
                    <w:tc>
                      <w:tcPr>
                        <w:tcW w:w="3117" w:type="pct"/>
                        <w:vAlign w:val="center"/>
                      </w:tcPr>
                      <w:p>
                        <w:pPr>
                          <w:rPr>
                            <w:szCs w:val="24"/>
                          </w:rPr>
                        </w:pPr>
                        <w:r>
                          <w:rPr>
                            <w:szCs w:val="24"/>
                          </w:rPr>
                          <w:t>Po mikrochirurginių galūnių operacijų S68; S98</w:t>
                        </w:r>
                      </w:p>
                    </w:tc>
                    <w:tc>
                      <w:tcPr>
                        <w:tcW w:w="1104" w:type="pct"/>
                        <w:shd w:val="clear" w:color="auto" w:fill="FFFFFF"/>
                      </w:tcPr>
                      <w:p>
                        <w:pPr>
                          <w:rPr>
                            <w:szCs w:val="24"/>
                          </w:rPr>
                        </w:pPr>
                        <w:r>
                          <w:rPr>
                            <w:szCs w:val="24"/>
                          </w:rPr>
                          <w:t>Bartelio indeksas daugiau kaip 80 balų</w:t>
                        </w:r>
                      </w:p>
                    </w:tc>
                    <w:tc>
                      <w:tcPr>
                        <w:tcW w:w="779" w:type="pct"/>
                        <w:shd w:val="clear" w:color="auto" w:fill="FFFFFF"/>
                      </w:tcPr>
                      <w:p>
                        <w:pPr>
                          <w:jc w:val="center"/>
                          <w:rPr>
                            <w:szCs w:val="24"/>
                          </w:rPr>
                        </w:pPr>
                        <w:r>
                          <w:rPr>
                            <w:szCs w:val="24"/>
                          </w:rPr>
                          <w:t>16</w:t>
                        </w:r>
                      </w:p>
                    </w:tc>
                  </w:tr>
                  <w:tr>
                    <w:tblPrEx>
                      <w:tblCellMar>
                        <w:left w:w="63" w:type="dxa"/>
                        <w:right w:w="63" w:type="dxa"/>
                      </w:tblCellMar>
                    </w:tblPrEx>
                    <w:trPr>
                      <w:gridBefore w:val="1"/>
                      <w:cantSplit/>
                      <w:trHeight w:val="190"/>
                    </w:trPr>
                    <w:tc>
                      <w:tcPr>
                        <w:tcW w:w="3117" w:type="pct"/>
                        <w:vAlign w:val="center"/>
                      </w:tcPr>
                      <w:p>
                        <w:pPr>
                          <w:ind w:hanging="9"/>
                          <w:rPr>
                            <w:szCs w:val="24"/>
                          </w:rPr>
                        </w:pPr>
                        <w:r>
                          <w:rPr>
                            <w:szCs w:val="24"/>
                          </w:rPr>
                          <w:t>Ankilozinis spondilitas M 45</w:t>
                        </w:r>
                      </w:p>
                      <w:p>
                        <w:pPr>
                          <w:ind w:hanging="9"/>
                          <w:rPr>
                            <w:szCs w:val="24"/>
                          </w:rPr>
                        </w:pPr>
                        <w:r>
                          <w:rPr>
                            <w:szCs w:val="24"/>
                          </w:rPr>
                          <w:t>Spondiliozė su artropatija M 47.2</w:t>
                        </w:r>
                      </w:p>
                    </w:tc>
                    <w:tc>
                      <w:tcPr>
                        <w:tcW w:w="1104" w:type="pct"/>
                        <w:vAlign w:val="center"/>
                      </w:tcPr>
                      <w:p>
                        <w:pPr>
                          <w:rPr>
                            <w:szCs w:val="24"/>
                          </w:rPr>
                        </w:pPr>
                        <w:r>
                          <w:rPr>
                            <w:szCs w:val="24"/>
                          </w:rPr>
                          <w:t>Bartelio indeksas daugiau kaip 85 balai</w:t>
                        </w:r>
                      </w:p>
                    </w:tc>
                    <w:tc>
                      <w:tcPr>
                        <w:tcW w:w="779" w:type="pct"/>
                      </w:tcPr>
                      <w:p>
                        <w:pPr>
                          <w:jc w:val="center"/>
                          <w:rPr>
                            <w:szCs w:val="24"/>
                          </w:rPr>
                        </w:pPr>
                        <w:r>
                          <w:rPr>
                            <w:szCs w:val="24"/>
                          </w:rPr>
                          <w:t>14</w:t>
                        </w:r>
                      </w:p>
                    </w:tc>
                  </w:tr>
                  <w:tr>
                    <w:trPr>
                      <w:gridAfter w:val="1"/>
                      <w:wAfter w:w="45" w:type="dxa"/>
                      <w:cantSplit/>
                      <w:trHeight w:val="198"/>
                    </w:trPr>
                    <w:tc>
                      <w:tcPr>
                        <w:tcW w:w="3117" w:type="pct"/>
                        <w:vAlign w:val="center"/>
                      </w:tcPr>
                      <w:p>
                        <w:pPr>
                          <w:rPr>
                            <w:szCs w:val="24"/>
                          </w:rPr>
                        </w:pPr>
                        <w:r>
                          <w:rPr>
                            <w:szCs w:val="24"/>
                          </w:rPr>
                          <w:t>Judamojo-atramos aparato pažeidimai, sąlygoti darbo (fizinio krūvio) Y 96</w:t>
                        </w:r>
                      </w:p>
                    </w:tc>
                    <w:tc>
                      <w:tcPr>
                        <w:tcW w:w="1104" w:type="pct"/>
                        <w:shd w:val="clear" w:color="auto" w:fill="FFFFFF"/>
                      </w:tcPr>
                      <w:p>
                        <w:pPr>
                          <w:rPr>
                            <w:szCs w:val="24"/>
                          </w:rPr>
                        </w:pPr>
                        <w:r>
                          <w:rPr>
                            <w:szCs w:val="24"/>
                          </w:rPr>
                          <w:t>Darbingumo pagal profesiją praradimo grėsmė</w:t>
                        </w:r>
                      </w:p>
                    </w:tc>
                    <w:tc>
                      <w:tcPr>
                        <w:tcW w:w="779" w:type="pct"/>
                        <w:shd w:val="clear" w:color="auto" w:fill="FFFFFF"/>
                      </w:tcPr>
                      <w:p>
                        <w:pPr>
                          <w:jc w:val="center"/>
                          <w:rPr>
                            <w:szCs w:val="24"/>
                          </w:rPr>
                        </w:pPr>
                        <w:r>
                          <w:rPr>
                            <w:szCs w:val="24"/>
                          </w:rPr>
                          <w:t>16</w:t>
                        </w:r>
                      </w:p>
                    </w:tc>
                  </w:tr>
                  <w:tr>
                    <w:trPr>
                      <w:gridAfter w:val="1"/>
                      <w:wAfter w:w="45" w:type="dxa"/>
                      <w:cantSplit/>
                      <w:trHeight w:val="272"/>
                    </w:trPr>
                    <w:tc>
                      <w:tcPr>
                        <w:tcW w:w="5000" w:type="pct"/>
                        <w:gridSpan w:val="3"/>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Paslaugos, teikiamos pagal indikacijas: paciento ir jo artimųjų mokymas ir kt. paslaugos. Tyrimų mastas vienam pacientui per 10 darbo dienų: funkciniai tyrimai – 1, kiti tyrimai pagal indikacijas.</w:t>
                        </w:r>
                      </w:p>
                      <w:p>
                        <w:pPr>
                          <w:jc w:val="both"/>
                          <w:rPr>
                            <w:szCs w:val="24"/>
                          </w:rPr>
                        </w:pPr>
                        <w:r>
                          <w:rPr>
                            <w:szCs w:val="24"/>
                          </w:rPr>
                          <w:t>Antrinio lygio sveikatos priežiūros paslaugas teikiantys konsultantai: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tyrimų skaičių tai būtina pagrįsti ir padaryti atitinkamus įrašus ambulatorinėje asmens sveikatos istorijoje (forma Nr. 025/a).</w:t>
                        </w:r>
                      </w:p>
                    </w:tc>
                  </w:tr>
                  <w:tr>
                    <w:tblPrEx>
                      <w:tblCellMar>
                        <w:left w:w="63" w:type="dxa"/>
                        <w:right w:w="63" w:type="dxa"/>
                      </w:tblCellMar>
                    </w:tblPrEx>
                    <w:trPr>
                      <w:gridBefore w:val="1"/>
                      <w:cantSplit/>
                      <w:trHeight w:val="389"/>
                    </w:trPr>
                    <w:tc>
                      <w:tcPr>
                        <w:tcW w:w="3117" w:type="pct"/>
                        <w:vAlign w:val="center"/>
                      </w:tcPr>
                      <w:p>
                        <w:pPr>
                          <w:ind w:hanging="9"/>
                          <w:rPr>
                            <w:szCs w:val="24"/>
                          </w:rPr>
                        </w:pPr>
                        <w:r>
                          <w:rPr>
                            <w:szCs w:val="24"/>
                          </w:rPr>
                          <w:t>Po dauginių kaulų lūžimų T 02</w:t>
                        </w:r>
                      </w:p>
                    </w:tc>
                    <w:tc>
                      <w:tcPr>
                        <w:tcW w:w="1104" w:type="pct"/>
                        <w:vAlign w:val="center"/>
                      </w:tcPr>
                      <w:p>
                        <w:pPr>
                          <w:rPr>
                            <w:szCs w:val="24"/>
                          </w:rPr>
                        </w:pPr>
                        <w:r>
                          <w:rPr>
                            <w:szCs w:val="24"/>
                          </w:rPr>
                          <w:t>Kai yra raumenų hipotrofija, sąnarių kontraktūra</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267"/>
                    </w:trPr>
                    <w:tc>
                      <w:tcPr>
                        <w:tcW w:w="3117" w:type="pct"/>
                        <w:vAlign w:val="center"/>
                      </w:tcPr>
                      <w:p>
                        <w:pPr>
                          <w:ind w:hanging="9"/>
                          <w:rPr>
                            <w:szCs w:val="24"/>
                          </w:rPr>
                        </w:pPr>
                        <w:r>
                          <w:rPr>
                            <w:szCs w:val="24"/>
                          </w:rPr>
                          <w:t xml:space="preserve">Po ilgųjų, dubens kaulų ir stuburo slankstelių lūžių ir susirgimų D 16.1–3; D 16.8; S 42.2–4; S 42.7; S 49.7; S 52.0–7; S 72; S 82; S 92.0 </w:t>
                        </w:r>
                      </w:p>
                    </w:tc>
                    <w:tc>
                      <w:tcPr>
                        <w:tcW w:w="1104" w:type="pct"/>
                        <w:vAlign w:val="center"/>
                      </w:tcPr>
                      <w:p>
                        <w:pPr>
                          <w:rPr>
                            <w:szCs w:val="24"/>
                          </w:rPr>
                        </w:pPr>
                        <w:r>
                          <w:rPr>
                            <w:szCs w:val="24"/>
                          </w:rPr>
                          <w:t>Kai yra raumenų hipotrofija, sąnarių kontraktūra</w:t>
                        </w:r>
                      </w:p>
                    </w:tc>
                    <w:tc>
                      <w:tcPr>
                        <w:tcW w:w="779" w:type="pct"/>
                        <w:tcBorders>
                          <w:top w:val="nil"/>
                        </w:tcBorders>
                      </w:tcPr>
                      <w:p>
                        <w:pPr>
                          <w:jc w:val="center"/>
                          <w:rPr>
                            <w:szCs w:val="24"/>
                          </w:rPr>
                        </w:pPr>
                        <w:r>
                          <w:rPr>
                            <w:szCs w:val="24"/>
                          </w:rPr>
                          <w:t>14</w:t>
                        </w:r>
                      </w:p>
                    </w:tc>
                  </w:tr>
                  <w:tr>
                    <w:tblPrEx>
                      <w:tblCellMar>
                        <w:left w:w="63" w:type="dxa"/>
                        <w:right w:w="63" w:type="dxa"/>
                      </w:tblCellMar>
                    </w:tblPrEx>
                    <w:trPr>
                      <w:gridBefore w:val="1"/>
                      <w:cantSplit/>
                      <w:trHeight w:val="174"/>
                    </w:trPr>
                    <w:tc>
                      <w:tcPr>
                        <w:tcW w:w="3117" w:type="pct"/>
                        <w:vAlign w:val="center"/>
                      </w:tcPr>
                      <w:p>
                        <w:pPr>
                          <w:ind w:hanging="9"/>
                          <w:rPr>
                            <w:szCs w:val="24"/>
                          </w:rPr>
                        </w:pPr>
                        <w:r>
                          <w:rPr>
                            <w:szCs w:val="24"/>
                          </w:rPr>
                          <w:t xml:space="preserve">Po sąnario operacijų D 16.1–3; M 05–M 06; M 08; M 15–M 17; M 19; M 75; S 43.4; S 72 </w:t>
                        </w:r>
                      </w:p>
                    </w:tc>
                    <w:tc>
                      <w:tcPr>
                        <w:tcW w:w="1104" w:type="pct"/>
                        <w:vAlign w:val="center"/>
                      </w:tcPr>
                      <w:p>
                        <w:pPr>
                          <w:rPr>
                            <w:szCs w:val="24"/>
                          </w:rPr>
                        </w:pPr>
                        <w:r>
                          <w:rPr>
                            <w:szCs w:val="24"/>
                          </w:rPr>
                          <w:t>Modifikuotas Keitelio indeksas daugiau 40 balų</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324"/>
                    </w:trPr>
                    <w:tc>
                      <w:tcPr>
                        <w:tcW w:w="3117" w:type="pct"/>
                        <w:vAlign w:val="center"/>
                      </w:tcPr>
                      <w:p>
                        <w:pPr>
                          <w:ind w:hanging="9"/>
                          <w:rPr>
                            <w:szCs w:val="24"/>
                          </w:rPr>
                        </w:pPr>
                        <w:r>
                          <w:rPr>
                            <w:szCs w:val="24"/>
                          </w:rPr>
                          <w:t xml:space="preserve">Po neurologiškai nekomplikuoto kompresinio stuburo slankstelio lūžimo </w:t>
                        </w:r>
                      </w:p>
                      <w:p>
                        <w:pPr>
                          <w:ind w:hanging="9"/>
                          <w:rPr>
                            <w:szCs w:val="24"/>
                          </w:rPr>
                        </w:pPr>
                        <w:r>
                          <w:rPr>
                            <w:szCs w:val="24"/>
                          </w:rPr>
                          <w:t>S 22.0–1; S 32.0</w:t>
                        </w:r>
                      </w:p>
                    </w:tc>
                    <w:tc>
                      <w:tcPr>
                        <w:tcW w:w="1104" w:type="pct"/>
                        <w:vAlign w:val="center"/>
                      </w:tcPr>
                      <w:p>
                        <w:pPr>
                          <w:rPr>
                            <w:szCs w:val="24"/>
                          </w:rPr>
                        </w:pPr>
                        <w:r>
                          <w:rPr>
                            <w:szCs w:val="24"/>
                          </w:rPr>
                          <w:t>Esant judėjimo funkcijos sutrikimui</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495"/>
                    </w:trPr>
                    <w:tc>
                      <w:tcPr>
                        <w:tcW w:w="3117" w:type="pct"/>
                        <w:vAlign w:val="center"/>
                      </w:tcPr>
                      <w:p>
                        <w:pPr>
                          <w:ind w:hanging="9"/>
                          <w:rPr>
                            <w:szCs w:val="24"/>
                          </w:rPr>
                        </w:pPr>
                        <w:r>
                          <w:rPr>
                            <w:szCs w:val="24"/>
                          </w:rPr>
                          <w:t xml:space="preserve">Po nudegimų T 22.3; T 22.7; T 24.3; T 24.7; T 25.3; T 25.7; T 29.3; T 29.7; </w:t>
                          <w:br/>
                          <w:t>T 95.0–4; T 95.8; T 95.9</w:t>
                        </w:r>
                      </w:p>
                    </w:tc>
                    <w:tc>
                      <w:tcPr>
                        <w:tcW w:w="1104" w:type="pct"/>
                        <w:vAlign w:val="center"/>
                      </w:tcPr>
                      <w:p>
                        <w:pPr>
                          <w:rPr>
                            <w:szCs w:val="24"/>
                          </w:rPr>
                        </w:pPr>
                        <w:r>
                          <w:rPr>
                            <w:szCs w:val="24"/>
                          </w:rPr>
                          <w:t>Esant sąnario (sąnarių) kontraktūrai</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495"/>
                    </w:trPr>
                    <w:tc>
                      <w:tcPr>
                        <w:tcW w:w="3117" w:type="pct"/>
                        <w:vAlign w:val="center"/>
                      </w:tcPr>
                      <w:p>
                        <w:pPr>
                          <w:ind w:hanging="9"/>
                          <w:rPr>
                            <w:szCs w:val="24"/>
                          </w:rPr>
                        </w:pPr>
                        <w:r>
                          <w:rPr>
                            <w:szCs w:val="24"/>
                          </w:rPr>
                          <w:t>Uždegiminės ir degeneracinės sąnarių ligos M 05–M 06; M 12.5; M 14;</w:t>
                        </w:r>
                      </w:p>
                      <w:p>
                        <w:pPr>
                          <w:ind w:hanging="9"/>
                          <w:rPr>
                            <w:szCs w:val="24"/>
                          </w:rPr>
                        </w:pPr>
                        <w:r>
                          <w:rPr>
                            <w:szCs w:val="24"/>
                          </w:rPr>
                          <w:t>M 16; M 17; M 19</w:t>
                        </w:r>
                      </w:p>
                      <w:p>
                        <w:pPr>
                          <w:rPr>
                            <w:szCs w:val="24"/>
                          </w:rPr>
                        </w:pPr>
                        <w:r>
                          <w:rPr>
                            <w:szCs w:val="24"/>
                          </w:rPr>
                          <w:t xml:space="preserve">Podagra ir kitos kristalinės artropatijos M 10; M 11 </w:t>
                        </w:r>
                      </w:p>
                      <w:p>
                        <w:pPr>
                          <w:rPr>
                            <w:szCs w:val="24"/>
                          </w:rPr>
                        </w:pPr>
                        <w:r>
                          <w:rPr>
                            <w:szCs w:val="24"/>
                          </w:rPr>
                          <w:t xml:space="preserve">Artropatijos M 02–M 03  </w:t>
                        </w:r>
                      </w:p>
                      <w:p>
                        <w:pPr>
                          <w:rPr>
                            <w:szCs w:val="24"/>
                          </w:rPr>
                        </w:pPr>
                        <w:r>
                          <w:rPr>
                            <w:szCs w:val="24"/>
                          </w:rPr>
                          <w:t>Dorsopatijos M 40-M 54</w:t>
                        </w:r>
                      </w:p>
                    </w:tc>
                    <w:tc>
                      <w:tcPr>
                        <w:tcW w:w="1104" w:type="pct"/>
                        <w:vAlign w:val="center"/>
                      </w:tcPr>
                      <w:p>
                        <w:pPr>
                          <w:rPr>
                            <w:szCs w:val="24"/>
                          </w:rPr>
                        </w:pPr>
                        <w:r>
                          <w:rPr>
                            <w:szCs w:val="24"/>
                          </w:rPr>
                          <w:t>Esant sąnario (sąnarių) kontraktūrai</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495"/>
                    </w:trPr>
                    <w:tc>
                      <w:tcPr>
                        <w:tcW w:w="3117" w:type="pct"/>
                        <w:vAlign w:val="center"/>
                      </w:tcPr>
                      <w:p>
                        <w:pPr>
                          <w:ind w:hanging="9"/>
                          <w:rPr>
                            <w:szCs w:val="24"/>
                          </w:rPr>
                        </w:pPr>
                        <w:r>
                          <w:rPr>
                            <w:szCs w:val="24"/>
                          </w:rPr>
                          <w:t>Sisteminės jungiamojo audinio ligos (sisteminė sklerodermija, sisteminė raudonoji vilkligė, dermatomiozitai), sisteminiai vaskulitai M 30–M 35</w:t>
                        </w:r>
                      </w:p>
                    </w:tc>
                    <w:tc>
                      <w:tcPr>
                        <w:tcW w:w="1104" w:type="pct"/>
                        <w:vAlign w:val="center"/>
                      </w:tcPr>
                      <w:p>
                        <w:pPr>
                          <w:rPr>
                            <w:szCs w:val="24"/>
                          </w:rPr>
                        </w:pPr>
                        <w:r>
                          <w:rPr>
                            <w:szCs w:val="24"/>
                          </w:rPr>
                          <w:t>Bartelio indeksas daugiau kaip 85 balai</w:t>
                        </w:r>
                      </w:p>
                    </w:tc>
                    <w:tc>
                      <w:tcPr>
                        <w:tcW w:w="779" w:type="pct"/>
                        <w:tcBorders>
                          <w:top w:val="nil"/>
                        </w:tcBorders>
                      </w:tcPr>
                      <w:p>
                        <w:pPr>
                          <w:jc w:val="center"/>
                          <w:rPr>
                            <w:szCs w:val="24"/>
                          </w:rPr>
                        </w:pPr>
                        <w:r>
                          <w:rPr>
                            <w:szCs w:val="24"/>
                          </w:rPr>
                          <w:t>14</w:t>
                        </w:r>
                      </w:p>
                    </w:tc>
                  </w:tr>
                  <w:tr>
                    <w:tblPrEx>
                      <w:tblCellMar>
                        <w:left w:w="63" w:type="dxa"/>
                        <w:right w:w="63" w:type="dxa"/>
                      </w:tblCellMar>
                    </w:tblPrEx>
                    <w:trPr>
                      <w:gridBefore w:val="1"/>
                      <w:cantSplit/>
                      <w:trHeight w:val="237"/>
                    </w:trPr>
                    <w:tc>
                      <w:tcPr>
                        <w:tcW w:w="3117" w:type="pct"/>
                        <w:vAlign w:val="center"/>
                      </w:tcPr>
                      <w:p>
                        <w:pPr>
                          <w:ind w:hanging="9"/>
                          <w:rPr>
                            <w:szCs w:val="24"/>
                          </w:rPr>
                        </w:pPr>
                        <w:r>
                          <w:rPr>
                            <w:szCs w:val="24"/>
                          </w:rPr>
                          <w:t>Raumenų ir sausgyslių pažeidimai S 43; S 46; S 73; S 76; S 83; S 86; S 93.2</w:t>
                        </w:r>
                      </w:p>
                    </w:tc>
                    <w:tc>
                      <w:tcPr>
                        <w:tcW w:w="1104" w:type="pct"/>
                      </w:tcPr>
                      <w:p>
                        <w:pPr>
                          <w:rPr>
                            <w:szCs w:val="24"/>
                          </w:rPr>
                        </w:pPr>
                        <w:r>
                          <w:rPr>
                            <w:szCs w:val="24"/>
                          </w:rPr>
                          <w:t>Sutrikusi judėjimo funkcija</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237"/>
                    </w:trPr>
                    <w:tc>
                      <w:tcPr>
                        <w:tcW w:w="3117" w:type="pct"/>
                        <w:vAlign w:val="center"/>
                      </w:tcPr>
                      <w:p>
                        <w:pPr>
                          <w:ind w:hanging="9"/>
                          <w:rPr>
                            <w:szCs w:val="24"/>
                          </w:rPr>
                        </w:pPr>
                        <w:r>
                          <w:rPr>
                            <w:szCs w:val="24"/>
                          </w:rPr>
                          <w:t>Po mikrochirurginių galūnių operacijų S 68; S 98</w:t>
                        </w:r>
                      </w:p>
                    </w:tc>
                    <w:tc>
                      <w:tcPr>
                        <w:tcW w:w="1104" w:type="pct"/>
                      </w:tcPr>
                      <w:p>
                        <w:pPr>
                          <w:rPr>
                            <w:szCs w:val="24"/>
                          </w:rPr>
                        </w:pPr>
                        <w:r>
                          <w:rPr>
                            <w:szCs w:val="24"/>
                          </w:rPr>
                          <w:t>Esant sąnario (sąnarių) kontraktūrai</w:t>
                        </w:r>
                      </w:p>
                    </w:tc>
                    <w:tc>
                      <w:tcPr>
                        <w:tcW w:w="779" w:type="pct"/>
                      </w:tcPr>
                      <w:p>
                        <w:pPr>
                          <w:jc w:val="center"/>
                          <w:rPr>
                            <w:szCs w:val="24"/>
                          </w:rPr>
                        </w:pPr>
                        <w:r>
                          <w:rPr>
                            <w:szCs w:val="24"/>
                          </w:rPr>
                          <w:t>14</w:t>
                        </w:r>
                      </w:p>
                    </w:tc>
                  </w:tr>
                  <w:tr>
                    <w:tblPrEx>
                      <w:tblCellMar>
                        <w:left w:w="63" w:type="dxa"/>
                        <w:right w:w="63" w:type="dxa"/>
                      </w:tblCellMar>
                    </w:tblPrEx>
                    <w:trPr>
                      <w:gridBefore w:val="1"/>
                      <w:cantSplit/>
                      <w:trHeight w:val="237"/>
                    </w:trPr>
                    <w:tc>
                      <w:tcPr>
                        <w:tcW w:w="3117" w:type="pct"/>
                        <w:vAlign w:val="center"/>
                      </w:tcPr>
                      <w:p>
                        <w:pPr>
                          <w:rPr>
                            <w:szCs w:val="24"/>
                          </w:rPr>
                        </w:pPr>
                        <w:r>
                          <w:rPr>
                            <w:szCs w:val="24"/>
                          </w:rPr>
                          <w:t>Judamojo-atramos aparato pažeidimai, sąlygoti darbo (fizinio krūvio) Y 96</w:t>
                        </w:r>
                      </w:p>
                    </w:tc>
                    <w:tc>
                      <w:tcPr>
                        <w:tcW w:w="1104" w:type="pct"/>
                      </w:tcPr>
                      <w:p>
                        <w:pPr>
                          <w:rPr>
                            <w:szCs w:val="24"/>
                          </w:rPr>
                        </w:pPr>
                        <w:r>
                          <w:rPr>
                            <w:szCs w:val="24"/>
                          </w:rPr>
                          <w:t>Darbingumo pagal profesiją praradimo grėsmė</w:t>
                        </w:r>
                      </w:p>
                    </w:tc>
                    <w:tc>
                      <w:tcPr>
                        <w:tcW w:w="779" w:type="pct"/>
                      </w:tcPr>
                      <w:p>
                        <w:pPr>
                          <w:jc w:val="center"/>
                          <w:rPr>
                            <w:szCs w:val="24"/>
                          </w:rPr>
                        </w:pPr>
                        <w:r>
                          <w:rPr>
                            <w:szCs w:val="24"/>
                          </w:rPr>
                          <w:t>12</w:t>
                        </w:r>
                      </w:p>
                    </w:tc>
                  </w:tr>
                </w:tbl>
                <w:p>
                  <w:pPr>
                    <w:rPr>
                      <w:b/>
                      <w:szCs w:val="24"/>
                    </w:rPr>
                  </w:pPr>
                </w:p>
              </w:sdtContent>
            </w:sdt>
          </w:sdtContent>
        </w:sdt>
        <w:sdt>
          <w:sdtPr>
            <w:alias w:val="skyrius"/>
            <w:tag w:val="part_ab77bd19e22b4f1bb66b5a23df628690"/>
            <w:lock w:val="sdtLocked"/>
            <w:richText/>
          </w:sdtPr>
          <w:sdtContent>
            <w:p>
              <w:pPr>
                <w:tabs>
                  <w:tab w:val="left" w:pos="397"/>
                  <w:tab w:val="left" w:pos="1843"/>
                  <w:tab w:val="left" w:pos="2410"/>
                  <w:tab w:val="left" w:pos="2694"/>
                  <w:tab w:val="left" w:pos="3119"/>
                </w:tabs>
                <w:suppressAutoHyphens/>
                <w:jc w:val="center"/>
                <w:rPr>
                  <w:b/>
                  <w:szCs w:val="24"/>
                </w:rPr>
              </w:pPr>
              <w:sdt>
                <w:sdtPr>
                  <w:alias w:val="Numeris"/>
                  <w:tag w:val="nr_ab77bd19e22b4f1bb66b5a23df628690"/>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ab77bd19e22b4f1bb66b5a23df628690"/>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sdt>
              <w:sdtPr>
                <w:alias w:val="poskyris"/>
                <w:tag w:val="part_a6e5116e7c64480c871dc2b32f4be52b"/>
                <w:lock w:val="sdtLocked"/>
                <w:richText/>
              </w:sdtPr>
              <w:sdtContent>
                <w:p>
                  <w:pPr>
                    <w:suppressAutoHyphens/>
                    <w:jc w:val="center"/>
                    <w:rPr>
                      <w:b/>
                      <w:szCs w:val="24"/>
                    </w:rPr>
                  </w:pPr>
                  <w:sdt>
                    <w:sdtPr>
                      <w:alias w:val="Pavadinimas"/>
                      <w:tag w:val="title_a6e5116e7c64480c871dc2b32f4be52b"/>
                      <w:lock w:val="sdtLocked"/>
                      <w:richText/>
                    </w:sdtPr>
                    <w:sdtContent>
                      <w:r>
                        <w:rPr>
                          <w:b/>
                          <w:szCs w:val="24"/>
                        </w:rPr>
                        <w:t>Specialieji reikalavimai</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Pr>
                      <w:p>
                        <w:pPr>
                          <w:widowControl w:val="0"/>
                          <w:ind w:firstLine="885"/>
                          <w:jc w:val="both"/>
                          <w:rPr>
                            <w:szCs w:val="24"/>
                          </w:rPr>
                        </w:pPr>
                        <w:r>
                          <w:rPr>
                            <w:szCs w:val="24"/>
                          </w:rPr>
                          <w:t xml:space="preserve">Paslaugos vienam pacientui per 10 darbo dienų: kineziterapija – 10 procedūrų, masažas – 8 procedūros, fizioterapija – 5 procedūros, medicinos psichologo konsultacijos – 2. </w:t>
                        </w:r>
                      </w:p>
                      <w:p>
                        <w:pPr>
                          <w:widowControl w:val="0"/>
                          <w:ind w:firstLine="885"/>
                          <w:jc w:val="both"/>
                          <w:rPr>
                            <w:szCs w:val="24"/>
                          </w:rPr>
                        </w:pPr>
                        <w:r>
                          <w:rPr>
                            <w:szCs w:val="24"/>
                          </w:rPr>
                          <w:t xml:space="preserve">Tyrimų mastas vienam </w:t>
                        </w:r>
                        <w:r>
                          <w:rPr>
                            <w:szCs w:val="24"/>
                            <w:lang w:eastAsia="lt-LT"/>
                          </w:rPr>
                          <w:t>pacientui</w:t>
                        </w:r>
                        <w:r>
                          <w:rPr>
                            <w:szCs w:val="24"/>
                          </w:rPr>
                          <w:t xml:space="preserve"> per 10 darbo dienų: funkciniai tyrimai – 1, kiti tyrimai – pagal indikacijas.</w:t>
                        </w:r>
                      </w:p>
                      <w:p>
                        <w:pPr>
                          <w:widowControl w:val="0"/>
                          <w:ind w:firstLine="885"/>
                          <w:jc w:val="both"/>
                          <w:rPr>
                            <w:szCs w:val="24"/>
                            <w:lang w:eastAsia="lt-LT"/>
                          </w:rPr>
                        </w:pPr>
                        <w:r>
                          <w:rPr>
                            <w:szCs w:val="24"/>
                            <w:lang w:eastAsia="lt-LT"/>
                          </w:rPr>
                          <w:t>Paūmėjus gretutiniam susirgimui užtikrinama reikiama antrinio lygio gydytojo specialisto konsultaciją.</w:t>
                        </w:r>
                      </w:p>
                      <w:p>
                        <w:pPr>
                          <w:suppressAutoHyphens/>
                          <w:ind w:firstLine="885"/>
                          <w:jc w:val="both"/>
                          <w:rPr>
                            <w:szCs w:val="24"/>
                          </w:rPr>
                        </w:pPr>
                        <w:r>
                          <w:rPr>
                            <w:szCs w:val="24"/>
                            <w:lang w:eastAsia="lt-LT"/>
                          </w:rPr>
                          <w:t xml:space="preserve">Pastaba.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w:t>
                        </w:r>
                      </w:p>
                    </w:tc>
                  </w:tr>
                </w:tbl>
                <w:p>
                  <w:pPr>
                    <w:jc w:val="both"/>
                    <w:rPr>
                      <w:iCs/>
                      <w:szCs w:val="24"/>
                    </w:rPr>
                  </w:pPr>
                </w:p>
                <w:p>
                  <w:pPr>
                    <w:rPr>
                      <w:szCs w:val="24"/>
                    </w:rPr>
                  </w:pPr>
                </w:p>
              </w:sdtContent>
            </w:sdt>
            <w:sdt>
              <w:sdtPr>
                <w:alias w:val="poskyris"/>
                <w:tag w:val="part_cf5b1005b5db4e6695ecde250ca0b571"/>
                <w:lock w:val="sdtLocked"/>
                <w:richText/>
              </w:sdtPr>
              <w:sdtContent>
                <w:p>
                  <w:pPr>
                    <w:suppressAutoHyphens/>
                    <w:jc w:val="center"/>
                    <w:rPr>
                      <w:b/>
                      <w:szCs w:val="24"/>
                    </w:rPr>
                  </w:pPr>
                  <w:sdt>
                    <w:sdtPr>
                      <w:alias w:val="Pavadinimas"/>
                      <w:tag w:val="title_cf5b1005b5db4e6695ecde250ca0b571"/>
                      <w:lock w:val="sdtLocked"/>
                      <w:richText/>
                    </w:sdtPr>
                    <w:sdtContent>
                      <w:r>
                        <w:rPr>
                          <w:b/>
                          <w:szCs w:val="24"/>
                        </w:rPr>
                        <w:t>Indikacijos</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tc>
                      <w:tcPr>
                        <w:tcW w:w="519" w:type="pct"/>
                        <w:vAlign w:val="center"/>
                      </w:tcPr>
                      <w:p>
                        <w:pPr>
                          <w:jc w:val="center"/>
                          <w:rPr>
                            <w:szCs w:val="24"/>
                          </w:rPr>
                        </w:pPr>
                        <w:r>
                          <w:rPr>
                            <w:szCs w:val="24"/>
                          </w:rPr>
                          <w:t>Eil. Nr.</w:t>
                        </w:r>
                      </w:p>
                    </w:tc>
                    <w:tc>
                      <w:tcPr>
                        <w:tcW w:w="3572" w:type="pct"/>
                        <w:vAlign w:val="center"/>
                      </w:tcPr>
                      <w:p>
                        <w:pPr>
                          <w:ind w:firstLine="737"/>
                          <w:jc w:val="center"/>
                          <w:rPr>
                            <w:szCs w:val="24"/>
                          </w:rPr>
                        </w:pPr>
                        <w:r>
                          <w:rPr>
                            <w:szCs w:val="24"/>
                          </w:rPr>
                          <w:t>Diagnozės</w:t>
                        </w:r>
                      </w:p>
                    </w:tc>
                    <w:tc>
                      <w:tcPr>
                        <w:tcW w:w="909" w:type="pct"/>
                        <w:vAlign w:val="center"/>
                      </w:tcPr>
                      <w:p>
                        <w:pPr>
                          <w:jc w:val="center"/>
                          <w:rPr>
                            <w:szCs w:val="24"/>
                          </w:rPr>
                        </w:pPr>
                        <w:r>
                          <w:rPr>
                            <w:szCs w:val="24"/>
                          </w:rPr>
                          <w:t>Gydymo trukmė</w:t>
                        </w:r>
                      </w:p>
                      <w:p>
                        <w:pPr>
                          <w:jc w:val="center"/>
                          <w:rPr>
                            <w:szCs w:val="24"/>
                          </w:rPr>
                        </w:pPr>
                        <w:r>
                          <w:rPr>
                            <w:szCs w:val="24"/>
                          </w:rPr>
                          <w:t>(kalendorinėmis dienomis)</w:t>
                        </w:r>
                      </w:p>
                    </w:tc>
                  </w:tr>
                  <w:tr>
                    <w:tc>
                      <w:tcPr>
                        <w:tcW w:w="519" w:type="pct"/>
                      </w:tcPr>
                      <w:p>
                        <w:pPr>
                          <w:ind w:firstLine="284"/>
                          <w:rPr>
                            <w:szCs w:val="24"/>
                          </w:rPr>
                        </w:pPr>
                        <w:r>
                          <w:rPr>
                            <w:szCs w:val="24"/>
                          </w:rPr>
                          <w:t>1.</w:t>
                        </w:r>
                      </w:p>
                    </w:tc>
                    <w:tc>
                      <w:tcPr>
                        <w:tcW w:w="3572" w:type="pct"/>
                      </w:tcPr>
                      <w:p>
                        <w:pPr>
                          <w:ind w:firstLine="284"/>
                          <w:rPr>
                            <w:szCs w:val="24"/>
                          </w:rPr>
                        </w:pPr>
                        <w:r>
                          <w:rPr>
                            <w:szCs w:val="24"/>
                          </w:rPr>
                          <w:t>Psichikos ir elgesio sutrikimai</w:t>
                        </w:r>
                      </w:p>
                    </w:tc>
                    <w:tc>
                      <w:tcPr>
                        <w:tcW w:w="909" w:type="pct"/>
                      </w:tcPr>
                      <w:p>
                        <w:pPr>
                          <w:jc w:val="center"/>
                          <w:rPr>
                            <w:szCs w:val="24"/>
                          </w:rPr>
                        </w:pPr>
                        <w:r>
                          <w:rPr>
                            <w:szCs w:val="24"/>
                          </w:rPr>
                          <w:t>12</w:t>
                        </w:r>
                      </w:p>
                    </w:tc>
                  </w:tr>
                  <w:tr>
                    <w:tc>
                      <w:tcPr>
                        <w:tcW w:w="519" w:type="pct"/>
                      </w:tcPr>
                      <w:p>
                        <w:pPr>
                          <w:ind w:firstLine="284"/>
                          <w:rPr>
                            <w:szCs w:val="24"/>
                          </w:rPr>
                        </w:pPr>
                        <w:r>
                          <w:rPr>
                            <w:szCs w:val="24"/>
                          </w:rPr>
                          <w:t>1.1.</w:t>
                        </w:r>
                      </w:p>
                    </w:tc>
                    <w:tc>
                      <w:tcPr>
                        <w:tcW w:w="3572" w:type="pct"/>
                      </w:tcPr>
                      <w:p>
                        <w:pPr>
                          <w:ind w:firstLine="284"/>
                          <w:rPr>
                            <w:szCs w:val="24"/>
                          </w:rPr>
                        </w:pPr>
                        <w:r>
                          <w:rPr>
                            <w:szCs w:val="24"/>
                          </w:rPr>
                          <w:t>Somatoforminė autonominė disfunkcija F 45.3</w:t>
                        </w:r>
                      </w:p>
                    </w:tc>
                    <w:tc>
                      <w:tcPr>
                        <w:tcW w:w="909" w:type="pct"/>
                      </w:tcPr>
                      <w:p>
                        <w:pPr>
                          <w:jc w:val="center"/>
                          <w:rPr>
                            <w:szCs w:val="24"/>
                          </w:rPr>
                        </w:pPr>
                        <w:r>
                          <w:rPr>
                            <w:szCs w:val="24"/>
                          </w:rPr>
                          <w:t>12</w:t>
                        </w:r>
                      </w:p>
                    </w:tc>
                  </w:tr>
                  <w:tr>
                    <w:tc>
                      <w:tcPr>
                        <w:tcW w:w="519" w:type="pct"/>
                      </w:tcPr>
                      <w:p>
                        <w:pPr>
                          <w:ind w:firstLine="284"/>
                          <w:rPr>
                            <w:szCs w:val="24"/>
                          </w:rPr>
                        </w:pPr>
                        <w:r>
                          <w:rPr>
                            <w:szCs w:val="24"/>
                          </w:rPr>
                          <w:t>1.2.</w:t>
                        </w:r>
                      </w:p>
                    </w:tc>
                    <w:tc>
                      <w:tcPr>
                        <w:tcW w:w="3572" w:type="pct"/>
                      </w:tcPr>
                      <w:p>
                        <w:pPr>
                          <w:ind w:firstLine="284"/>
                          <w:rPr>
                            <w:szCs w:val="24"/>
                          </w:rPr>
                        </w:pPr>
                        <w:r>
                          <w:rPr>
                            <w:szCs w:val="24"/>
                          </w:rPr>
                          <w:t>Neurastenija F 48.0</w:t>
                        </w:r>
                      </w:p>
                    </w:tc>
                    <w:tc>
                      <w:tcPr>
                        <w:tcW w:w="909" w:type="pct"/>
                      </w:tcPr>
                      <w:p>
                        <w:pPr>
                          <w:jc w:val="center"/>
                          <w:rPr>
                            <w:szCs w:val="24"/>
                          </w:rPr>
                        </w:pPr>
                        <w:r>
                          <w:rPr>
                            <w:szCs w:val="24"/>
                          </w:rPr>
                          <w:t>12</w:t>
                        </w:r>
                      </w:p>
                    </w:tc>
                  </w:tr>
                  <w:tr>
                    <w:tc>
                      <w:tcPr>
                        <w:tcW w:w="519" w:type="pct"/>
                      </w:tcPr>
                      <w:p>
                        <w:pPr>
                          <w:ind w:firstLine="284"/>
                          <w:rPr>
                            <w:szCs w:val="24"/>
                          </w:rPr>
                        </w:pPr>
                        <w:r>
                          <w:rPr>
                            <w:szCs w:val="24"/>
                          </w:rPr>
                          <w:t>2.</w:t>
                        </w:r>
                      </w:p>
                    </w:tc>
                    <w:tc>
                      <w:tcPr>
                        <w:tcW w:w="3572" w:type="pct"/>
                      </w:tcPr>
                      <w:p>
                        <w:pPr>
                          <w:ind w:firstLine="284"/>
                          <w:rPr>
                            <w:szCs w:val="24"/>
                          </w:rPr>
                        </w:pPr>
                        <w:r>
                          <w:rPr>
                            <w:bCs/>
                            <w:szCs w:val="24"/>
                          </w:rPr>
                          <w:t>Nervų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2.1.</w:t>
                        </w:r>
                      </w:p>
                    </w:tc>
                    <w:tc>
                      <w:tcPr>
                        <w:tcW w:w="3572" w:type="pct"/>
                      </w:tcPr>
                      <w:p>
                        <w:pPr>
                          <w:ind w:firstLine="284"/>
                          <w:rPr>
                            <w:szCs w:val="24"/>
                          </w:rPr>
                        </w:pPr>
                        <w:r>
                          <w:rPr>
                            <w:szCs w:val="24"/>
                          </w:rPr>
                          <w:t>Nevertebrogeniniai ir vertebrogeniniai periferinės nervų sistemos pažeidimai (lėtiniai radikulitai, radikulopatijos, neuropatijos, polineuropatijos, pleksopatijos) remisijos metu. G 54.0–G54.4, G 55.0–G 55.3, M 54.1–M 54.4</w:t>
                        </w:r>
                      </w:p>
                    </w:tc>
                    <w:tc>
                      <w:tcPr>
                        <w:tcW w:w="909" w:type="pct"/>
                      </w:tcPr>
                      <w:p>
                        <w:pPr>
                          <w:jc w:val="center"/>
                          <w:rPr>
                            <w:szCs w:val="24"/>
                          </w:rPr>
                        </w:pPr>
                        <w:r>
                          <w:rPr>
                            <w:szCs w:val="24"/>
                          </w:rPr>
                          <w:t>12</w:t>
                        </w:r>
                      </w:p>
                    </w:tc>
                  </w:tr>
                  <w:tr>
                    <w:tc>
                      <w:tcPr>
                        <w:tcW w:w="519" w:type="pct"/>
                      </w:tcPr>
                      <w:p>
                        <w:pPr>
                          <w:ind w:firstLine="284"/>
                          <w:rPr>
                            <w:szCs w:val="24"/>
                          </w:rPr>
                        </w:pPr>
                        <w:r>
                          <w:rPr>
                            <w:szCs w:val="24"/>
                          </w:rPr>
                          <w:t>2.2.</w:t>
                        </w:r>
                      </w:p>
                    </w:tc>
                    <w:tc>
                      <w:tcPr>
                        <w:tcW w:w="3572" w:type="pct"/>
                      </w:tcPr>
                      <w:p>
                        <w:pPr>
                          <w:ind w:firstLine="284"/>
                          <w:rPr>
                            <w:szCs w:val="24"/>
                          </w:rPr>
                        </w:pPr>
                        <w:r>
                          <w:rPr>
                            <w:szCs w:val="24"/>
                          </w:rPr>
                          <w:t>Pradiniai ir praeinantys galvos smegenų kraujotakos sutrikimai (praėjus 3–4 mėn. po priepuolio) G 45.0–G 45.2</w:t>
                        </w:r>
                      </w:p>
                    </w:tc>
                    <w:tc>
                      <w:tcPr>
                        <w:tcW w:w="909" w:type="pct"/>
                      </w:tcPr>
                      <w:p>
                        <w:pPr>
                          <w:jc w:val="center"/>
                          <w:rPr>
                            <w:szCs w:val="24"/>
                          </w:rPr>
                        </w:pPr>
                        <w:r>
                          <w:rPr>
                            <w:szCs w:val="24"/>
                          </w:rPr>
                          <w:t>12</w:t>
                        </w:r>
                      </w:p>
                    </w:tc>
                  </w:tr>
                  <w:tr>
                    <w:tc>
                      <w:tcPr>
                        <w:tcW w:w="519" w:type="pct"/>
                      </w:tcPr>
                      <w:p>
                        <w:pPr>
                          <w:ind w:firstLine="284"/>
                          <w:rPr>
                            <w:szCs w:val="24"/>
                          </w:rPr>
                        </w:pPr>
                        <w:r>
                          <w:rPr>
                            <w:szCs w:val="24"/>
                          </w:rPr>
                          <w:t>3.</w:t>
                        </w:r>
                      </w:p>
                    </w:tc>
                    <w:tc>
                      <w:tcPr>
                        <w:tcW w:w="3572" w:type="pct"/>
                      </w:tcPr>
                      <w:p>
                        <w:pPr>
                          <w:ind w:firstLine="284"/>
                          <w:rPr>
                            <w:szCs w:val="24"/>
                          </w:rPr>
                        </w:pPr>
                        <w:r>
                          <w:rPr>
                            <w:bCs/>
                            <w:szCs w:val="24"/>
                          </w:rPr>
                          <w:t>Kraujotakos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3.1.</w:t>
                        </w:r>
                      </w:p>
                    </w:tc>
                    <w:tc>
                      <w:tcPr>
                        <w:tcW w:w="3572" w:type="pct"/>
                      </w:tcPr>
                      <w:p>
                        <w:pPr>
                          <w:ind w:firstLine="284"/>
                          <w:rPr>
                            <w:szCs w:val="24"/>
                          </w:rPr>
                        </w:pPr>
                        <w:r>
                          <w:rPr>
                            <w:szCs w:val="24"/>
                          </w:rPr>
                          <w:t>Lėtinė išeminė širdies liga (stabili klinikinė eiga ir ne didesnis kaip I stadijos kraujotakos nepakankamumas) I 25.0</w:t>
                        </w:r>
                      </w:p>
                    </w:tc>
                    <w:tc>
                      <w:tcPr>
                        <w:tcW w:w="909" w:type="pct"/>
                      </w:tcPr>
                      <w:p>
                        <w:pPr>
                          <w:jc w:val="center"/>
                          <w:rPr>
                            <w:szCs w:val="24"/>
                          </w:rPr>
                        </w:pPr>
                        <w:r>
                          <w:rPr>
                            <w:szCs w:val="24"/>
                          </w:rPr>
                          <w:t>12</w:t>
                        </w:r>
                      </w:p>
                    </w:tc>
                  </w:tr>
                  <w:tr>
                    <w:tc>
                      <w:tcPr>
                        <w:tcW w:w="519" w:type="pct"/>
                      </w:tcPr>
                      <w:p>
                        <w:pPr>
                          <w:ind w:firstLine="284"/>
                          <w:rPr>
                            <w:szCs w:val="24"/>
                          </w:rPr>
                        </w:pPr>
                        <w:r>
                          <w:rPr>
                            <w:szCs w:val="24"/>
                          </w:rPr>
                          <w:t>3.2.</w:t>
                        </w:r>
                      </w:p>
                    </w:tc>
                    <w:tc>
                      <w:tcPr>
                        <w:tcW w:w="3572" w:type="pct"/>
                      </w:tcPr>
                      <w:p>
                        <w:pPr>
                          <w:ind w:firstLine="284"/>
                          <w:rPr>
                            <w:szCs w:val="24"/>
                          </w:rPr>
                        </w:pPr>
                        <w:r>
                          <w:rPr>
                            <w:szCs w:val="24"/>
                          </w:rPr>
                          <w:t>Pirminė arterinė hipertenzija (ne didesnis kaip 3 laipsnio kraujospūdžio padidėjimas ir ne didesnis kaip B stadijos širdies nepakankamumas) I 10–I 13</w:t>
                        </w:r>
                      </w:p>
                    </w:tc>
                    <w:tc>
                      <w:tcPr>
                        <w:tcW w:w="909" w:type="pct"/>
                      </w:tcPr>
                      <w:p>
                        <w:pPr>
                          <w:jc w:val="center"/>
                          <w:rPr>
                            <w:szCs w:val="24"/>
                          </w:rPr>
                        </w:pPr>
                        <w:r>
                          <w:rPr>
                            <w:szCs w:val="24"/>
                          </w:rPr>
                          <w:t>12</w:t>
                        </w:r>
                      </w:p>
                    </w:tc>
                  </w:tr>
                  <w:tr>
                    <w:tc>
                      <w:tcPr>
                        <w:tcW w:w="519" w:type="pct"/>
                      </w:tcPr>
                      <w:p>
                        <w:pPr>
                          <w:ind w:firstLine="284"/>
                          <w:rPr>
                            <w:szCs w:val="24"/>
                          </w:rPr>
                        </w:pPr>
                        <w:r>
                          <w:rPr>
                            <w:szCs w:val="24"/>
                          </w:rPr>
                          <w:t>3.3.</w:t>
                        </w:r>
                      </w:p>
                    </w:tc>
                    <w:tc>
                      <w:tcPr>
                        <w:tcW w:w="3572" w:type="pct"/>
                      </w:tcPr>
                      <w:p>
                        <w:pPr>
                          <w:ind w:firstLine="284"/>
                          <w:rPr>
                            <w:szCs w:val="24"/>
                          </w:rPr>
                        </w:pPr>
                        <w:r>
                          <w:rPr>
                            <w:szCs w:val="24"/>
                          </w:rPr>
                          <w:t>Hipotenzija I 95.0–I 95.1</w:t>
                        </w:r>
                      </w:p>
                    </w:tc>
                    <w:tc>
                      <w:tcPr>
                        <w:tcW w:w="909" w:type="pct"/>
                      </w:tcPr>
                      <w:p>
                        <w:pPr>
                          <w:jc w:val="center"/>
                          <w:rPr>
                            <w:szCs w:val="24"/>
                          </w:rPr>
                        </w:pPr>
                        <w:r>
                          <w:rPr>
                            <w:szCs w:val="24"/>
                          </w:rPr>
                          <w:t>12</w:t>
                        </w:r>
                      </w:p>
                    </w:tc>
                  </w:tr>
                  <w:tr>
                    <w:tc>
                      <w:tcPr>
                        <w:tcW w:w="519" w:type="pct"/>
                      </w:tcPr>
                      <w:p>
                        <w:pPr>
                          <w:ind w:firstLine="284"/>
                          <w:rPr>
                            <w:szCs w:val="24"/>
                          </w:rPr>
                        </w:pPr>
                        <w:r>
                          <w:rPr>
                            <w:szCs w:val="24"/>
                          </w:rPr>
                          <w:t>3.4.</w:t>
                        </w:r>
                      </w:p>
                    </w:tc>
                    <w:tc>
                      <w:tcPr>
                        <w:tcW w:w="3572" w:type="pct"/>
                      </w:tcPr>
                      <w:p>
                        <w:pPr>
                          <w:ind w:firstLine="284"/>
                          <w:rPr>
                            <w:szCs w:val="24"/>
                          </w:rPr>
                        </w:pPr>
                        <w:r>
                          <w:rPr>
                            <w:szCs w:val="24"/>
                          </w:rPr>
                          <w:t>Lėtinis venų nepakankamumas I 80, I 83</w:t>
                        </w:r>
                      </w:p>
                    </w:tc>
                    <w:tc>
                      <w:tcPr>
                        <w:tcW w:w="909" w:type="pct"/>
                      </w:tcPr>
                      <w:p>
                        <w:pPr>
                          <w:jc w:val="center"/>
                          <w:rPr>
                            <w:szCs w:val="24"/>
                          </w:rPr>
                        </w:pPr>
                        <w:r>
                          <w:rPr>
                            <w:szCs w:val="24"/>
                          </w:rPr>
                          <w:t>12</w:t>
                        </w:r>
                      </w:p>
                    </w:tc>
                  </w:tr>
                  <w:tr>
                    <w:tc>
                      <w:tcPr>
                        <w:tcW w:w="519" w:type="pct"/>
                      </w:tcPr>
                      <w:p>
                        <w:pPr>
                          <w:ind w:firstLine="284"/>
                          <w:rPr>
                            <w:szCs w:val="24"/>
                          </w:rPr>
                        </w:pPr>
                        <w:r>
                          <w:rPr>
                            <w:szCs w:val="24"/>
                          </w:rPr>
                          <w:t>3.5.</w:t>
                        </w:r>
                      </w:p>
                    </w:tc>
                    <w:tc>
                      <w:tcPr>
                        <w:tcW w:w="3572" w:type="pct"/>
                      </w:tcPr>
                      <w:p>
                        <w:pPr>
                          <w:ind w:firstLine="284"/>
                          <w:rPr>
                            <w:szCs w:val="24"/>
                          </w:rPr>
                        </w:pPr>
                        <w:r>
                          <w:rPr>
                            <w:szCs w:val="24"/>
                          </w:rPr>
                          <w:t>Miokarditas (ne didesnis kaip II laipsnio kraujotakos nepakankamumas) I 40,0–I 40.1, I 40.8, I 41.0–I 41.2</w:t>
                        </w:r>
                      </w:p>
                    </w:tc>
                    <w:tc>
                      <w:tcPr>
                        <w:tcW w:w="909" w:type="pct"/>
                      </w:tcPr>
                      <w:p>
                        <w:pPr>
                          <w:jc w:val="center"/>
                          <w:rPr>
                            <w:szCs w:val="24"/>
                          </w:rPr>
                        </w:pPr>
                        <w:r>
                          <w:rPr>
                            <w:szCs w:val="24"/>
                          </w:rPr>
                          <w:t>12</w:t>
                        </w:r>
                      </w:p>
                    </w:tc>
                  </w:tr>
                  <w:tr>
                    <w:tc>
                      <w:tcPr>
                        <w:tcW w:w="519" w:type="pct"/>
                      </w:tcPr>
                      <w:p>
                        <w:pPr>
                          <w:ind w:firstLine="284"/>
                          <w:rPr>
                            <w:szCs w:val="24"/>
                          </w:rPr>
                        </w:pPr>
                        <w:r>
                          <w:rPr>
                            <w:szCs w:val="24"/>
                          </w:rPr>
                          <w:t>3.6.</w:t>
                        </w:r>
                      </w:p>
                    </w:tc>
                    <w:tc>
                      <w:tcPr>
                        <w:tcW w:w="3572" w:type="pct"/>
                      </w:tcPr>
                      <w:p>
                        <w:pPr>
                          <w:ind w:firstLine="319"/>
                          <w:rPr>
                            <w:szCs w:val="24"/>
                          </w:rPr>
                        </w:pPr>
                        <w:r>
                          <w:rPr>
                            <w:szCs w:val="24"/>
                          </w:rPr>
                          <w:t>Mitralinio vožtuvo nepakankamumas arba stenozė (ne didesnis kaip I laipsnio kraujotakos nepakankamumas) I 05.0–I 05.1</w:t>
                        </w:r>
                      </w:p>
                    </w:tc>
                    <w:tc>
                      <w:tcPr>
                        <w:tcW w:w="909" w:type="pct"/>
                      </w:tcPr>
                      <w:p>
                        <w:pPr>
                          <w:jc w:val="center"/>
                          <w:rPr>
                            <w:szCs w:val="24"/>
                          </w:rPr>
                        </w:pPr>
                        <w:r>
                          <w:rPr>
                            <w:szCs w:val="24"/>
                          </w:rPr>
                          <w:t>12</w:t>
                        </w:r>
                      </w:p>
                    </w:tc>
                  </w:tr>
                  <w:tr>
                    <w:tc>
                      <w:tcPr>
                        <w:tcW w:w="519" w:type="pct"/>
                      </w:tcPr>
                      <w:p>
                        <w:pPr>
                          <w:ind w:firstLine="284"/>
                          <w:rPr>
                            <w:szCs w:val="24"/>
                          </w:rPr>
                        </w:pPr>
                        <w:r>
                          <w:rPr>
                            <w:szCs w:val="24"/>
                          </w:rPr>
                          <w:t>4.</w:t>
                        </w:r>
                      </w:p>
                    </w:tc>
                    <w:tc>
                      <w:tcPr>
                        <w:tcW w:w="3572" w:type="pct"/>
                      </w:tcPr>
                      <w:p>
                        <w:pPr>
                          <w:ind w:firstLine="284"/>
                          <w:rPr>
                            <w:szCs w:val="24"/>
                          </w:rPr>
                        </w:pPr>
                        <w:r>
                          <w:rPr>
                            <w:bCs/>
                            <w:szCs w:val="24"/>
                          </w:rPr>
                          <w:t xml:space="preserve">Ausų, nosies, gerklės ligos </w:t>
                        </w:r>
                      </w:p>
                    </w:tc>
                    <w:tc>
                      <w:tcPr>
                        <w:tcW w:w="909" w:type="pct"/>
                      </w:tcPr>
                      <w:p>
                        <w:pPr>
                          <w:jc w:val="center"/>
                          <w:rPr>
                            <w:szCs w:val="24"/>
                          </w:rPr>
                        </w:pPr>
                        <w:r>
                          <w:rPr>
                            <w:szCs w:val="24"/>
                          </w:rPr>
                          <w:t>12</w:t>
                        </w:r>
                      </w:p>
                    </w:tc>
                  </w:tr>
                  <w:tr>
                    <w:tc>
                      <w:tcPr>
                        <w:tcW w:w="519" w:type="pct"/>
                      </w:tcPr>
                      <w:p>
                        <w:pPr>
                          <w:ind w:firstLine="284"/>
                          <w:rPr>
                            <w:szCs w:val="24"/>
                          </w:rPr>
                        </w:pPr>
                        <w:r>
                          <w:rPr>
                            <w:szCs w:val="24"/>
                          </w:rPr>
                          <w:t>4.1.</w:t>
                        </w:r>
                      </w:p>
                    </w:tc>
                    <w:tc>
                      <w:tcPr>
                        <w:tcW w:w="3572" w:type="pct"/>
                      </w:tcPr>
                      <w:p>
                        <w:pPr>
                          <w:ind w:firstLine="284"/>
                          <w:rPr>
                            <w:szCs w:val="24"/>
                          </w:rPr>
                        </w:pPr>
                        <w:r>
                          <w:rPr>
                            <w:szCs w:val="24"/>
                          </w:rPr>
                          <w:t>Lėtinis (kompensuotas) tonzilitas (periodiškai pasikartojantys paūmėjimai 2–3 kartus per metus) J 35.0</w:t>
                        </w:r>
                      </w:p>
                    </w:tc>
                    <w:tc>
                      <w:tcPr>
                        <w:tcW w:w="909" w:type="pct"/>
                      </w:tcPr>
                      <w:p>
                        <w:pPr>
                          <w:jc w:val="center"/>
                          <w:rPr>
                            <w:szCs w:val="24"/>
                          </w:rPr>
                        </w:pPr>
                        <w:r>
                          <w:rPr>
                            <w:szCs w:val="24"/>
                          </w:rPr>
                          <w:t>12</w:t>
                        </w:r>
                      </w:p>
                    </w:tc>
                  </w:tr>
                  <w:tr>
                    <w:tc>
                      <w:tcPr>
                        <w:tcW w:w="519" w:type="pct"/>
                      </w:tcPr>
                      <w:p>
                        <w:pPr>
                          <w:ind w:firstLine="284"/>
                          <w:rPr>
                            <w:szCs w:val="24"/>
                          </w:rPr>
                        </w:pPr>
                        <w:r>
                          <w:rPr>
                            <w:szCs w:val="24"/>
                          </w:rPr>
                          <w:t>4.2.</w:t>
                        </w:r>
                      </w:p>
                    </w:tc>
                    <w:tc>
                      <w:tcPr>
                        <w:tcW w:w="3572" w:type="pct"/>
                      </w:tcPr>
                      <w:p>
                        <w:pPr>
                          <w:ind w:firstLine="284"/>
                          <w:rPr>
                            <w:szCs w:val="24"/>
                          </w:rPr>
                        </w:pPr>
                        <w:r>
                          <w:rPr>
                            <w:szCs w:val="24"/>
                          </w:rPr>
                          <w:t xml:space="preserve">Lėtinis nasofaringitas (periodiškai pasikartojantys paūmėjimai </w:t>
                          <w:br/>
                          <w:t>2–3 kartus per metus) J 31.1</w:t>
                        </w:r>
                      </w:p>
                    </w:tc>
                    <w:tc>
                      <w:tcPr>
                        <w:tcW w:w="909" w:type="pct"/>
                      </w:tcPr>
                      <w:p>
                        <w:pPr>
                          <w:jc w:val="center"/>
                          <w:rPr>
                            <w:szCs w:val="24"/>
                          </w:rPr>
                        </w:pPr>
                        <w:r>
                          <w:rPr>
                            <w:szCs w:val="24"/>
                          </w:rPr>
                          <w:t>12</w:t>
                        </w:r>
                      </w:p>
                    </w:tc>
                  </w:tr>
                  <w:tr>
                    <w:tc>
                      <w:tcPr>
                        <w:tcW w:w="519" w:type="pct"/>
                      </w:tcPr>
                      <w:p>
                        <w:pPr>
                          <w:ind w:firstLine="284"/>
                          <w:rPr>
                            <w:szCs w:val="24"/>
                          </w:rPr>
                        </w:pPr>
                        <w:r>
                          <w:rPr>
                            <w:szCs w:val="24"/>
                          </w:rPr>
                          <w:t>4.3.</w:t>
                        </w:r>
                      </w:p>
                    </w:tc>
                    <w:tc>
                      <w:tcPr>
                        <w:tcW w:w="3572" w:type="pct"/>
                      </w:tcPr>
                      <w:p>
                        <w:pPr>
                          <w:ind w:firstLine="284"/>
                          <w:rPr>
                            <w:szCs w:val="24"/>
                          </w:rPr>
                        </w:pPr>
                        <w:r>
                          <w:rPr>
                            <w:szCs w:val="24"/>
                          </w:rPr>
                          <w:t>Lėtinis laringitas ir laringotracheitas (periodiškai pasikartojantys paūmėjimai 2–3 kartus per metus) J 37.0, J 37.1</w:t>
                        </w:r>
                      </w:p>
                    </w:tc>
                    <w:tc>
                      <w:tcPr>
                        <w:tcW w:w="909" w:type="pct"/>
                      </w:tcPr>
                      <w:p>
                        <w:pPr>
                          <w:jc w:val="center"/>
                          <w:rPr>
                            <w:szCs w:val="24"/>
                          </w:rPr>
                        </w:pPr>
                        <w:r>
                          <w:rPr>
                            <w:szCs w:val="24"/>
                          </w:rPr>
                          <w:t>12</w:t>
                        </w:r>
                      </w:p>
                    </w:tc>
                  </w:tr>
                  <w:tr>
                    <w:tc>
                      <w:tcPr>
                        <w:tcW w:w="519" w:type="pct"/>
                      </w:tcPr>
                      <w:p>
                        <w:pPr>
                          <w:ind w:firstLine="284"/>
                          <w:rPr>
                            <w:szCs w:val="24"/>
                          </w:rPr>
                        </w:pPr>
                        <w:r>
                          <w:rPr>
                            <w:szCs w:val="24"/>
                          </w:rPr>
                          <w:t>4.4.</w:t>
                        </w:r>
                      </w:p>
                    </w:tc>
                    <w:tc>
                      <w:tcPr>
                        <w:tcW w:w="3572" w:type="pct"/>
                      </w:tcPr>
                      <w:p>
                        <w:pPr>
                          <w:ind w:firstLine="284"/>
                          <w:rPr>
                            <w:strike/>
                            <w:szCs w:val="24"/>
                          </w:rPr>
                        </w:pPr>
                        <w:r>
                          <w:rPr>
                            <w:szCs w:val="24"/>
                          </w:rPr>
                          <w:t>Otosklerozė H 80</w:t>
                        </w:r>
                      </w:p>
                    </w:tc>
                    <w:tc>
                      <w:tcPr>
                        <w:tcW w:w="909" w:type="pct"/>
                      </w:tcPr>
                      <w:p>
                        <w:pPr>
                          <w:jc w:val="center"/>
                          <w:rPr>
                            <w:szCs w:val="24"/>
                          </w:rPr>
                        </w:pPr>
                        <w:r>
                          <w:rPr>
                            <w:szCs w:val="24"/>
                          </w:rPr>
                          <w:t>12</w:t>
                        </w:r>
                      </w:p>
                    </w:tc>
                  </w:tr>
                  <w:tr>
                    <w:tc>
                      <w:tcPr>
                        <w:tcW w:w="519" w:type="pct"/>
                      </w:tcPr>
                      <w:p>
                        <w:pPr>
                          <w:ind w:firstLine="284"/>
                          <w:rPr>
                            <w:szCs w:val="24"/>
                          </w:rPr>
                        </w:pPr>
                        <w:r>
                          <w:rPr>
                            <w:szCs w:val="24"/>
                          </w:rPr>
                          <w:t>4.5.</w:t>
                        </w:r>
                      </w:p>
                    </w:tc>
                    <w:tc>
                      <w:tcPr>
                        <w:tcW w:w="3572" w:type="pct"/>
                      </w:tcPr>
                      <w:p>
                        <w:pPr>
                          <w:ind w:firstLine="284"/>
                          <w:rPr>
                            <w:szCs w:val="24"/>
                          </w:rPr>
                        </w:pPr>
                        <w:r>
                          <w:rPr>
                            <w:szCs w:val="24"/>
                          </w:rPr>
                          <w:t xml:space="preserve">Lėtinis sinusitas (periodiškai pasikartojantys paūmėjimai </w:t>
                          <w:br/>
                          <w:t>2–3 kartus per metus) J 32.0–J 32.4</w:t>
                        </w:r>
                      </w:p>
                    </w:tc>
                    <w:tc>
                      <w:tcPr>
                        <w:tcW w:w="909" w:type="pct"/>
                      </w:tcPr>
                      <w:p>
                        <w:pPr>
                          <w:jc w:val="center"/>
                          <w:rPr>
                            <w:szCs w:val="24"/>
                          </w:rPr>
                        </w:pPr>
                        <w:r>
                          <w:rPr>
                            <w:szCs w:val="24"/>
                          </w:rPr>
                          <w:t>12</w:t>
                        </w:r>
                      </w:p>
                    </w:tc>
                  </w:tr>
                  <w:tr>
                    <w:tc>
                      <w:tcPr>
                        <w:tcW w:w="519" w:type="pct"/>
                      </w:tcPr>
                      <w:p>
                        <w:pPr>
                          <w:ind w:firstLine="284"/>
                          <w:rPr>
                            <w:szCs w:val="24"/>
                          </w:rPr>
                        </w:pPr>
                        <w:r>
                          <w:rPr>
                            <w:szCs w:val="24"/>
                          </w:rPr>
                          <w:t>5.</w:t>
                        </w:r>
                      </w:p>
                    </w:tc>
                    <w:tc>
                      <w:tcPr>
                        <w:tcW w:w="3572" w:type="pct"/>
                      </w:tcPr>
                      <w:p>
                        <w:pPr>
                          <w:ind w:firstLine="284"/>
                          <w:rPr>
                            <w:szCs w:val="24"/>
                          </w:rPr>
                        </w:pPr>
                        <w:r>
                          <w:rPr>
                            <w:szCs w:val="24"/>
                          </w:rPr>
                          <w:t>Kvėpavimo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5.1.</w:t>
                        </w:r>
                      </w:p>
                    </w:tc>
                    <w:tc>
                      <w:tcPr>
                        <w:tcW w:w="3572" w:type="pct"/>
                      </w:tcPr>
                      <w:p>
                        <w:pPr>
                          <w:ind w:firstLine="284"/>
                          <w:rPr>
                            <w:szCs w:val="24"/>
                          </w:rPr>
                        </w:pPr>
                        <w:r>
                          <w:rPr>
                            <w:szCs w:val="24"/>
                          </w:rPr>
                          <w:t>Lėtinis bronchitas (ne didesnis kaip I laipsnio pulmokardialinis nepakankamumas) J 41.0, J 41.1, J 41.8</w:t>
                        </w:r>
                      </w:p>
                    </w:tc>
                    <w:tc>
                      <w:tcPr>
                        <w:tcW w:w="909" w:type="pct"/>
                      </w:tcPr>
                      <w:p>
                        <w:pPr>
                          <w:jc w:val="center"/>
                          <w:rPr>
                            <w:szCs w:val="24"/>
                          </w:rPr>
                        </w:pPr>
                        <w:r>
                          <w:rPr>
                            <w:szCs w:val="24"/>
                          </w:rPr>
                          <w:t>12</w:t>
                        </w:r>
                      </w:p>
                    </w:tc>
                  </w:tr>
                  <w:tr>
                    <w:tc>
                      <w:tcPr>
                        <w:tcW w:w="519" w:type="pct"/>
                      </w:tcPr>
                      <w:p>
                        <w:pPr>
                          <w:ind w:firstLine="284"/>
                          <w:rPr>
                            <w:szCs w:val="24"/>
                          </w:rPr>
                        </w:pPr>
                        <w:r>
                          <w:rPr>
                            <w:szCs w:val="24"/>
                          </w:rPr>
                          <w:t>5.2.</w:t>
                        </w:r>
                      </w:p>
                    </w:tc>
                    <w:tc>
                      <w:tcPr>
                        <w:tcW w:w="3572" w:type="pct"/>
                      </w:tcPr>
                      <w:p>
                        <w:pPr>
                          <w:ind w:firstLine="284"/>
                          <w:rPr>
                            <w:szCs w:val="24"/>
                          </w:rPr>
                        </w:pPr>
                        <w:r>
                          <w:rPr>
                            <w:szCs w:val="24"/>
                          </w:rPr>
                          <w:t>Lėtinės plaučių obstrukcinės ligos J 44.8, J 44.9</w:t>
                        </w:r>
                      </w:p>
                    </w:tc>
                    <w:tc>
                      <w:tcPr>
                        <w:tcW w:w="909" w:type="pct"/>
                      </w:tcPr>
                      <w:p>
                        <w:pPr>
                          <w:jc w:val="center"/>
                          <w:rPr>
                            <w:szCs w:val="24"/>
                          </w:rPr>
                        </w:pPr>
                        <w:r>
                          <w:rPr>
                            <w:szCs w:val="24"/>
                          </w:rPr>
                          <w:t>12</w:t>
                        </w:r>
                      </w:p>
                    </w:tc>
                  </w:tr>
                  <w:tr>
                    <w:tc>
                      <w:tcPr>
                        <w:tcW w:w="519" w:type="pct"/>
                      </w:tcPr>
                      <w:p>
                        <w:pPr>
                          <w:ind w:firstLine="284"/>
                          <w:rPr>
                            <w:szCs w:val="24"/>
                          </w:rPr>
                        </w:pPr>
                        <w:r>
                          <w:rPr>
                            <w:szCs w:val="24"/>
                          </w:rPr>
                          <w:t>6.</w:t>
                        </w:r>
                      </w:p>
                    </w:tc>
                    <w:tc>
                      <w:tcPr>
                        <w:tcW w:w="3572" w:type="pct"/>
                      </w:tcPr>
                      <w:p>
                        <w:pPr>
                          <w:ind w:firstLine="284"/>
                          <w:rPr>
                            <w:szCs w:val="24"/>
                          </w:rPr>
                        </w:pPr>
                        <w:r>
                          <w:rPr>
                            <w:bCs/>
                            <w:szCs w:val="24"/>
                          </w:rPr>
                          <w:t xml:space="preserve">Virškinimo sistemos ligos </w:t>
                        </w:r>
                      </w:p>
                    </w:tc>
                    <w:tc>
                      <w:tcPr>
                        <w:tcW w:w="909" w:type="pct"/>
                      </w:tcPr>
                      <w:p>
                        <w:pPr>
                          <w:jc w:val="center"/>
                          <w:rPr>
                            <w:szCs w:val="24"/>
                          </w:rPr>
                        </w:pPr>
                        <w:r>
                          <w:rPr>
                            <w:szCs w:val="24"/>
                          </w:rPr>
                          <w:t>12</w:t>
                        </w:r>
                      </w:p>
                    </w:tc>
                  </w:tr>
                  <w:tr>
                    <w:tc>
                      <w:tcPr>
                        <w:tcW w:w="519" w:type="pct"/>
                      </w:tcPr>
                      <w:p>
                        <w:pPr>
                          <w:ind w:firstLine="284"/>
                          <w:rPr>
                            <w:szCs w:val="24"/>
                          </w:rPr>
                        </w:pPr>
                        <w:r>
                          <w:rPr>
                            <w:szCs w:val="24"/>
                          </w:rPr>
                          <w:t>6.1.</w:t>
                        </w:r>
                      </w:p>
                    </w:tc>
                    <w:tc>
                      <w:tcPr>
                        <w:tcW w:w="3572" w:type="pct"/>
                      </w:tcPr>
                      <w:p>
                        <w:pPr>
                          <w:ind w:firstLine="284"/>
                          <w:rPr>
                            <w:szCs w:val="24"/>
                          </w:rPr>
                        </w:pPr>
                        <w:r>
                          <w:rPr>
                            <w:szCs w:val="24"/>
                          </w:rPr>
                          <w:t>Skrandžio ir dvylikapirštės žarnos opaligė (remisijos fazė) K 25–K 28</w:t>
                        </w:r>
                      </w:p>
                    </w:tc>
                    <w:tc>
                      <w:tcPr>
                        <w:tcW w:w="909" w:type="pct"/>
                      </w:tcPr>
                      <w:p>
                        <w:pPr>
                          <w:jc w:val="center"/>
                          <w:rPr>
                            <w:szCs w:val="24"/>
                          </w:rPr>
                        </w:pPr>
                        <w:r>
                          <w:rPr>
                            <w:szCs w:val="24"/>
                          </w:rPr>
                          <w:t>12</w:t>
                        </w:r>
                      </w:p>
                    </w:tc>
                  </w:tr>
                  <w:tr>
                    <w:tc>
                      <w:tcPr>
                        <w:tcW w:w="519" w:type="pct"/>
                      </w:tcPr>
                      <w:p>
                        <w:pPr>
                          <w:ind w:firstLine="284"/>
                          <w:rPr>
                            <w:szCs w:val="24"/>
                          </w:rPr>
                        </w:pPr>
                        <w:r>
                          <w:rPr>
                            <w:szCs w:val="24"/>
                          </w:rPr>
                          <w:t>6.2.</w:t>
                        </w:r>
                      </w:p>
                    </w:tc>
                    <w:tc>
                      <w:tcPr>
                        <w:tcW w:w="3572" w:type="pct"/>
                      </w:tcPr>
                      <w:p>
                        <w:pPr>
                          <w:ind w:firstLine="284"/>
                          <w:rPr>
                            <w:szCs w:val="24"/>
                          </w:rPr>
                        </w:pPr>
                        <w:r>
                          <w:rPr>
                            <w:szCs w:val="24"/>
                          </w:rPr>
                          <w:t>Lėtinis gastritas (remisijos fazė)</w:t>
                        </w:r>
                      </w:p>
                    </w:tc>
                    <w:tc>
                      <w:tcPr>
                        <w:tcW w:w="909" w:type="pct"/>
                      </w:tcPr>
                      <w:p>
                        <w:pPr>
                          <w:jc w:val="center"/>
                          <w:rPr>
                            <w:szCs w:val="24"/>
                          </w:rPr>
                        </w:pPr>
                        <w:r>
                          <w:rPr>
                            <w:szCs w:val="24"/>
                          </w:rPr>
                          <w:t>12</w:t>
                        </w:r>
                      </w:p>
                    </w:tc>
                  </w:tr>
                  <w:tr>
                    <w:tc>
                      <w:tcPr>
                        <w:tcW w:w="519" w:type="pct"/>
                      </w:tcPr>
                      <w:p>
                        <w:pPr>
                          <w:ind w:firstLine="284"/>
                          <w:rPr>
                            <w:szCs w:val="24"/>
                          </w:rPr>
                        </w:pPr>
                        <w:r>
                          <w:rPr>
                            <w:szCs w:val="24"/>
                          </w:rPr>
                          <w:t>6.3.</w:t>
                        </w:r>
                      </w:p>
                    </w:tc>
                    <w:tc>
                      <w:tcPr>
                        <w:tcW w:w="3572" w:type="pct"/>
                      </w:tcPr>
                      <w:p>
                        <w:pPr>
                          <w:ind w:firstLine="284"/>
                          <w:rPr>
                            <w:szCs w:val="24"/>
                          </w:rPr>
                        </w:pPr>
                        <w:r>
                          <w:rPr>
                            <w:szCs w:val="24"/>
                          </w:rPr>
                          <w:t>Lėtinis kolitas ir enterokolitas (išskyrus infekcinės kilmės bei stenozuojantįjį) K 50.0, K 50.1, K 51.0, K 51.8</w:t>
                        </w:r>
                      </w:p>
                    </w:tc>
                    <w:tc>
                      <w:tcPr>
                        <w:tcW w:w="909" w:type="pct"/>
                      </w:tcPr>
                      <w:p>
                        <w:pPr>
                          <w:jc w:val="center"/>
                          <w:rPr>
                            <w:szCs w:val="24"/>
                          </w:rPr>
                        </w:pPr>
                        <w:r>
                          <w:rPr>
                            <w:szCs w:val="24"/>
                          </w:rPr>
                          <w:t>12</w:t>
                        </w:r>
                      </w:p>
                    </w:tc>
                  </w:tr>
                  <w:tr>
                    <w:tc>
                      <w:tcPr>
                        <w:tcW w:w="519" w:type="pct"/>
                      </w:tcPr>
                      <w:p>
                        <w:pPr>
                          <w:ind w:firstLine="284"/>
                          <w:rPr>
                            <w:szCs w:val="24"/>
                          </w:rPr>
                        </w:pPr>
                        <w:r>
                          <w:rPr>
                            <w:szCs w:val="24"/>
                          </w:rPr>
                          <w:t>6.4.</w:t>
                        </w:r>
                      </w:p>
                    </w:tc>
                    <w:tc>
                      <w:tcPr>
                        <w:tcW w:w="3572" w:type="pct"/>
                      </w:tcPr>
                      <w:p>
                        <w:pPr>
                          <w:ind w:firstLine="284"/>
                          <w:rPr>
                            <w:szCs w:val="24"/>
                          </w:rPr>
                        </w:pPr>
                        <w:r>
                          <w:rPr>
                            <w:szCs w:val="24"/>
                          </w:rPr>
                          <w:t>Dirgliosios žarnos sindromas K 58</w:t>
                        </w:r>
                      </w:p>
                    </w:tc>
                    <w:tc>
                      <w:tcPr>
                        <w:tcW w:w="909" w:type="pct"/>
                      </w:tcPr>
                      <w:p>
                        <w:pPr>
                          <w:jc w:val="center"/>
                          <w:rPr>
                            <w:szCs w:val="24"/>
                          </w:rPr>
                        </w:pPr>
                        <w:r>
                          <w:rPr>
                            <w:szCs w:val="24"/>
                          </w:rPr>
                          <w:t>12</w:t>
                        </w:r>
                      </w:p>
                    </w:tc>
                  </w:tr>
                  <w:tr>
                    <w:tc>
                      <w:tcPr>
                        <w:tcW w:w="519" w:type="pct"/>
                      </w:tcPr>
                      <w:p>
                        <w:pPr>
                          <w:ind w:firstLine="284"/>
                          <w:rPr>
                            <w:szCs w:val="24"/>
                          </w:rPr>
                        </w:pPr>
                        <w:r>
                          <w:rPr>
                            <w:szCs w:val="24"/>
                          </w:rPr>
                          <w:t>6.5.</w:t>
                        </w:r>
                      </w:p>
                    </w:tc>
                    <w:tc>
                      <w:tcPr>
                        <w:tcW w:w="3572" w:type="pct"/>
                      </w:tcPr>
                      <w:p>
                        <w:pPr>
                          <w:ind w:firstLine="284"/>
                          <w:rPr>
                            <w:szCs w:val="24"/>
                          </w:rPr>
                        </w:pPr>
                        <w:r>
                          <w:rPr>
                            <w:szCs w:val="24"/>
                          </w:rPr>
                          <w:t>Lėtinis hepatitas K 71.0–K 71.6, K 73.0–K 73.2</w:t>
                        </w:r>
                      </w:p>
                    </w:tc>
                    <w:tc>
                      <w:tcPr>
                        <w:tcW w:w="909" w:type="pct"/>
                      </w:tcPr>
                      <w:p>
                        <w:pPr>
                          <w:jc w:val="center"/>
                          <w:rPr>
                            <w:szCs w:val="24"/>
                          </w:rPr>
                        </w:pPr>
                        <w:r>
                          <w:rPr>
                            <w:szCs w:val="24"/>
                          </w:rPr>
                          <w:t>12</w:t>
                        </w:r>
                      </w:p>
                    </w:tc>
                  </w:tr>
                  <w:tr>
                    <w:tc>
                      <w:tcPr>
                        <w:tcW w:w="519" w:type="pct"/>
                      </w:tcPr>
                      <w:p>
                        <w:pPr>
                          <w:ind w:firstLine="284"/>
                          <w:rPr>
                            <w:szCs w:val="24"/>
                          </w:rPr>
                        </w:pPr>
                        <w:r>
                          <w:rPr>
                            <w:szCs w:val="24"/>
                          </w:rPr>
                          <w:t>6.6.</w:t>
                        </w:r>
                      </w:p>
                    </w:tc>
                    <w:tc>
                      <w:tcPr>
                        <w:tcW w:w="3572" w:type="pct"/>
                      </w:tcPr>
                      <w:p>
                        <w:pPr>
                          <w:ind w:firstLine="284"/>
                          <w:rPr>
                            <w:szCs w:val="24"/>
                          </w:rPr>
                        </w:pPr>
                        <w:r>
                          <w:rPr>
                            <w:szCs w:val="24"/>
                          </w:rPr>
                          <w:t>Cholecistitas, cholangitas (remisijos fazė) K 81.1, K 83.0</w:t>
                        </w:r>
                      </w:p>
                    </w:tc>
                    <w:tc>
                      <w:tcPr>
                        <w:tcW w:w="909" w:type="pct"/>
                      </w:tcPr>
                      <w:p>
                        <w:pPr>
                          <w:jc w:val="center"/>
                          <w:rPr>
                            <w:szCs w:val="24"/>
                          </w:rPr>
                        </w:pPr>
                        <w:r>
                          <w:rPr>
                            <w:szCs w:val="24"/>
                          </w:rPr>
                          <w:t>12</w:t>
                        </w:r>
                      </w:p>
                    </w:tc>
                  </w:tr>
                  <w:tr>
                    <w:tc>
                      <w:tcPr>
                        <w:tcW w:w="519" w:type="pct"/>
                      </w:tcPr>
                      <w:p>
                        <w:pPr>
                          <w:ind w:firstLine="284"/>
                          <w:rPr>
                            <w:szCs w:val="24"/>
                          </w:rPr>
                        </w:pPr>
                        <w:r>
                          <w:rPr>
                            <w:szCs w:val="24"/>
                          </w:rPr>
                          <w:t>6.7.</w:t>
                        </w:r>
                      </w:p>
                    </w:tc>
                    <w:tc>
                      <w:tcPr>
                        <w:tcW w:w="3572" w:type="pct"/>
                      </w:tcPr>
                      <w:p>
                        <w:pPr>
                          <w:ind w:firstLine="284"/>
                          <w:rPr>
                            <w:szCs w:val="24"/>
                          </w:rPr>
                        </w:pPr>
                        <w:r>
                          <w:rPr>
                            <w:szCs w:val="24"/>
                          </w:rPr>
                          <w:t>Tulžies pūslės ir kepenų latakų diskinezija K 82.8</w:t>
                        </w:r>
                      </w:p>
                    </w:tc>
                    <w:tc>
                      <w:tcPr>
                        <w:tcW w:w="909" w:type="pct"/>
                      </w:tcPr>
                      <w:p>
                        <w:pPr>
                          <w:jc w:val="center"/>
                          <w:rPr>
                            <w:szCs w:val="24"/>
                          </w:rPr>
                        </w:pPr>
                        <w:r>
                          <w:rPr>
                            <w:szCs w:val="24"/>
                          </w:rPr>
                          <w:t>12</w:t>
                        </w:r>
                      </w:p>
                    </w:tc>
                  </w:tr>
                  <w:tr>
                    <w:tc>
                      <w:tcPr>
                        <w:tcW w:w="519" w:type="pct"/>
                      </w:tcPr>
                      <w:p>
                        <w:pPr>
                          <w:ind w:firstLine="284"/>
                          <w:rPr>
                            <w:szCs w:val="24"/>
                          </w:rPr>
                        </w:pPr>
                        <w:r>
                          <w:rPr>
                            <w:szCs w:val="24"/>
                          </w:rPr>
                          <w:t>6.8.</w:t>
                        </w:r>
                      </w:p>
                    </w:tc>
                    <w:tc>
                      <w:tcPr>
                        <w:tcW w:w="3572" w:type="pct"/>
                      </w:tcPr>
                      <w:p>
                        <w:pPr>
                          <w:ind w:firstLine="284"/>
                          <w:rPr>
                            <w:szCs w:val="24"/>
                          </w:rPr>
                        </w:pPr>
                        <w:r>
                          <w:rPr>
                            <w:spacing w:val="-2"/>
                            <w:szCs w:val="24"/>
                          </w:rPr>
                          <w:t>Tulžies pūslės akmenligė (be infekcinių komplikacijų, kolikų, kai neindikuotas chirurginis gydymas) K 80.2, K 80.5</w:t>
                        </w:r>
                      </w:p>
                    </w:tc>
                    <w:tc>
                      <w:tcPr>
                        <w:tcW w:w="909" w:type="pct"/>
                      </w:tcPr>
                      <w:p>
                        <w:pPr>
                          <w:jc w:val="center"/>
                          <w:rPr>
                            <w:szCs w:val="24"/>
                          </w:rPr>
                        </w:pPr>
                        <w:r>
                          <w:rPr>
                            <w:szCs w:val="24"/>
                          </w:rPr>
                          <w:t>12</w:t>
                        </w:r>
                      </w:p>
                    </w:tc>
                  </w:tr>
                  <w:tr>
                    <w:tc>
                      <w:tcPr>
                        <w:tcW w:w="519" w:type="pct"/>
                      </w:tcPr>
                      <w:p>
                        <w:pPr>
                          <w:ind w:firstLine="284"/>
                          <w:rPr>
                            <w:szCs w:val="24"/>
                          </w:rPr>
                        </w:pPr>
                        <w:r>
                          <w:rPr>
                            <w:szCs w:val="24"/>
                          </w:rPr>
                          <w:t>6.9.</w:t>
                        </w:r>
                      </w:p>
                    </w:tc>
                    <w:tc>
                      <w:tcPr>
                        <w:tcW w:w="3572" w:type="pct"/>
                      </w:tcPr>
                      <w:p>
                        <w:pPr>
                          <w:ind w:firstLine="284"/>
                          <w:rPr>
                            <w:szCs w:val="24"/>
                          </w:rPr>
                        </w:pPr>
                        <w:r>
                          <w:rPr>
                            <w:szCs w:val="24"/>
                          </w:rPr>
                          <w:t>Lėtinis pankreatitas (remisijos fazė) K 86.1</w:t>
                        </w:r>
                      </w:p>
                    </w:tc>
                    <w:tc>
                      <w:tcPr>
                        <w:tcW w:w="909" w:type="pct"/>
                      </w:tcPr>
                      <w:p>
                        <w:pPr>
                          <w:jc w:val="center"/>
                          <w:rPr>
                            <w:szCs w:val="24"/>
                          </w:rPr>
                        </w:pPr>
                        <w:r>
                          <w:rPr>
                            <w:szCs w:val="24"/>
                          </w:rPr>
                          <w:t>12</w:t>
                        </w:r>
                      </w:p>
                    </w:tc>
                  </w:tr>
                  <w:tr>
                    <w:tc>
                      <w:tcPr>
                        <w:tcW w:w="519" w:type="pct"/>
                      </w:tcPr>
                      <w:p>
                        <w:pPr>
                          <w:ind w:firstLine="284"/>
                          <w:rPr>
                            <w:szCs w:val="24"/>
                          </w:rPr>
                        </w:pPr>
                        <w:r>
                          <w:rPr>
                            <w:szCs w:val="24"/>
                          </w:rPr>
                          <w:t>6.10.</w:t>
                        </w:r>
                      </w:p>
                    </w:tc>
                    <w:tc>
                      <w:tcPr>
                        <w:tcW w:w="3572" w:type="pct"/>
                      </w:tcPr>
                      <w:p>
                        <w:pPr>
                          <w:ind w:firstLine="284"/>
                          <w:rPr>
                            <w:szCs w:val="24"/>
                          </w:rPr>
                        </w:pPr>
                        <w:r>
                          <w:rPr>
                            <w:szCs w:val="24"/>
                          </w:rPr>
                          <w:t>Abdominalinės sąaugos (nesukeliančios nepraeinamumo reiškinių) K 66.0</w:t>
                        </w:r>
                      </w:p>
                    </w:tc>
                    <w:tc>
                      <w:tcPr>
                        <w:tcW w:w="909" w:type="pct"/>
                      </w:tcPr>
                      <w:p>
                        <w:pPr>
                          <w:jc w:val="center"/>
                          <w:rPr>
                            <w:szCs w:val="24"/>
                          </w:rPr>
                        </w:pPr>
                        <w:r>
                          <w:rPr>
                            <w:szCs w:val="24"/>
                          </w:rPr>
                          <w:t>12</w:t>
                        </w:r>
                      </w:p>
                    </w:tc>
                  </w:tr>
                  <w:tr>
                    <w:tc>
                      <w:tcPr>
                        <w:tcW w:w="519" w:type="pct"/>
                      </w:tcPr>
                      <w:p>
                        <w:pPr>
                          <w:ind w:firstLine="284"/>
                          <w:rPr>
                            <w:szCs w:val="24"/>
                          </w:rPr>
                        </w:pPr>
                        <w:r>
                          <w:rPr>
                            <w:szCs w:val="24"/>
                          </w:rPr>
                          <w:t>7.</w:t>
                        </w:r>
                      </w:p>
                    </w:tc>
                    <w:tc>
                      <w:tcPr>
                        <w:tcW w:w="3572" w:type="pct"/>
                      </w:tcPr>
                      <w:p>
                        <w:pPr>
                          <w:ind w:firstLine="284"/>
                          <w:rPr>
                            <w:szCs w:val="24"/>
                          </w:rPr>
                        </w:pPr>
                        <w:r>
                          <w:rPr>
                            <w:szCs w:val="24"/>
                          </w:rPr>
                          <w:t>Jungiamojo audinio ir raumenų bei skeleto ligos</w:t>
                        </w:r>
                      </w:p>
                    </w:tc>
                    <w:tc>
                      <w:tcPr>
                        <w:tcW w:w="909" w:type="pct"/>
                      </w:tcPr>
                      <w:p>
                        <w:pPr>
                          <w:jc w:val="center"/>
                          <w:rPr>
                            <w:szCs w:val="24"/>
                          </w:rPr>
                        </w:pPr>
                        <w:r>
                          <w:rPr>
                            <w:szCs w:val="24"/>
                          </w:rPr>
                          <w:t>12</w:t>
                        </w:r>
                      </w:p>
                    </w:tc>
                  </w:tr>
                  <w:tr>
                    <w:tc>
                      <w:tcPr>
                        <w:tcW w:w="519" w:type="pct"/>
                      </w:tcPr>
                      <w:p>
                        <w:pPr>
                          <w:ind w:firstLine="284"/>
                          <w:rPr>
                            <w:szCs w:val="24"/>
                          </w:rPr>
                        </w:pPr>
                        <w:r>
                          <w:rPr>
                            <w:szCs w:val="24"/>
                          </w:rPr>
                          <w:t>7.1.</w:t>
                        </w:r>
                      </w:p>
                    </w:tc>
                    <w:tc>
                      <w:tcPr>
                        <w:tcW w:w="3572" w:type="pct"/>
                      </w:tcPr>
                      <w:p>
                        <w:pPr>
                          <w:ind w:firstLine="284"/>
                          <w:rPr>
                            <w:szCs w:val="24"/>
                          </w:rPr>
                        </w:pPr>
                        <w:r>
                          <w:rPr>
                            <w:szCs w:val="24"/>
                          </w:rPr>
                          <w:t>Reumatoidinis artritas (minimalus aktyvumas, kai pacientas gali apsitarnauti) M05, M 06</w:t>
                        </w:r>
                      </w:p>
                    </w:tc>
                    <w:tc>
                      <w:tcPr>
                        <w:tcW w:w="909" w:type="pct"/>
                      </w:tcPr>
                      <w:p>
                        <w:pPr>
                          <w:jc w:val="center"/>
                          <w:rPr>
                            <w:szCs w:val="24"/>
                          </w:rPr>
                        </w:pPr>
                        <w:r>
                          <w:rPr>
                            <w:szCs w:val="24"/>
                          </w:rPr>
                          <w:t>12</w:t>
                        </w:r>
                      </w:p>
                    </w:tc>
                  </w:tr>
                  <w:tr>
                    <w:tc>
                      <w:tcPr>
                        <w:tcW w:w="519" w:type="pct"/>
                      </w:tcPr>
                      <w:p>
                        <w:pPr>
                          <w:ind w:firstLine="284"/>
                          <w:rPr>
                            <w:szCs w:val="24"/>
                          </w:rPr>
                        </w:pPr>
                        <w:r>
                          <w:rPr>
                            <w:szCs w:val="24"/>
                          </w:rPr>
                          <w:t>7.2.</w:t>
                        </w:r>
                      </w:p>
                    </w:tc>
                    <w:tc>
                      <w:tcPr>
                        <w:tcW w:w="3572" w:type="pct"/>
                      </w:tcPr>
                      <w:p>
                        <w:pPr>
                          <w:ind w:firstLine="284"/>
                          <w:rPr>
                            <w:szCs w:val="24"/>
                          </w:rPr>
                        </w:pPr>
                        <w:r>
                          <w:rPr>
                            <w:szCs w:val="24"/>
                          </w:rPr>
                          <w:t>Kitos artrito pasekmės (praėjus 8 mėn. po ūmių simptomų, kai širdies nepakankamumas ne didesnis kaip I laipsnio) M 13.0</w:t>
                        </w:r>
                      </w:p>
                    </w:tc>
                    <w:tc>
                      <w:tcPr>
                        <w:tcW w:w="909" w:type="pct"/>
                      </w:tcPr>
                      <w:p>
                        <w:pPr>
                          <w:jc w:val="center"/>
                          <w:rPr>
                            <w:szCs w:val="24"/>
                          </w:rPr>
                        </w:pPr>
                        <w:r>
                          <w:rPr>
                            <w:szCs w:val="24"/>
                          </w:rPr>
                          <w:t>12</w:t>
                        </w:r>
                      </w:p>
                    </w:tc>
                  </w:tr>
                  <w:tr>
                    <w:tc>
                      <w:tcPr>
                        <w:tcW w:w="519" w:type="pct"/>
                      </w:tcPr>
                      <w:p>
                        <w:pPr>
                          <w:ind w:firstLine="284"/>
                          <w:rPr>
                            <w:szCs w:val="24"/>
                          </w:rPr>
                        </w:pPr>
                        <w:r>
                          <w:rPr>
                            <w:szCs w:val="24"/>
                          </w:rPr>
                          <w:t>7.3.</w:t>
                        </w:r>
                      </w:p>
                    </w:tc>
                    <w:tc>
                      <w:tcPr>
                        <w:tcW w:w="3572" w:type="pct"/>
                      </w:tcPr>
                      <w:p>
                        <w:pPr>
                          <w:ind w:firstLine="284"/>
                          <w:rPr>
                            <w:szCs w:val="24"/>
                          </w:rPr>
                        </w:pPr>
                        <w:r>
                          <w:rPr>
                            <w:szCs w:val="24"/>
                          </w:rPr>
                          <w:t>Infekcinis poliartritas (proceso aktyvumas ne didesnis kaip II laipsnio). M 00.0–M 00.2, M 00.8, M 02.3, M 02.8, M 03.2, M 03.6</w:t>
                        </w:r>
                      </w:p>
                    </w:tc>
                    <w:tc>
                      <w:tcPr>
                        <w:tcW w:w="909" w:type="pct"/>
                      </w:tcPr>
                      <w:p>
                        <w:pPr>
                          <w:jc w:val="center"/>
                          <w:rPr>
                            <w:szCs w:val="24"/>
                          </w:rPr>
                        </w:pPr>
                        <w:r>
                          <w:rPr>
                            <w:szCs w:val="24"/>
                          </w:rPr>
                          <w:t>12</w:t>
                        </w:r>
                      </w:p>
                    </w:tc>
                  </w:tr>
                  <w:tr>
                    <w:tc>
                      <w:tcPr>
                        <w:tcW w:w="519" w:type="pct"/>
                      </w:tcPr>
                      <w:p>
                        <w:pPr>
                          <w:ind w:firstLine="284"/>
                          <w:rPr>
                            <w:szCs w:val="24"/>
                          </w:rPr>
                        </w:pPr>
                        <w:r>
                          <w:rPr>
                            <w:szCs w:val="24"/>
                          </w:rPr>
                          <w:t>7.4.</w:t>
                        </w:r>
                      </w:p>
                    </w:tc>
                    <w:tc>
                      <w:tcPr>
                        <w:tcW w:w="3572" w:type="pct"/>
                      </w:tcPr>
                      <w:p>
                        <w:pPr>
                          <w:ind w:firstLine="284"/>
                          <w:rPr>
                            <w:szCs w:val="24"/>
                          </w:rPr>
                        </w:pPr>
                        <w:r>
                          <w:rPr>
                            <w:szCs w:val="24"/>
                          </w:rPr>
                          <w:t>Osteoartrozė. Lėtinis, pasikartojantis sąnarių skausmas. M 15.0–M 15.4, M 16.0–M16.7, M 17.0–M 17.5</w:t>
                        </w:r>
                      </w:p>
                    </w:tc>
                    <w:tc>
                      <w:tcPr>
                        <w:tcW w:w="909" w:type="pct"/>
                      </w:tcPr>
                      <w:p>
                        <w:pPr>
                          <w:jc w:val="center"/>
                          <w:rPr>
                            <w:szCs w:val="24"/>
                          </w:rPr>
                        </w:pPr>
                        <w:r>
                          <w:rPr>
                            <w:szCs w:val="24"/>
                          </w:rPr>
                          <w:t>12</w:t>
                        </w:r>
                      </w:p>
                    </w:tc>
                  </w:tr>
                  <w:tr>
                    <w:tc>
                      <w:tcPr>
                        <w:tcW w:w="519" w:type="pct"/>
                      </w:tcPr>
                      <w:p>
                        <w:pPr>
                          <w:ind w:firstLine="284"/>
                          <w:rPr>
                            <w:szCs w:val="24"/>
                          </w:rPr>
                        </w:pPr>
                        <w:r>
                          <w:rPr>
                            <w:szCs w:val="24"/>
                          </w:rPr>
                          <w:t>7.5.</w:t>
                        </w:r>
                      </w:p>
                    </w:tc>
                    <w:tc>
                      <w:tcPr>
                        <w:tcW w:w="3572" w:type="pct"/>
                      </w:tcPr>
                      <w:p>
                        <w:pPr>
                          <w:ind w:firstLine="284"/>
                          <w:rPr>
                            <w:szCs w:val="24"/>
                          </w:rPr>
                        </w:pPr>
                        <w:r>
                          <w:rPr>
                            <w:szCs w:val="24"/>
                          </w:rPr>
                          <w:t>Trauminis artritas (praėjus 4 mėnesiams po operacijos). M 12.5</w:t>
                        </w:r>
                      </w:p>
                    </w:tc>
                    <w:tc>
                      <w:tcPr>
                        <w:tcW w:w="909" w:type="pct"/>
                      </w:tcPr>
                      <w:p>
                        <w:pPr>
                          <w:jc w:val="center"/>
                          <w:rPr>
                            <w:szCs w:val="24"/>
                          </w:rPr>
                        </w:pPr>
                        <w:r>
                          <w:rPr>
                            <w:szCs w:val="24"/>
                          </w:rPr>
                          <w:t>12</w:t>
                        </w:r>
                      </w:p>
                    </w:tc>
                  </w:tr>
                  <w:tr>
                    <w:tc>
                      <w:tcPr>
                        <w:tcW w:w="519" w:type="pct"/>
                      </w:tcPr>
                      <w:p>
                        <w:pPr>
                          <w:ind w:firstLine="284"/>
                          <w:rPr>
                            <w:szCs w:val="24"/>
                          </w:rPr>
                        </w:pPr>
                        <w:r>
                          <w:rPr>
                            <w:szCs w:val="24"/>
                          </w:rPr>
                          <w:t>7.6.</w:t>
                        </w:r>
                      </w:p>
                    </w:tc>
                    <w:tc>
                      <w:tcPr>
                        <w:tcW w:w="3572" w:type="pct"/>
                      </w:tcPr>
                      <w:p>
                        <w:pPr>
                          <w:ind w:firstLine="284"/>
                          <w:rPr>
                            <w:szCs w:val="24"/>
                          </w:rPr>
                        </w:pPr>
                        <w:r>
                          <w:rPr>
                            <w:szCs w:val="24"/>
                          </w:rPr>
                          <w:t>Osteochondrozė. Lėtinis, pasikartojantis stuburo kaklinės, krūtininės ar juosmeninės srities skausmas M 42.1</w:t>
                        </w:r>
                      </w:p>
                    </w:tc>
                    <w:tc>
                      <w:tcPr>
                        <w:tcW w:w="909" w:type="pct"/>
                      </w:tcPr>
                      <w:p>
                        <w:pPr>
                          <w:jc w:val="center"/>
                          <w:rPr>
                            <w:szCs w:val="24"/>
                          </w:rPr>
                        </w:pPr>
                        <w:r>
                          <w:rPr>
                            <w:szCs w:val="24"/>
                          </w:rPr>
                          <w:t>12</w:t>
                        </w:r>
                      </w:p>
                    </w:tc>
                  </w:tr>
                  <w:tr>
                    <w:tc>
                      <w:tcPr>
                        <w:tcW w:w="519" w:type="pct"/>
                      </w:tcPr>
                      <w:p>
                        <w:pPr>
                          <w:ind w:firstLine="284"/>
                          <w:rPr>
                            <w:szCs w:val="24"/>
                          </w:rPr>
                        </w:pPr>
                        <w:r>
                          <w:rPr>
                            <w:szCs w:val="24"/>
                          </w:rPr>
                          <w:t>7.7.</w:t>
                        </w:r>
                      </w:p>
                    </w:tc>
                    <w:tc>
                      <w:tcPr>
                        <w:tcW w:w="3572" w:type="pct"/>
                      </w:tcPr>
                      <w:p>
                        <w:pPr>
                          <w:ind w:firstLine="284"/>
                          <w:rPr>
                            <w:szCs w:val="24"/>
                          </w:rPr>
                        </w:pPr>
                        <w:r>
                          <w:rPr>
                            <w:szCs w:val="24"/>
                          </w:rPr>
                          <w:t>Spondiliozė M 47</w:t>
                        </w:r>
                      </w:p>
                    </w:tc>
                    <w:tc>
                      <w:tcPr>
                        <w:tcW w:w="909" w:type="pct"/>
                      </w:tcPr>
                      <w:p>
                        <w:pPr>
                          <w:jc w:val="center"/>
                          <w:rPr>
                            <w:szCs w:val="24"/>
                          </w:rPr>
                        </w:pPr>
                        <w:r>
                          <w:rPr>
                            <w:szCs w:val="24"/>
                          </w:rPr>
                          <w:t>12</w:t>
                        </w:r>
                      </w:p>
                    </w:tc>
                  </w:tr>
                  <w:tr>
                    <w:tc>
                      <w:tcPr>
                        <w:tcW w:w="519" w:type="pct"/>
                      </w:tcPr>
                      <w:p>
                        <w:pPr>
                          <w:ind w:firstLine="284"/>
                          <w:rPr>
                            <w:szCs w:val="24"/>
                          </w:rPr>
                        </w:pPr>
                        <w:r>
                          <w:rPr>
                            <w:szCs w:val="24"/>
                          </w:rPr>
                          <w:t>7.8.</w:t>
                        </w:r>
                      </w:p>
                    </w:tc>
                    <w:tc>
                      <w:tcPr>
                        <w:tcW w:w="3572" w:type="pct"/>
                      </w:tcPr>
                      <w:p>
                        <w:pPr>
                          <w:ind w:firstLine="284"/>
                          <w:rPr>
                            <w:szCs w:val="24"/>
                          </w:rPr>
                        </w:pPr>
                        <w:r>
                          <w:rPr>
                            <w:szCs w:val="24"/>
                          </w:rPr>
                          <w:t>Ankilozinis spondilitas (remisijos fazėje) M 45</w:t>
                        </w:r>
                      </w:p>
                    </w:tc>
                    <w:tc>
                      <w:tcPr>
                        <w:tcW w:w="909" w:type="pct"/>
                      </w:tcPr>
                      <w:p>
                        <w:pPr>
                          <w:jc w:val="center"/>
                          <w:rPr>
                            <w:szCs w:val="24"/>
                          </w:rPr>
                        </w:pPr>
                        <w:r>
                          <w:rPr>
                            <w:szCs w:val="24"/>
                          </w:rPr>
                          <w:t>12</w:t>
                        </w:r>
                      </w:p>
                    </w:tc>
                  </w:tr>
                  <w:tr>
                    <w:tc>
                      <w:tcPr>
                        <w:tcW w:w="519" w:type="pct"/>
                      </w:tcPr>
                      <w:p>
                        <w:pPr>
                          <w:ind w:firstLine="284"/>
                          <w:rPr>
                            <w:szCs w:val="24"/>
                          </w:rPr>
                        </w:pPr>
                        <w:r>
                          <w:rPr>
                            <w:szCs w:val="24"/>
                          </w:rPr>
                          <w:t>7.9.</w:t>
                        </w:r>
                      </w:p>
                    </w:tc>
                    <w:tc>
                      <w:tcPr>
                        <w:tcW w:w="3572" w:type="pct"/>
                      </w:tcPr>
                      <w:p>
                        <w:pPr>
                          <w:ind w:firstLine="284"/>
                          <w:rPr>
                            <w:szCs w:val="24"/>
                          </w:rPr>
                        </w:pPr>
                        <w:r>
                          <w:rPr>
                            <w:szCs w:val="24"/>
                          </w:rPr>
                          <w:t>Periodiškai paūmėjančios infekcinės, toksinės, trauminės arba profesinės kilmės raumenų ligos M 60.8, M 61.0–M 61.1, M 62.4–M 62.5</w:t>
                        </w:r>
                      </w:p>
                    </w:tc>
                    <w:tc>
                      <w:tcPr>
                        <w:tcW w:w="909" w:type="pct"/>
                      </w:tcPr>
                      <w:p>
                        <w:pPr>
                          <w:jc w:val="center"/>
                          <w:rPr>
                            <w:szCs w:val="24"/>
                          </w:rPr>
                        </w:pPr>
                        <w:r>
                          <w:rPr>
                            <w:szCs w:val="24"/>
                          </w:rPr>
                          <w:t>12</w:t>
                        </w:r>
                      </w:p>
                    </w:tc>
                  </w:tr>
                  <w:tr>
                    <w:tc>
                      <w:tcPr>
                        <w:tcW w:w="519" w:type="pct"/>
                      </w:tcPr>
                      <w:p>
                        <w:pPr>
                          <w:ind w:firstLine="284"/>
                          <w:rPr>
                            <w:szCs w:val="24"/>
                          </w:rPr>
                        </w:pPr>
                        <w:r>
                          <w:rPr>
                            <w:szCs w:val="24"/>
                          </w:rPr>
                          <w:t>7.10.</w:t>
                        </w:r>
                      </w:p>
                    </w:tc>
                    <w:tc>
                      <w:tcPr>
                        <w:tcW w:w="3572" w:type="pct"/>
                      </w:tcPr>
                      <w:p>
                        <w:pPr>
                          <w:ind w:firstLine="284"/>
                          <w:rPr>
                            <w:szCs w:val="24"/>
                          </w:rPr>
                        </w:pPr>
                        <w:r>
                          <w:rPr>
                            <w:szCs w:val="24"/>
                          </w:rPr>
                          <w:t>Fibrozitas, miozitas, tendovaginitas, bursitas. Lėtinė eiga, periodiški paūmėjimai M 65.1–M 65.4, M 65.9, M 70.0–M 70.9</w:t>
                        </w:r>
                      </w:p>
                    </w:tc>
                    <w:tc>
                      <w:tcPr>
                        <w:tcW w:w="909" w:type="pct"/>
                      </w:tcPr>
                      <w:p>
                        <w:pPr>
                          <w:jc w:val="center"/>
                          <w:rPr>
                            <w:szCs w:val="24"/>
                          </w:rPr>
                        </w:pPr>
                        <w:r>
                          <w:rPr>
                            <w:szCs w:val="24"/>
                          </w:rPr>
                          <w:t>12</w:t>
                        </w:r>
                      </w:p>
                    </w:tc>
                  </w:tr>
                  <w:tr>
                    <w:tc>
                      <w:tcPr>
                        <w:tcW w:w="519" w:type="pct"/>
                      </w:tcPr>
                      <w:p>
                        <w:pPr>
                          <w:ind w:firstLine="284"/>
                          <w:rPr>
                            <w:szCs w:val="24"/>
                          </w:rPr>
                        </w:pPr>
                        <w:r>
                          <w:rPr>
                            <w:szCs w:val="24"/>
                          </w:rPr>
                          <w:t>7.11.</w:t>
                        </w:r>
                      </w:p>
                    </w:tc>
                    <w:tc>
                      <w:tcPr>
                        <w:tcW w:w="3572" w:type="pct"/>
                      </w:tcPr>
                      <w:p>
                        <w:pPr>
                          <w:ind w:firstLine="284"/>
                          <w:rPr>
                            <w:szCs w:val="24"/>
                          </w:rPr>
                        </w:pPr>
                        <w:r>
                          <w:rPr>
                            <w:szCs w:val="24"/>
                          </w:rPr>
                          <w:t>Sąnarių kontraktūros (netrukdančios pacientui vaikščioti) M 24.5, M 25.8</w:t>
                        </w:r>
                      </w:p>
                    </w:tc>
                    <w:tc>
                      <w:tcPr>
                        <w:tcW w:w="909" w:type="pct"/>
                      </w:tcPr>
                      <w:p>
                        <w:pPr>
                          <w:jc w:val="center"/>
                          <w:rPr>
                            <w:szCs w:val="24"/>
                          </w:rPr>
                        </w:pPr>
                        <w:r>
                          <w:rPr>
                            <w:szCs w:val="24"/>
                          </w:rPr>
                          <w:t>12</w:t>
                        </w:r>
                      </w:p>
                    </w:tc>
                  </w:tr>
                </w:tbl>
                <w:p>
                  <w:pPr>
                    <w:rPr>
                      <w:b/>
                      <w:szCs w:val="24"/>
                    </w:rPr>
                  </w:pPr>
                </w:p>
              </w:sdtContent>
            </w:sdt>
          </w:sdtContent>
        </w:sdt>
        <w:sdt>
          <w:sdtPr>
            <w:alias w:val="skyrius"/>
            <w:tag w:val="part_7cc5c472919d43cc93ff22b8b28873db"/>
            <w:lock w:val="sdtLocked"/>
            <w:richText/>
          </w:sdtPr>
          <w:sdtContent>
            <w:p>
              <w:pPr>
                <w:jc w:val="center"/>
                <w:rPr>
                  <w:b/>
                  <w:szCs w:val="24"/>
                </w:rPr>
              </w:pPr>
              <w:sdt>
                <w:sdtPr>
                  <w:alias w:val="Numeris"/>
                  <w:tag w:val="nr_7cc5c472919d43cc93ff22b8b28873db"/>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7cc5c472919d43cc93ff22b8b28873db"/>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rPr>
                  <w:szCs w:val="24"/>
                </w:rPr>
              </w:pPr>
            </w:p>
            <w:sdt>
              <w:sdtPr>
                <w:alias w:val="poskyris"/>
                <w:tag w:val="part_b07ccb15e7ff4c568ec49d4667d0ff06"/>
                <w:lock w:val="sdtLocked"/>
                <w:richText/>
              </w:sdtPr>
              <w:sdtContent>
                <w:p>
                  <w:pPr>
                    <w:suppressAutoHyphens/>
                    <w:jc w:val="center"/>
                    <w:rPr>
                      <w:b/>
                      <w:szCs w:val="24"/>
                    </w:rPr>
                  </w:pPr>
                  <w:sdt>
                    <w:sdtPr>
                      <w:alias w:val="Pavadinimas"/>
                      <w:tag w:val="title_b07ccb15e7ff4c568ec49d4667d0ff06"/>
                      <w:lock w:val="sdtLocked"/>
                      <w:richText/>
                    </w:sdtPr>
                    <w:sdtContent>
                      <w:r>
                        <w:rPr>
                          <w:b/>
                          <w:szCs w:val="24"/>
                        </w:rPr>
                        <w:t>Specialieji reikalavimai</w:t>
                      </w:r>
                    </w:sdtContent>
                  </w:sdt>
                </w:p>
                <w:p>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trPr>
                      <w:cantSplit/>
                      <w:trHeight w:val="20"/>
                    </w:trPr>
                    <w:tc>
                      <w:tcPr>
                        <w:tcW w:w="5000" w:type="pct"/>
                        <w:tcBorders>
                          <w:top w:val="single" w:sz="4" w:space="0" w:color="auto"/>
                          <w:bottom w:val="single" w:sz="4" w:space="0" w:color="auto"/>
                        </w:tcBorders>
                        <w:vAlign w:val="center"/>
                      </w:tcPr>
                      <w:p>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kineziterapija – 6 procedūros, masažas – 4 procedūros, fizioterapija – 3 procedūros. </w:t>
                        </w:r>
                      </w:p>
                      <w:p>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pPr>
                          <w:widowControl w:val="0"/>
                          <w:ind w:firstLine="880"/>
                          <w:jc w:val="both"/>
                          <w:rPr>
                            <w:szCs w:val="24"/>
                            <w:lang w:eastAsia="lt-LT"/>
                          </w:rPr>
                        </w:pPr>
                        <w:r>
                          <w:rPr>
                            <w:szCs w:val="24"/>
                            <w:lang w:eastAsia="lt-LT"/>
                          </w:rPr>
                          <w:t>Paūmėjus gretutiniam susirgimui užtikrinama reikiama antrinio lygio gydytojo specialisto konsultacija.</w:t>
                        </w:r>
                      </w:p>
                      <w:p>
                        <w:pPr>
                          <w:widowControl w:val="0"/>
                          <w:ind w:firstLine="885"/>
                          <w:jc w:val="both"/>
                          <w:rPr>
                            <w:szCs w:val="24"/>
                            <w:lang w:eastAsia="lt-LT"/>
                          </w:rPr>
                        </w:pPr>
                        <w:r>
                          <w:rPr>
                            <w:szCs w:val="24"/>
                            <w:lang w:eastAsia="lt-LT"/>
                          </w:rPr>
                          <w:t xml:space="preserve">Pastaba. Paslaugų arba tyrimų skaičius vienam pacientui, nustatytas šiuose reikalavimuose, gali būti didinamas arba mažinamas, atsižvelgiant į indikacijas ir paciento sveikatos būklę. Šis paslaugų arba tyrimų apimties nuokrypis pagrindžiamas ir atitinkamai aprašomas gydymo stacionare ligos istorijoje (forma Nr. 003/a). </w:t>
                        </w:r>
                      </w:p>
                    </w:tc>
                  </w:tr>
                </w:tbl>
                <w:p>
                  <w:pPr>
                    <w:suppressAutoHyphens/>
                    <w:jc w:val="center"/>
                    <w:rPr>
                      <w:szCs w:val="24"/>
                    </w:rPr>
                  </w:pPr>
                </w:p>
              </w:sdtContent>
            </w:sdt>
            <w:sdt>
              <w:sdtPr>
                <w:alias w:val="poskyris"/>
                <w:tag w:val="part_dbdd0d5f37db47f2a65f85c89d435dd4"/>
                <w:lock w:val="sdtLocked"/>
                <w:richText/>
              </w:sdtPr>
              <w:sdtContent>
                <w:p>
                  <w:pPr>
                    <w:suppressAutoHyphens/>
                    <w:jc w:val="center"/>
                    <w:rPr>
                      <w:b/>
                      <w:szCs w:val="24"/>
                    </w:rPr>
                  </w:pPr>
                  <w:sdt>
                    <w:sdtPr>
                      <w:alias w:val="Pavadinimas"/>
                      <w:tag w:val="title_dbdd0d5f37db47f2a65f85c89d435dd4"/>
                      <w:lock w:val="sdtLocked"/>
                      <w:richText/>
                    </w:sdtPr>
                    <w:sdtContent>
                      <w:r>
                        <w:rPr>
                          <w:b/>
                          <w:szCs w:val="24"/>
                        </w:rPr>
                        <w:t>Prevencinės ir postvencinės medicininės psichologinės reabilitacijos paslaugų teikimo indikacijos</w:t>
                      </w:r>
                    </w:sdtContent>
                  </w:sdt>
                </w:p>
                <w:p>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153"/>
                    <w:gridCol w:w="7038"/>
                    <w:gridCol w:w="1663"/>
                  </w:tblGrid>
                  <w:tr>
                    <w:tc>
                      <w:tcPr>
                        <w:tcW w:w="585" w:type="pct"/>
                        <w:tcMar>
                          <w:top w:w="0" w:type="dxa"/>
                          <w:left w:w="108" w:type="dxa"/>
                          <w:bottom w:w="0" w:type="dxa"/>
                          <w:right w:w="108" w:type="dxa"/>
                        </w:tcMar>
                        <w:vAlign w:val="center"/>
                      </w:tcPr>
                      <w:p>
                        <w:pPr>
                          <w:ind w:firstLine="62"/>
                          <w:jc w:val="center"/>
                          <w:rPr>
                            <w:szCs w:val="24"/>
                            <w:lang w:eastAsia="lt-LT"/>
                          </w:rPr>
                        </w:pPr>
                        <w:r>
                          <w:rPr>
                            <w:bCs/>
                            <w:szCs w:val="24"/>
                            <w:lang w:eastAsia="lt-LT"/>
                          </w:rPr>
                          <w:t>Eil. Nr.</w:t>
                        </w:r>
                      </w:p>
                    </w:tc>
                    <w:tc>
                      <w:tcPr>
                        <w:tcW w:w="3571" w:type="pct"/>
                        <w:tcMar>
                          <w:top w:w="0" w:type="dxa"/>
                          <w:left w:w="108" w:type="dxa"/>
                          <w:bottom w:w="0" w:type="dxa"/>
                          <w:right w:w="108" w:type="dxa"/>
                        </w:tcMar>
                        <w:vAlign w:val="center"/>
                      </w:tcPr>
                      <w:p>
                        <w:pPr>
                          <w:jc w:val="center"/>
                          <w:rPr>
                            <w:szCs w:val="24"/>
                            <w:lang w:eastAsia="lt-LT"/>
                          </w:rPr>
                        </w:pPr>
                        <w:r>
                          <w:rPr>
                            <w:bCs/>
                            <w:szCs w:val="24"/>
                            <w:lang w:eastAsia="lt-LT"/>
                          </w:rPr>
                          <w:t xml:space="preserve">Indikacijos </w:t>
                        </w:r>
                      </w:p>
                    </w:tc>
                    <w:tc>
                      <w:tcPr>
                        <w:tcW w:w="844" w:type="pct"/>
                        <w:tcMar>
                          <w:top w:w="0" w:type="dxa"/>
                          <w:left w:w="108" w:type="dxa"/>
                          <w:bottom w:w="0" w:type="dxa"/>
                          <w:right w:w="108" w:type="dxa"/>
                        </w:tcMar>
                        <w:vAlign w:val="center"/>
                      </w:tcPr>
                      <w:p>
                        <w:pPr>
                          <w:jc w:val="center"/>
                          <w:rPr>
                            <w:szCs w:val="24"/>
                            <w:lang w:eastAsia="lt-LT"/>
                          </w:rPr>
                        </w:pPr>
                        <w:r>
                          <w:rPr>
                            <w:bCs/>
                            <w:szCs w:val="24"/>
                            <w:lang w:eastAsia="lt-LT"/>
                          </w:rPr>
                          <w:t>Reabilitacijos trukmė</w:t>
                        </w:r>
                      </w:p>
                      <w:p>
                        <w:pPr>
                          <w:jc w:val="center"/>
                          <w:rPr>
                            <w:szCs w:val="24"/>
                            <w:lang w:eastAsia="lt-LT"/>
                          </w:rPr>
                        </w:pPr>
                        <w:r>
                          <w:rPr>
                            <w:bCs/>
                            <w:szCs w:val="24"/>
                            <w:lang w:eastAsia="lt-LT"/>
                          </w:rPr>
                          <w:t>(kalendori-nėmis dienomis)</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1.</w:t>
                        </w:r>
                      </w:p>
                    </w:tc>
                    <w:tc>
                      <w:tcPr>
                        <w:tcW w:w="3571" w:type="pct"/>
                        <w:tcMar>
                          <w:top w:w="0" w:type="dxa"/>
                          <w:left w:w="108" w:type="dxa"/>
                          <w:bottom w:w="0" w:type="dxa"/>
                          <w:right w:w="108" w:type="dxa"/>
                        </w:tcMar>
                      </w:tcPr>
                      <w:p>
                        <w:pPr>
                          <w:jc w:val="both"/>
                          <w:rPr>
                            <w:strike/>
                            <w:szCs w:val="24"/>
                            <w:lang w:eastAsia="lt-LT"/>
                          </w:rPr>
                        </w:pPr>
                        <w:r>
                          <w:rPr>
                            <w:szCs w:val="24"/>
                          </w:rPr>
                          <w:t>R</w:t>
                        </w:r>
                        <w:r>
                          <w:rPr>
                            <w:szCs w:val="24"/>
                            <w:lang w:eastAsia="lt-LT"/>
                          </w:rPr>
                          <w:t>eakcijos į stiprų stresą bei adaptacijos sutrikimai F43 Somatoforminiai sutrikimai F45</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c>
                      <w:tcPr>
                        <w:tcW w:w="585" w:type="pct"/>
                        <w:tcMar>
                          <w:top w:w="0" w:type="dxa"/>
                          <w:left w:w="108" w:type="dxa"/>
                          <w:bottom w:w="0" w:type="dxa"/>
                          <w:right w:w="108" w:type="dxa"/>
                        </w:tcMar>
                      </w:tcPr>
                      <w:p>
                        <w:pPr>
                          <w:keepNext/>
                          <w:keepLines/>
                          <w:ind w:firstLine="284"/>
                          <w:jc w:val="center"/>
                          <w:outlineLvl w:val="1"/>
                          <w:rPr>
                            <w:strike/>
                            <w:szCs w:val="24"/>
                            <w:lang w:eastAsia="lt-LT"/>
                          </w:rPr>
                        </w:pPr>
                        <w:r>
                          <w:rPr>
                            <w:szCs w:val="24"/>
                            <w:lang w:eastAsia="lt-LT"/>
                          </w:rPr>
                          <w:t>2.</w:t>
                        </w:r>
                      </w:p>
                    </w:tc>
                    <w:tc>
                      <w:tcPr>
                        <w:tcW w:w="3571" w:type="pct"/>
                        <w:tcMar>
                          <w:top w:w="0" w:type="dxa"/>
                          <w:left w:w="108" w:type="dxa"/>
                          <w:bottom w:w="0" w:type="dxa"/>
                          <w:right w:w="108" w:type="dxa"/>
                        </w:tcMar>
                      </w:tcPr>
                      <w:p>
                        <w:pPr>
                          <w:jc w:val="both"/>
                          <w:rPr>
                            <w:szCs w:val="24"/>
                            <w:lang w:eastAsia="lt-LT"/>
                          </w:rPr>
                        </w:pPr>
                        <w:r>
                          <w:rPr>
                            <w:szCs w:val="24"/>
                            <w:lang w:eastAsia="lt-LT"/>
                          </w:rPr>
                          <w:t>Kita fizinė ir psichinė įtampa, susijusi su darbu (nerimo sutrikimas dėl socialinio statuso pasikeitimo) Z56.6</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3.</w:t>
                        </w:r>
                      </w:p>
                    </w:tc>
                    <w:tc>
                      <w:tcPr>
                        <w:tcW w:w="3571" w:type="pct"/>
                        <w:tcMar>
                          <w:top w:w="0" w:type="dxa"/>
                          <w:left w:w="108" w:type="dxa"/>
                          <w:bottom w:w="0" w:type="dxa"/>
                          <w:right w:w="108" w:type="dxa"/>
                        </w:tcMar>
                      </w:tcPr>
                      <w:p>
                        <w:pPr>
                          <w:jc w:val="both"/>
                          <w:rPr>
                            <w:strike/>
                            <w:szCs w:val="24"/>
                            <w:lang w:eastAsia="lt-LT"/>
                          </w:rPr>
                        </w:pPr>
                        <w:r>
                          <w:rPr>
                            <w:szCs w:val="24"/>
                            <w:lang w:eastAsia="lt-LT"/>
                          </w:rPr>
                          <w:t>Šeimos nario dingimas arba mirtis, savižudybė Z63.4</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4.</w:t>
                        </w:r>
                      </w:p>
                    </w:tc>
                    <w:tc>
                      <w:tcPr>
                        <w:tcW w:w="3571" w:type="pct"/>
                        <w:tcMar>
                          <w:top w:w="0" w:type="dxa"/>
                          <w:left w:w="108" w:type="dxa"/>
                          <w:bottom w:w="0" w:type="dxa"/>
                          <w:right w:w="108" w:type="dxa"/>
                        </w:tcMar>
                      </w:tcPr>
                      <w:p>
                        <w:pPr>
                          <w:ind w:firstLine="62"/>
                          <w:jc w:val="both"/>
                          <w:rPr>
                            <w:strike/>
                            <w:szCs w:val="24"/>
                            <w:lang w:eastAsia="lt-LT"/>
                          </w:rPr>
                        </w:pPr>
                        <w:r>
                          <w:rPr>
                            <w:szCs w:val="24"/>
                            <w:lang w:eastAsia="lt-LT"/>
                          </w:rPr>
                          <w:t>„Perdegimo“ sindromas (emocinis išsekimas) Z73.0</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5.</w:t>
                        </w:r>
                      </w:p>
                    </w:tc>
                    <w:tc>
                      <w:tcPr>
                        <w:tcW w:w="3571" w:type="pct"/>
                        <w:tcMar>
                          <w:top w:w="0" w:type="dxa"/>
                          <w:left w:w="108" w:type="dxa"/>
                          <w:bottom w:w="0" w:type="dxa"/>
                          <w:right w:w="108" w:type="dxa"/>
                        </w:tcMar>
                      </w:tcPr>
                      <w:p>
                        <w:pPr>
                          <w:jc w:val="both"/>
                          <w:rPr>
                            <w:szCs w:val="24"/>
                            <w:lang w:eastAsia="lt-LT"/>
                          </w:rPr>
                        </w:pPr>
                        <w:r>
                          <w:rPr>
                            <w:szCs w:val="24"/>
                            <w:lang w:eastAsia="lt-LT"/>
                          </w:rPr>
                          <w:t>Nesutarimai su viršininku ir bendradarbiais Z56.4</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6.</w:t>
                        </w:r>
                      </w:p>
                    </w:tc>
                    <w:tc>
                      <w:tcPr>
                        <w:tcW w:w="3571" w:type="pct"/>
                        <w:tcMar>
                          <w:top w:w="0" w:type="dxa"/>
                          <w:left w:w="108" w:type="dxa"/>
                          <w:bottom w:w="0" w:type="dxa"/>
                          <w:right w:w="108" w:type="dxa"/>
                        </w:tcMar>
                      </w:tcPr>
                      <w:p>
                        <w:pPr>
                          <w:jc w:val="both"/>
                          <w:rPr>
                            <w:szCs w:val="24"/>
                            <w:lang w:eastAsia="lt-LT"/>
                          </w:rPr>
                        </w:pPr>
                        <w:r>
                          <w:rPr>
                            <w:szCs w:val="24"/>
                            <w:lang w:eastAsia="lt-LT"/>
                          </w:rPr>
                          <w:t>Profesinis rizikos faktorių poveikis arba išorinės priežastys, galinčios turėti įtaką sergamumui Z57.8</w:t>
                        </w:r>
                      </w:p>
                    </w:tc>
                    <w:tc>
                      <w:tcPr>
                        <w:tcW w:w="844" w:type="pct"/>
                        <w:tcMar>
                          <w:top w:w="0" w:type="dxa"/>
                          <w:left w:w="108" w:type="dxa"/>
                          <w:bottom w:w="0" w:type="dxa"/>
                          <w:right w:w="108" w:type="dxa"/>
                        </w:tcMar>
                      </w:tcPr>
                      <w:p>
                        <w:pPr>
                          <w:jc w:val="center"/>
                          <w:rPr>
                            <w:szCs w:val="24"/>
                            <w:lang w:eastAsia="lt-LT"/>
                          </w:rPr>
                        </w:pPr>
                        <w:r>
                          <w:rPr>
                            <w:szCs w:val="24"/>
                            <w:lang w:eastAsia="lt-LT"/>
                          </w:rPr>
                          <w:t>7-10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6.1.</w:t>
                        </w:r>
                      </w:p>
                    </w:tc>
                    <w:tc>
                      <w:tcPr>
                        <w:tcW w:w="3571" w:type="pct"/>
                        <w:tcMar>
                          <w:top w:w="0" w:type="dxa"/>
                          <w:left w:w="108" w:type="dxa"/>
                          <w:bottom w:w="0" w:type="dxa"/>
                          <w:right w:w="108" w:type="dxa"/>
                        </w:tcMar>
                      </w:tcPr>
                      <w:p>
                        <w:pPr>
                          <w:jc w:val="both"/>
                          <w:rPr>
                            <w:strike/>
                            <w:szCs w:val="24"/>
                            <w:lang w:eastAsia="lt-LT"/>
                          </w:rPr>
                        </w:pPr>
                        <w:r>
                          <w:rPr>
                            <w:szCs w:val="24"/>
                            <w:lang w:eastAsia="lt-LT"/>
                          </w:rPr>
                          <w:t>Teisėtas prievartos priemonių panaudojimas</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6.2.</w:t>
                        </w:r>
                      </w:p>
                    </w:tc>
                    <w:tc>
                      <w:tcPr>
                        <w:tcW w:w="3571"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6.3.</w:t>
                        </w:r>
                      </w:p>
                    </w:tc>
                    <w:tc>
                      <w:tcPr>
                        <w:tcW w:w="3571" w:type="pct"/>
                        <w:tcMar>
                          <w:top w:w="0" w:type="dxa"/>
                          <w:left w:w="108" w:type="dxa"/>
                          <w:bottom w:w="0" w:type="dxa"/>
                          <w:right w:w="108" w:type="dxa"/>
                        </w:tcMar>
                      </w:tcPr>
                      <w:p>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6.4.</w:t>
                        </w:r>
                      </w:p>
                    </w:tc>
                    <w:tc>
                      <w:tcPr>
                        <w:tcW w:w="3571" w:type="pct"/>
                        <w:tcMar>
                          <w:top w:w="0" w:type="dxa"/>
                          <w:left w:w="108" w:type="dxa"/>
                          <w:bottom w:w="0" w:type="dxa"/>
                          <w:right w:w="108" w:type="dxa"/>
                        </w:tcMar>
                      </w:tcPr>
                      <w:p>
                        <w:pPr>
                          <w:jc w:val="both"/>
                          <w:rPr>
                            <w:strike/>
                            <w:szCs w:val="24"/>
                            <w:lang w:eastAsia="lt-LT"/>
                          </w:rPr>
                        </w:pPr>
                        <w:r>
                          <w:rPr>
                            <w:szCs w:val="24"/>
                            <w:lang w:eastAsia="lt-LT"/>
                          </w:rPr>
                          <w:t>Laivų įgulų nariai ir kitas plaukiojantysis personalas po sukėlusio nelaimingą atsitikimą įregistruoto avarinio įvykio jūroje metu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6.5.</w:t>
                        </w:r>
                      </w:p>
                    </w:tc>
                    <w:tc>
                      <w:tcPr>
                        <w:tcW w:w="3571"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6.6.</w:t>
                        </w:r>
                      </w:p>
                    </w:tc>
                    <w:tc>
                      <w:tcPr>
                        <w:tcW w:w="3571"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6.7.</w:t>
                        </w:r>
                      </w:p>
                    </w:tc>
                    <w:tc>
                      <w:tcPr>
                        <w:tcW w:w="3571" w:type="pct"/>
                        <w:tcMar>
                          <w:top w:w="0" w:type="dxa"/>
                          <w:left w:w="108" w:type="dxa"/>
                          <w:bottom w:w="0" w:type="dxa"/>
                          <w:right w:w="108" w:type="dxa"/>
                        </w:tcMar>
                      </w:tcPr>
                      <w:p>
                        <w:pPr>
                          <w:jc w:val="both"/>
                          <w:rPr>
                            <w:szCs w:val="24"/>
                            <w:lang w:eastAsia="lt-LT"/>
                          </w:rPr>
                        </w:pPr>
                        <w:r>
                          <w:rPr>
                            <w:szCs w:val="24"/>
                            <w:lang w:eastAsia="lt-LT"/>
                          </w:rPr>
                          <w:t>Aviacijos tarnybų skraidantysis personalas: po 70 valandų skraidymo sraigtasparniais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6.8.</w:t>
                        </w:r>
                      </w:p>
                    </w:tc>
                    <w:tc>
                      <w:tcPr>
                        <w:tcW w:w="3571" w:type="pct"/>
                        <w:tcMar>
                          <w:top w:w="0" w:type="dxa"/>
                          <w:left w:w="108" w:type="dxa"/>
                          <w:bottom w:w="0" w:type="dxa"/>
                          <w:right w:w="108" w:type="dxa"/>
                        </w:tcMar>
                      </w:tcPr>
                      <w:p>
                        <w:pPr>
                          <w:jc w:val="both"/>
                          <w:rPr>
                            <w:szCs w:val="24"/>
                            <w:lang w:eastAsia="lt-LT"/>
                          </w:rPr>
                        </w:pPr>
                        <w:r>
                          <w:rPr>
                            <w:szCs w:val="24"/>
                            <w:lang w:eastAsia="lt-LT"/>
                          </w:rPr>
                          <w:t>Aviacijos tarnybų skraidantysis personalas: po 100 valandų skraidymo kitais orlaiviais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6.9.</w:t>
                        </w:r>
                      </w:p>
                    </w:tc>
                    <w:tc>
                      <w:tcPr>
                        <w:tcW w:w="3571"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6.10.</w:t>
                        </w:r>
                      </w:p>
                    </w:tc>
                    <w:tc>
                      <w:tcPr>
                        <w:tcW w:w="3571" w:type="pct"/>
                        <w:tcMar>
                          <w:top w:w="0" w:type="dxa"/>
                          <w:left w:w="108" w:type="dxa"/>
                          <w:bottom w:w="0" w:type="dxa"/>
                          <w:right w:w="108" w:type="dxa"/>
                        </w:tcMar>
                      </w:tcPr>
                      <w:p>
                        <w:pPr>
                          <w:jc w:val="both"/>
                          <w:rPr>
                            <w:strike/>
                            <w:szCs w:val="24"/>
                            <w:lang w:eastAsia="lt-LT"/>
                          </w:rPr>
                        </w:pPr>
                        <w:r>
                          <w:rPr>
                            <w:szCs w:val="24"/>
                            <w:lang w:eastAsia="lt-LT"/>
                          </w:rPr>
                          <w:t>Išminuotojai, per paskutiniuosius kalendorinius metus bent kartą betarpiškai nukenksminę sprogiąsias medžiagas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7.</w:t>
                        </w:r>
                      </w:p>
                    </w:tc>
                    <w:tc>
                      <w:tcPr>
                        <w:tcW w:w="3571" w:type="pct"/>
                        <w:tcMar>
                          <w:top w:w="0" w:type="dxa"/>
                          <w:left w:w="108" w:type="dxa"/>
                          <w:bottom w:w="0" w:type="dxa"/>
                          <w:right w:w="108" w:type="dxa"/>
                        </w:tcMar>
                      </w:tcPr>
                      <w:p>
                        <w:pPr>
                          <w:jc w:val="both"/>
                          <w:rPr>
                            <w:szCs w:val="24"/>
                            <w:lang w:eastAsia="lt-LT"/>
                          </w:rPr>
                        </w:pPr>
                        <w:r>
                          <w:rPr>
                            <w:szCs w:val="24"/>
                            <w:lang w:eastAsia="lt-LT"/>
                          </w:rPr>
                          <w:t xml:space="preserve">Katastrofų, karo ir kitų priešiškų veiksnių poveikis (taip pat pareigūnams, grįžusiems iš tarptautinių misijų) Z65.5 </w:t>
                        </w:r>
                      </w:p>
                      <w:p>
                        <w:pPr>
                          <w:jc w:val="both"/>
                          <w:rPr>
                            <w:strike/>
                            <w:szCs w:val="24"/>
                            <w:lang w:eastAsia="lt-LT"/>
                          </w:rPr>
                        </w:pPr>
                        <w:r>
                          <w:rPr>
                            <w:szCs w:val="24"/>
                            <w:lang w:eastAsia="lt-LT"/>
                          </w:rPr>
                          <w:t>Nusikaltimo ir terorizmo auka Z65.4</w:t>
                        </w:r>
                      </w:p>
                    </w:tc>
                    <w:tc>
                      <w:tcPr>
                        <w:tcW w:w="844" w:type="pct"/>
                        <w:tcMar>
                          <w:top w:w="0" w:type="dxa"/>
                          <w:left w:w="108" w:type="dxa"/>
                          <w:bottom w:w="0" w:type="dxa"/>
                          <w:right w:w="108" w:type="dxa"/>
                        </w:tcMar>
                      </w:tcPr>
                      <w:p>
                        <w:pPr>
                          <w:jc w:val="center"/>
                          <w:rPr>
                            <w:strike/>
                            <w:szCs w:val="24"/>
                            <w:lang w:eastAsia="lt-LT"/>
                          </w:rPr>
                        </w:pPr>
                        <w:r>
                          <w:rPr>
                            <w:szCs w:val="24"/>
                            <w:lang w:eastAsia="lt-LT"/>
                          </w:rPr>
                          <w:t>10</w:t>
                        </w:r>
                      </w:p>
                    </w:tc>
                  </w:tr>
                  <w:tr>
                    <w:tc>
                      <w:tcPr>
                        <w:tcW w:w="585" w:type="pct"/>
                        <w:tcMar>
                          <w:top w:w="0" w:type="dxa"/>
                          <w:left w:w="108" w:type="dxa"/>
                          <w:bottom w:w="0" w:type="dxa"/>
                          <w:right w:w="108" w:type="dxa"/>
                        </w:tcMar>
                      </w:tcPr>
                      <w:p>
                        <w:pPr>
                          <w:widowControl w:val="0"/>
                          <w:ind w:firstLine="284"/>
                          <w:jc w:val="center"/>
                          <w:rPr>
                            <w:szCs w:val="24"/>
                            <w:lang w:eastAsia="lt-LT"/>
                          </w:rPr>
                        </w:pPr>
                        <w:r>
                          <w:rPr>
                            <w:szCs w:val="24"/>
                            <w:lang w:eastAsia="lt-LT"/>
                          </w:rPr>
                          <w:t>8.</w:t>
                        </w:r>
                      </w:p>
                    </w:tc>
                    <w:tc>
                      <w:tcPr>
                        <w:tcW w:w="3571" w:type="pct"/>
                        <w:tcMar>
                          <w:top w:w="0" w:type="dxa"/>
                          <w:left w:w="108" w:type="dxa"/>
                          <w:bottom w:w="0" w:type="dxa"/>
                          <w:right w:w="108" w:type="dxa"/>
                        </w:tcMar>
                      </w:tcPr>
                      <w:p>
                        <w:pPr>
                          <w:widowControl w:val="0"/>
                          <w:jc w:val="both"/>
                          <w:rPr>
                            <w:szCs w:val="24"/>
                            <w:lang w:eastAsia="lt-LT"/>
                          </w:rPr>
                        </w:pPr>
                        <w:r>
                          <w:rPr>
                            <w:szCs w:val="24"/>
                            <w:lang w:eastAsia="lt-LT"/>
                          </w:rPr>
                          <w:t>Nekontroliuojamos ugnies pastate ar statinyje poveikis X00</w:t>
                        </w:r>
                      </w:p>
                    </w:tc>
                    <w:tc>
                      <w:tcPr>
                        <w:tcW w:w="844" w:type="pct"/>
                        <w:tcMar>
                          <w:top w:w="0" w:type="dxa"/>
                          <w:left w:w="108" w:type="dxa"/>
                          <w:bottom w:w="0" w:type="dxa"/>
                          <w:right w:w="108" w:type="dxa"/>
                        </w:tcMar>
                      </w:tcPr>
                      <w:p>
                        <w:pPr>
                          <w:widowControl w:val="0"/>
                          <w:jc w:val="center"/>
                          <w:rPr>
                            <w:szCs w:val="24"/>
                            <w:lang w:eastAsia="lt-LT"/>
                          </w:rPr>
                        </w:pPr>
                        <w:r>
                          <w:rPr>
                            <w:szCs w:val="24"/>
                            <w:lang w:eastAsia="lt-LT"/>
                          </w:rPr>
                          <w:t>10</w:t>
                        </w:r>
                      </w:p>
                    </w:tc>
                  </w:tr>
                </w:tbl>
                <w:p>
                  <w:pPr>
                    <w:suppressAutoHyphens/>
                    <w:jc w:val="center"/>
                    <w:rPr>
                      <w:szCs w:val="24"/>
                    </w:rPr>
                  </w:pPr>
                </w:p>
                <w:p>
                  <w:pPr>
                    <w:spacing w:line="276" w:lineRule="auto"/>
                    <w:jc w:val="both"/>
                    <w:rPr>
                      <w:iCs/>
                      <w:szCs w:val="24"/>
                    </w:rPr>
                  </w:pPr>
                </w:p>
              </w:sdtContent>
            </w:sdt>
          </w:sdtContent>
        </w:sdt>
        <w:sdt>
          <w:sdtPr>
            <w:alias w:val="pabaiga"/>
            <w:tag w:val="part_3907589a376a490592a5035433d26bca"/>
            <w:lock w:val="sdtLocked"/>
            <w:richText/>
          </w:sdtPr>
          <w:sdtContent>
            <w:p>
              <w:pPr>
                <w:jc w:val="center"/>
                <w:rPr>
                  <w:rFonts w:ascii="Calibri" w:eastAsia="Calibri" w:hAnsi="Calibri"/>
                  <w:sz w:val="22"/>
                  <w:szCs w:val="22"/>
                </w:rPr>
              </w:pPr>
              <w:r>
                <w:rPr>
                  <w:sz w:val="20"/>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2d7aa00d6e11e79800e8266c1e5d1b">
            <w:r w:rsidRPr="00532B9F">
              <w:rPr>
                <w:rFonts w:ascii="Times New Roman" w:eastAsia="MS Mincho" w:hAnsi="Times New Roman"/>
                <w:sz w:val="20"/>
                <w:iCs/>
                <w:color w:val="0000FF" w:themeColor="hyperlink"/>
                <w:u w:val="single"/>
              </w:rPr>
              <w:t>1V-203</w:t>
            </w:r>
          </w:fldSimple>
          <w:r>
            <w:rPr>
              <w:rFonts w:ascii="Times New Roman" w:eastAsia="MS Mincho" w:hAnsi="Times New Roman"/>
              <w:sz w:val="20"/>
              <w:iCs/>
            </w:rPr>
            <w:t>,
2017-03-20,
paskelbta TAR 2017-03-20, i. k. 2017-04619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bece5076d911e9b81587fcbd5a76f6">
            <w:r w:rsidRPr="00532B9F">
              <w:rPr>
                <w:rFonts w:ascii="Times New Roman" w:eastAsia="MS Mincho" w:hAnsi="Times New Roman"/>
                <w:sz w:val="20"/>
                <w:iCs/>
                <w:color w:val="0000FF" w:themeColor="hyperlink"/>
                <w:u w:val="single"/>
              </w:rPr>
              <w:t>1V-456</w:t>
            </w:r>
          </w:fldSimple>
          <w:r>
            <w:rPr>
              <w:rFonts w:ascii="Times New Roman" w:eastAsia="MS Mincho" w:hAnsi="Times New Roman"/>
              <w:sz w:val="20"/>
              <w:iCs/>
            </w:rPr>
            <w:t>,
2019-05-15,
paskelbta TAR 2019-05-15, i. k. 2019-07691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359C5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header" Target="header11.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oleObject" Target="embeddings/oleObject1.bin"/>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d1225775a7d24c2b93fe0b6c46a31f87">
    <Part Type="preambule" DocPartId="dfc7ecbcaaf449aebea36b8acd20faf1" PartId="5f66de823d0c4425853881eb2cac0d00"/>
    <Part Type="pastraipa" DocPartId="bd6127f2353244aca186549a237ab08b" PartId="6eb15949566d4d5f842d7201083aa1b0"/>
    <Part Type="signatura" DocPartId="34fc3124a690487e978e7b032cf6333b" PartId="0b72c9e323dc4bafb2633aa0d30cb310"/>
  </Part>
  <Part Type="patvirtinta" Titl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DocPartId="96f1cca7f3764a7abec32a2a90f68c54" PartId="ab26832f2b1345e7be2353faa123df8c">
    <Part Type="skyrius" Nr="1" Title="BENDROSIOS NUOSTATOS" DocPartId="746c272431a7413f97b9a0bfdb49a37a" PartId="58946472d01c479681a3e1e82f57f55c">
      <Part Type="punktas" Nr="1" Abbr="1 p." DocPartId="8a1e48e66288407ba4ae628d670fbc49" PartId="12ca6b4ac33c46c9b10d492044cbd572"/>
      <Part Type="punktas" Nr="2" Abbr="2 p." DocPartId="abba7848d4ee4ab1b50bfdfaa7165007" PartId="af3c48148c3b43b99df25e4ae38e2903"/>
      <Part Type="punktas" Nr="3" Abbr="3 p." DocPartId="1fd29faf35db49adad1ed159abd22064" PartId="c56c008fcae244059bf04250ea22c414">
        <Part Type="papunktis" Nr="3.1" Abbr="3.1 pp." DocPartId="d5515714b0184f0d9ba22f9bfb95794a" PartId="df42b37dbce14ee0865eb67257c1e6c6"/>
        <Part Type="papunktis" Nr="3.2" Abbr="3.2 pp." DocPartId="a84160c5474848d7935ed7ff12f0cdf0" PartId="620b46957a314987ab7c53055346e71f"/>
        <Part Type="papunktis" Nr="3.3" Abbr="3.3 pp." DocPartId="2f25092ab540408f9c117bd43a29d76c" PartId="cb49512e7bb648f6976647d137fca10d"/>
        <Part Type="papunktis" Nr="3.4" Abbr="3.4 pp." DocPartId="8c35bea1ca2e41129ce7eb98c832f1d6" PartId="2c505ddf1655453ebf08581936fb43d2"/>
        <Part Type="papunktis" Nr="3.5" Abbr="3.5 pp." DocPartId="b0be5206da444712babec07ca80a6264" PartId="e0e64c6d37464f4cb933a74371bb0e4e"/>
        <Part Type="papunktis" Nr="3.6" Abbr="3.6 pp." DocPartId="1887671f3c3e4209a645ea16fd9a68b2" PartId="d31ff0f7aa0d4b7abd626f2c2d5aecc4"/>
        <Part Type="papunktis" Nr="3.7" Abbr="3.7 pp." DocPartId="60a1f4dab49246b6a60ce9c5ca27230a" PartId="1a75fac1e20f4025907fdd483b7ea199"/>
        <Part Type="papunktis" Nr="3.8" Abbr="3.8 pp." DocPartId="c8711bee47f244cf99f705c20f6e0e93" PartId="904cb552f7a5428ba09a8de833b0a0ac"/>
        <Part Type="papunktis" Nr="3.9" Abbr="3.9 pp." DocPartId="09446f6c293846128ee042bb4edd8911" PartId="44ea53a8b0124d4a942e49256423747a"/>
      </Part>
    </Part>
    <Part Type="skyrius" Nr="2" Title="NEAPMOKAMŲ IŠ PSDF BIUDŽETO PASLAUGŲ ORGANIZAVIMAS" DocPartId="c94614988d9944fe81b3d91c21c11de5" PartId="f5440d3ec41c43fa9cd5fed331ff51de">
      <Part Type="punktas" Nr="4" Abbr="4 p." DocPartId="3fd47879945a40348b9770dd06666fc7" PartId="4a2a840165cf42c4ab6e3d4f951e00e6"/>
      <Part Type="punktas" Nr="5" Abbr="5 p." DocPartId="87eb173cd2354db4908025112f8f2914" PartId="8f8a5882b6fc4063b10a9dd6ca563d0d"/>
      <Part Type="punktas" Nr="6" Abbr="6 p." DocPartId="bf3af1a96d764e639630a6c59460ca21" PartId="e74daafd52d24eb3aff15dc205c5f524"/>
      <Part Type="punktas" Nr="7" Abbr="7 p." DocPartId="9cf6ddd0ad9144c1b6d9c91e63693dc8" PartId="88870a04335c4aebb20b8d5e88cc5fd5"/>
      <Part Type="punktas" Nr="8" Abbr="8 p." DocPartId="a5fc6a133d21478599fdde4b925bcae8" PartId="a7df91419cae4c7184bc4a7205715e3d"/>
      <Part Type="punktas" Nr="9" Abbr="9 p." DocPartId="b29e8ceebc0e42948167cc2fd230a95f" PartId="4d1a6f77c6fd4d329d662a8989365a32"/>
      <Part Type="punktas" Nr="10" Abbr="10 p." DocPartId="f4ce5bb311cd471287a1f2c8637e7a3b" PartId="14ce70e5f8be42659db6ea3781d6e846">
        <Part Type="papunktis" Nr="10.1" Abbr="10.1 pp." DocPartId="e68745acc72a424ba33e0dad88c87a7c" PartId="4ac55a54180c49df98fcdbffdad83a3b"/>
        <Part Type="papunktis" Nr="10.2" Abbr="10.2 pp." DocPartId="150fb523c2664fe5bb9d4296808be3c0" PartId="c6fde86aa14142bb967586dbcaaa5d80"/>
        <Part Type="papunktis" Nr="10.3" Abbr="10.3 pp." DocPartId="07ca356b085e424582b1339592a10ea8" PartId="1dd8f480335c4e29815ee4191e0f0b14"/>
      </Part>
      <Part Type="punktas" Nr="11" Abbr="11 p." DocPartId="977fdb2b3a474c2ca83dca369e881d2c" PartId="28bbe7e45bcf402497340a38b683d926"/>
      <Part Type="punktas" Nr="12" Abbr="12 p." DocPartId="b5fb635927954a04845424559f40adab" PartId="ffd341a6102045fabe35d798f4676ee2"/>
      <Part Type="punktas" Nr="13" Abbr="13 p." DocPartId="d7cbc4f0c55e45e8bc8600ecaafe28fd" PartId="d477bf11bad0457ebab2bd612befc32c"/>
      <Part Type="punktas" Nr="14" Abbr="14 p." DocPartId="70101c3350f44fb4bab8afbf8b3438d6" PartId="19f19801fdac47b3ad7e8d5c1dd394cb"/>
    </Part>
    <Part Type="skyrius" Nr="3" Title="APMOKAMA IŠ DALIES IŠ PSDF BIUDŽETO MEDICININĖ REABILITACIJA" DocPartId="b4d8810fe2124a219d822910e213bbf2" PartId="ca1be55645b74279bbac72d019649171">
      <Part Type="punktas" Nr="15" Abbr="15 p." DocPartId="3e730ee2a53e47ff9242d1f2164dda39" PartId="4ea50bbefe594c6ebf0588865e9e54d8"/>
      <Part Type="punktas" Nr="16" Abbr="16 p." DocPartId="dfa9a2711e2c4fbbb7e9961d4138af14" PartId="83846e00a605492e98054abafb74b78a"/>
      <Part Type="punktas" Nr="17" Abbr="17 p." DocPartId="b17f40b1420f4aecb0868ef1d550d637" PartId="317495f75cea42adbc131e72b7e118d4"/>
    </Part>
    <Part Type="skyrius" Nr="4" Title="PAREIGŪNO PREVENCINĖS MEDICININĖS PSICHOLOGINĖS REABILITACIJOS ORGANIZAVIMAS" DocPartId="d87137a2f1b442a4b53959f4c93bc0f7" PartId="0de0c85b3dbd44729689456ead03d3e9">
      <Part Type="punktas" Nr="18" Abbr="18 p." DocPartId="cc291d48a61444ea9792cb064697428c" PartId="4093c8d6587845d7843dbab34325a7b9"/>
      <Part Type="punktas" Nr="19" Abbr="19 p." DocPartId="97a315faf8cf49d68b38f46cdfd3df34" PartId="dbdcac1b52854a1e86c130130316d67e"/>
      <Part Type="punktas" Nr="20" Abbr="20 p." DocPartId="04b23724b3974a94b7571c690d30bcac" PartId="bcb6ac5722e4448599cf0930395e8dcf"/>
      <Part Type="punktas" Nr="21" Abbr="21 p." DocPartId="12560438f6094467be2cdf143936cfa1" PartId="a1fb4b774eed45568c03a41af93ada09"/>
      <Part Type="punktas" Nr="22" Abbr="22 p." DocPartId="575432a0c4ef4a78b4fd62ff9b201802" PartId="08c83fdbde184ec1b40e9e45002eac0f"/>
    </Part>
    <Part Type="skyrius" Nr="5" Title="PAREIGŪNO POSTVENCINĖS MEDICININĖS PSICHOLOGINĖS REABILITACIJOS ORGANIZAVIMAS" DocPartId="37c2e46e35b44249baeab50ad7603e8b" PartId="6f257233c71542219d80930d91efaaa2">
      <Part Type="punktas" Nr="23" Abbr="23 p." DocPartId="8dad52a4286f4d16bb5fcae1f350dbb8" PartId="04177e95bd6444de98ffae249e3da30d"/>
      <Part Type="punktas" Nr="24" Abbr="24 p." DocPartId="2b5371f8d551469485a14e355c954856" PartId="6f775e61473342ab83feaf22a891f580"/>
      <Part Type="punktas" Nr="25" Abbr="25 p." DocPartId="d5a43c85363645529fdd18c1532d9ee3" PartId="cbd12a71bcac47d9b4ee5f0af89359f9"/>
      <Part Type="punktas" Nr="26" Abbr="26 p." DocPartId="a4a6669776b340ccb3943feacd7c9e46" PartId="1783dc12a14c4355886a4edc8a63b163"/>
      <Part Type="punktas" Nr="27" Abbr="27 p." DocPartId="c26dcb85c05546fd96d9602460c56f45" PartId="ac011a3ee633408989549d023a981ac6"/>
    </Part>
    <Part Type="skyrius" Nr="6" Title="NEAPMOKAMŲ IŠ PSDF BIUDŽETO PASLAUGŲ IR APMOKAMOS IŠ DALIES IŠ PSDF BIUDŽETO MEDICININĖS REABILITACIJOS APMOKĖJIMAS IŠ VALSTYBĖS BIUDŽETO" DocPartId="1cd3046b6b8c46419ef4caf2f69c0407" PartId="81e025185a3b45c69efec59cd2518b9e">
      <Part Type="punktas" Nr="28" Abbr="28 p." DocPartId="bb74ce9a67a1422ea97e87beeb0f39ff" PartId="15c5c88b95994cd4bb7c098ed3611200"/>
      <Part Type="punktas" Nr="29" Abbr="29 p." DocPartId="ad4fd4eba337480fa187578c5ef7b2bd" PartId="0923a48566bf4ab7a447bd879ec496d0"/>
      <Part Type="punktas" Nr="30" Abbr="30 p." DocPartId="79569b4f0c3440598310852d43a32d5c" PartId="00672e064ee141aaafb9bd4837b53fe6"/>
    </Part>
    <Part Type="skyrius" Nr="7" Title="BAIGIAMOSIOS NUOSTATOS" DocPartId="6658780d879045fdb2bfb3d6ca40df70" PartId="bbf4da4293504caa9aa22fec79b73208">
      <Part Type="punktas" Nr="31" Abbr="31 p." DocPartId="fa42ebd983664947a5e57aedac099393" PartId="f198ac38067549f8b915b64830c9a561"/>
      <Part Type="punktas" Nr="32" Abbr="32 p." DocPartId="d9ed6f9212fa48a988dd4adaaa94c083" PartId="ddba5352014d4c28a94782e906e76616"/>
      <Part Type="punktas" Nr="33" Abbr="33 p." DocPartId="0236643f9fe34749a54ae4264669264b" PartId="fc5e4e654c2c47bd9c8420be8b9d65d5"/>
      <Part Type="punktas" Nr="34" Abbr="34 p." DocPartId="14ef18ca05924da180cc6526267d1f51" PartId="3ac5c84976d74bbbb76a95fbe150cfd3"/>
    </Part>
    <Part Type="pabaiga" DocPartId="37f5993dd7f149e79a64fd8615a138c7" PartId="e0e261f68aa64602a647d1698b5564e0"/>
  </Part>
  <Part Type="priedas" Abbr="pr." Title="STACIONARINĖS MEDICININĖS REABILITACIJOS, PREVENCINĖS IR POSTVENCINĖS MEDICININĖS PSICHOLOGINĖS REABILITACIJOS, SVEIKATOS GRĄŽINAMOJO GYDYMO, ANTIRECIDYVINIO GYDYMO, PASLAUGŲ TEIKIMO REABILITACIJOS ĮSTAIGOSE SĄLYGOS" DocPartId="a0f58fbc3608422f9ea3bf72a2e3b184" PartId="e0b9d513848c420c9590cb081b7a5702">
    <Part Type="skyrius" Nr="1" Title="STACIONARINĖS MEDICININĖS REABILITACIJOS, SVEIKATOS GRĄŽINAMOJO GYDYMO, ANTIRECIDYVINIO GYDYMO, PREVENCINĖS IR POSTVENCINĖS MEDICININĖS PSICHOLOGINĖS REABILITACIJOS PASLAUGŲ TEIKIMO BENDRIEJI REIKALAVIMAI" DocPartId="0a37fcb1903a4042a5e1075e64fa48d3" PartId="5427047df7814f7c807f8cbb8211df82">
      <Part Type="punktas" Nr="1" Abbr="pr. 1 p." DocPartId="91520dafda0249f99b912b61220ba179" PartId="5e1d93b1e6e5433497caf08fd44fc16f">
        <Part Type="papunktis" Nr="1.1" Abbr="pr. 1.1 pp." DocPartId="effc8f599d1e4919b18517500530e38c" PartId="ca7c68ea4ab24621be754eeb5df28687">
          <Part Type="papunktis" Nr="1.1.1" Abbr="pr. 1.1.1 pp." DocPartId="96a4e40cc5494f7ab9652048dfafe88b" PartId="f89a0fb0c02242a29ad72b9a760a6c1a"/>
          <Part Type="papunktis" Nr="1.1.2" Abbr="pr. 1.1.2 pp." DocPartId="0d76d50e13c84582accb98df03dc8081" PartId="e9b4d4d3a83e47538a542db0d87888a6"/>
        </Part>
        <Part Type="papunktis" Nr="1.2" Abbr="pr. 1.2 pp." DocPartId="90af4ece3d804737b4fee6297b9157e0" PartId="eee7c93a1c2b48f7ad0a90b9c829bc0f">
          <Part Type="papunktis" Nr="1.2.1" Abbr="pr. 1.2.1 pp." DocPartId="326925117df445549be35341fc41c097" PartId="4e65b61420644e87aaa5fbdf2169faf3"/>
          <Part Type="papunktis" Nr="1.2.2" Abbr="pr. 1.2.2 pp." DocPartId="c29985a5d2e44cf9ab3d50b2ac5f45f9" PartId="d86472c1ee8d4f11b07460cb7748fa2b"/>
          <Part Type="papunktis" Nr="1.2.3" Abbr="pr. 1.2.3 pp." DocPartId="368c1d382aae40efaf454087aa87f5dc" PartId="ba9757e534a74f0093f0e1a3a58b5f27"/>
          <Part Type="papunktis" Nr="1.2.4" Abbr="pr. 1.2.4 pp." DocPartId="c56920020be546749a6b7d602df012dd" PartId="cf90b2cf764842d480f41359c3b80548"/>
          <Part Type="papunktis" Nr="1.2.5" Abbr="pr. 1.2.5 pp." DocPartId="d1788ca243644983a2ee2c7b86e5243d" PartId="307125f139074696866190b86cb3c255"/>
          <Part Type="papunktis" Nr="1.2.6" Abbr="pr. 1.2.6 pp." DocPartId="807f00d977cf40e8acf978b8cb574083" PartId="2fea9fd12cb74a4880a9a7596e159ed5"/>
          <Part Type="papunktis" Nr="1.2.7" Abbr="pr. 1.2.7 pp." DocPartId="db72277c08b842c0b6ee04fc24914c9f" PartId="55a5406da24546db8392fbde690fad79"/>
          <Part Type="papunktis" Nr="1.2.8" Abbr="pr. 1.2.8 pp." DocPartId="a530cbe450ba4498ba44969a10668bd2" PartId="b903e456510b4877bc92fc1beb5467b9"/>
          <Part Type="papunktis" Nr="1.2.9" Abbr="pr. 1.2.9 pp." DocPartId="b23e300e37464410ba36495128034029" PartId="f947a457fcf149f7be2bfe25ae70b291"/>
          <Part Type="papunktis" Nr="1.2.10" Abbr="pr. 1.2.10 pp." DocPartId="76c38d4a4adb4957818ac3464297d034" PartId="d7507ac521d8478c9e05e319d87a5bd8"/>
        </Part>
      </Part>
      <Part Type="punktas" Nr="2" Abbr="pr. 2 p." DocPartId="bbd56198c1db4945b9c031bb9f8ead41" PartId="11b191bd2b734b2db97249e4ca3b7ca3">
        <Part Type="papunktis" Nr="2.1" Abbr="pr. 2.1 pp." DocPartId="1392d11661834b9e8b8339c814881eee" PartId="ff0f80beb9a0472e89678b6e0def6449"/>
        <Part Type="papunktis" Nr="2.2" Abbr="pr. 2.2 pp." DocPartId="102316b9b7e94d96967620d2bc2e741d" PartId="aaa6acc11e134e6bbf85908ce4e11c58"/>
        <Part Type="papunktis" Nr="2.3" Abbr="pr. 2.3 pp." DocPartId="1efe42a78c254b17981325bdfa7b7e61" PartId="0ca5340f28d14af8974bd889a5653813"/>
        <Part Type="papunktis" Nr="2.4" Abbr="pr. 2.4 pp." DocPartId="f9281083f27e457890b381716b8839ff" PartId="b689f49ae7c9436bb39e7bd34feb77b7"/>
        <Part Type="papunktis" Nr="2.5" Abbr="pr. 2.5 pp." DocPartId="ea3b0826d0fe452b9229a8c5bf6c871c" PartId="45d88d9f575844da92845a16e5011038"/>
        <Part Type="papunktis" Nr="2.6" Abbr="pr. 2.6 pp." DocPartId="e657e12e4f00400eb82222908798eaba" PartId="3dc23c0a1f0f4539a933dc81b70f0efc"/>
        <Part Type="papunktis" Nr="2.7" Abbr="pr. 2.7 pp." DocPartId="c388c39a26db451bace0f31d978aa033" PartId="31b05107db73462e97933628877f5c9b"/>
        <Part Type="papunktis" Nr="2.8" Abbr="pr. 2.8 pp." DocPartId="d906433c42194928ab5863035a369a24" PartId="be988187025b4cc49361358e53cb0dd3"/>
        <Part Type="papunktis" Nr="2.9" Abbr="pr. 2.9 pp." DocPartId="f5615800d2ff42abbd9928fa48c7a27c" PartId="f003ba99b98e4c2c86fd02529e9119ee"/>
        <Part Type="papunktis" Nr="2.10" Abbr="pr. 2.10 pp." DocPartId="23b80e552bc744e9bb29b7fade763614" PartId="36fe290706d74e028fec185dd41e0b82"/>
      </Part>
      <Part Type="punktas" Nr="3" Abbr="pr. 3 p." DocPartId="d02af27f9f5a4ea18e2a1bc44ee4a034" PartId="be3ed655e8594965acd989ff14929bfc">
        <Part Type="papunktis" Nr="3.1" Abbr="pr. 3.1 pp." DocPartId="4ab29b4f52ac4a57b5e610187b1c6c60" PartId="4a0b9c2de896497ba416b0adc8a48f0d"/>
        <Part Type="papunktis" Nr="3.2" Abbr="pr. 3.2 pp." DocPartId="f8c8791d7df14e618400ca183f181d27" PartId="0574f719e9c44c0aaab78ea191bb51de"/>
        <Part Type="papunktis" Nr="3.3" Abbr="pr. 3.3 pp." DocPartId="d36eb076d84b45c6a174b9351cd2828d" PartId="a0770614e5024258915bb0f1602c1030"/>
        <Part Type="papunktis" Nr="3.4" Abbr="pr. 3.4 pp." DocPartId="04b550e498374c7a8e93689677d96fc6" PartId="61d5f7e2d35e4efb8d91aaaf67edf91d"/>
        <Part Type="papunktis" Nr="3.5" Abbr="pr. 3.5 pp." DocPartId="5744bea59d784087bbc028c8d2e330ca" PartId="3b380e0774e94d5095b664cf03f2f4c6"/>
        <Part Type="papunktis" Nr="3.6" Abbr="pr. 3.6 pp." DocPartId="e60c99dec94f4b7d8e42e91ca0905f54" PartId="c95818101a474a558e21e162606a73f9"/>
        <Part Type="papunktis" Nr="3.7" Abbr="pr. 3.7 pp." DocPartId="48d479b72e5345b7a8934f23d3f07505" PartId="e31cc022b0ac4db5b200121fc7960ef1"/>
      </Part>
    </Part>
    <Part Type="skyrius" Nr="2" Title="BENDROS SIUNTIMO MEDICININEI REABILITACIJAI, SVEIKATOS GRĄŽINAMAJAM GYDYMUI, ANTIRECIDYVINIAM GYDYMUI, PREVENCINEI MEDICININEI PSICHOLOGINEI REABILITACIJAI KONTRAINDIKACIJOS" DocPartId="88a5788d177c45529678d8e41476b3af" PartId="185a3738b4334d19a37ab10cd5eb14e1">
      <Part Type="punktas" Nr="4" Abbr="pr. 4 p." DocPartId="b48efb242c574b83837f56c317d2f0df" PartId="7596aa8cb45349669aab155b22e701d8"/>
      <Part Type="punktas" Nr="5" Abbr="pr. 5 p." DocPartId="26c48185fd944b8bb5ef36798c47a753" PartId="85e270b6d10b43d3b60a02a56af43a9a"/>
      <Part Type="punktas" Nr="6" Abbr="pr. 6 p." DocPartId="06cb769a6a594313acc1fe68d74628c0" PartId="e144edf6b7734a55afd1ebab7bc374b8"/>
      <Part Type="punktas" Nr="7" Abbr="pr. 7 p." DocPartId="36a91e57bd6e4b9fa382146082fdcca9" PartId="01bb07aa818f4598adef60f077e3c1e2"/>
      <Part Type="punktas" Nr="8" Abbr="pr. 8 p." DocPartId="9ff2a148441141d2a55e36f26d00bbcb" PartId="fdc2d8de07394d59abfd710a2c87c4cf"/>
      <Part Type="punktas" Nr="9" Abbr="pr. 9 p." DocPartId="3fc763b297d5470bb27dcf06eb37c194" PartId="850b68909ca245ac8f60d3384d6ee5a7"/>
      <Part Type="punktas" Nr="10" Abbr="pr. 10 p." DocPartId="1fc067e0a85e4e53959e1bde82d6b9fe" PartId="bbaa48427e3d4dba9961e3f094153e78"/>
      <Part Type="punktas" Nr="11" Abbr="pr. 11 p." DocPartId="41c7d56e56af43f698884694398e44e3" PartId="900b67234be749288ba12c77ad59c282"/>
      <Part Type="punktas" Nr="12" Abbr="pr. 12 p." DocPartId="1f640bcf307e4a28a7d37b5b3a4e746c" PartId="6264a6e1b06d4434bdb82919338c60b4"/>
      <Part Type="punktas" Nr="13" Abbr="pr. 13 p." DocPartId="46dd30577c2148ce9667eab4e6b540cf" PartId="72f8e1e2ea0a49c5832f71740ceaf619"/>
      <Part Type="punktas" Nr="14" Abbr="pr. 14 p." DocPartId="150c96ecd23941af860c68bd6bb27388" PartId="fe482576d9344c4ca529d7edafb6ad8f"/>
      <Part Type="punktas" Nr="15" Abbr="pr. 15 p." DocPartId="df57e7b1291e48e998aacb4486ffe488" PartId="88434e16fa3b4f9d9c83bb3c6a22aa42"/>
      <Part Type="punktas" Nr="16" Abbr="pr. 16 p." DocPartId="038c3f16b86c4f0fa148310504d68bf1" PartId="a4501b3eaeb645fb8747d7b4280ff301"/>
      <Part Type="punktas" Nr="17" Abbr="pr. 17 p." DocPartId="64ac1ec837994cf29fe572862ac57a58" PartId="abbaa9d3e64c4d7b9d56bec7c33cad9f"/>
      <Part Type="punktas" Nr="18" Abbr="pr. 18 p." DocPartId="5605633fe8a94804a8da243652aa1761" PartId="bf1b5393791c4b28909f8847331d6768"/>
      <Part Type="punktas" Nr="19" Abbr="pr. 19 p." DocPartId="b94958c6c4804ba5b1353e7528a1d0d2" PartId="85072b69b4004caeb9491d79582e4528"/>
      <Part Type="punktas" Nr="20" Abbr="pr. 20 p." DocPartId="2d11d2799c5c4ea3a2f6b880f4a484bc" PartId="39ad7c28db2a43b4bc2abda9d5eeb0e3"/>
    </Part>
    <Part Type="skyrius" Nr="3" Title="STACIONARINĖS IR AMBULATORINĖS MEDICININĖS REABILITACIJOS, SVEIKATOS GRĄŽINAMOJO GYDYMO PASLAUGŲ TEIKIMO SPECIALIEJI REIKALAVIMAI IR INDIKACIJOS" DocPartId="f7b1bde9cc15492fa3c63bb2bf6654e3" PartId="a2d88dc1262c4a3eb64afee55fea4904">
      <Part Type="poskyris" Title="Endokrininės, mitybos ir medžiagų apykaitos ligos" DocPartId="79730b0d907c465f880409e5b978a3fc" PartId="c2229cf65b9c40eaab8ec01e0bccaaab"/>
      <Part Type="poskyris" Title="Nervų sistemos ligos" DocPartId="ea86366f8e6d414186a17fbaa00ec90b" PartId="ccd7b6ecfdcd499a873f1a16a2930dd8"/>
      <Part Type="poskyris" Title="Kraujotakos sistemos ligos" DocPartId="b0997636513e41b5b2e4080d7fb0f471" PartId="176e59624000411ea49ae892cfd2234c"/>
      <Part Type="poskyris" Title="Kvėpavimo sistemos ligos" DocPartId="2b3a6890545b47578a388bae7875bd8a" PartId="91bd61ecca154b7fb470f28932d1a0e2"/>
      <Part Type="poskyris" Title="Jungiamojo audinio ir raumenų bei skeleto ligos" DocPartId="0ee69d9fc6ea45cebe9c38b43705977b" PartId="68d473eda99243f2a276245108de32a4"/>
    </Part>
    <Part Type="skyrius" Nr="4" Title="ANTIRECIDYVINIO GYDYMO PASLAUGŲ TEIKIMO SPECIALIEJI REIKALAVIMAI IR INDIKACIJOS" DocPartId="202dab3ceb74443481e490936860b34d" PartId="ab77bd19e22b4f1bb66b5a23df628690">
      <Part Type="poskyris" Title="Specialieji reikalavimai" DocPartId="155d5a6be109464bac750dca6f92c850" PartId="a6e5116e7c64480c871dc2b32f4be52b"/>
      <Part Type="poskyris" Title="Indikacijos" DocPartId="a08b787b86cd462faa160091892cad10" PartId="cf5b1005b5db4e6695ecde250ca0b571"/>
    </Part>
    <Part Type="skyrius" Nr="5" Title="PREVENCINĖS IR POSTVENCINĖS MEDICININĖS PSICHOLOGINĖS REABILITACIJOS PASLAUGŲ TEIKIMO SPECIALIEJI REIKALAVIMAI IR INDIKACIJOS" DocPartId="fea4fc80dc94437594f1db5ac047b51f" PartId="7cc5c472919d43cc93ff22b8b28873db">
      <Part Type="poskyris" Title="Specialieji reikalavimai" DocPartId="a439a27a23904f0f9a103147bc91d819" PartId="b07ccb15e7ff4c568ec49d4667d0ff06"/>
      <Part Type="poskyris" Title="Prevencinės ir postvencinės medicininės psichologinės reabilitacijos paslaugų teikimo indikacijos" DocPartId="d4a8977b9cad4d96a41e259a439caaff" PartId="dbdd0d5f37db47f2a65f85c89d435dd4"/>
    </Part>
    <Part Type="pabaiga" DocPartId="b7bc75f56c9e41e8b49d7c4d5e91f68d" PartId="3907589a376a490592a5035433d26bca"/>
  </Part>
</Parts>
</file>

<file path=customXml/itemProps1.xml><?xml version="1.0" encoding="utf-8"?>
<ds:datastoreItem xmlns:ds="http://schemas.openxmlformats.org/officeDocument/2006/customXml" ds:itemID="{2F1E2847-EC86-4C70-9291-24425707F183}">
  <ds:schemaRefs>
    <ds:schemaRef ds:uri="http://lrs.lt/TAIS/DocParts"/>
  </ds:schemaRefs>
</ds:datastoreItem>
</file>

<file path=docProps/app.xml><?xml version="1.0" encoding="utf-8"?>
<Properties xmlns="http://schemas.openxmlformats.org/officeDocument/2006/extended-properties">
  <Template>Normal.dotm</Template>
  <TotalTime>6</TotalTime>
  <Pages>51</Pages>
  <Words>80681</Words>
  <Characters>45989</Characters>
  <Application>Microsoft Office Word</Application>
  <DocSecurity>0</DocSecurity>
  <Lines>383</Lines>
  <Paragraphs>252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126418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JUOSPONIENĖ Karolina</lastModifiedBy>
  <lastPrinted>2015-09-17T11:05:00Z</lastPrinted>
  <dcterms:modified xsi:type="dcterms:W3CDTF">2020-09-23T10:04:00Z</dcterms:modified>
  <revision>12</revision>
</coreProperties>
</file>