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1f2a1b326c174f5cb8b530d0bb6b910f"/>
        <w:lock w:val="sdtLocked"/>
        <w:richText/>
      </w:sdtPr>
      <w:sdtContent>
        <w:p>
          <w:pPr>
            <w:jc w:val="both"/>
            <w:rPr>
              <w:rFonts w:ascii="Times New Roman" w:hAnsi="Times New Roman"/>
            </w:rPr>
          </w:pPr>
          <w:r>
            <w:rPr>
              <w:rFonts w:ascii="Times New Roman" w:hAnsi="Times New Roman"/>
              <w:b/>
              <w:i/>
            </w:rPr>
            <w:t>Suvestinė redakcija nuo 2024-12-03 iki 2025-03-24</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2015-10-01, i. k. 2015-14652</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2024-12-03:</w:t>
          </w:r>
        </w:p>
        <w:p>
          <w:pPr>
            <w:rPr>
              <w:rFonts w:ascii="Times New Roman" w:hAnsi="Times New Roman"/>
              <w:sz w:val="20"/>
              <w:i/>
            </w:rPr>
          </w:pPr>
          <w:r>
            <w:rPr>
              <w:rFonts w:ascii="Times New Roman" w:hAnsi="Times New Roman"/>
              <w:sz w:val="20"/>
              <w:i/>
            </w:rPr>
            <w:t xml:space="preserve">Nr. </w:t>
          </w:r>
          <w:fldSimple w:instr="HYPERLINK https://www.e-tar.lt/portal/legalAct.html?documentId=5e49dc51b0b611ef88c08519262548c4">
            <w:r w:rsidRPr="00532B9F">
              <w:rPr>
                <w:rFonts w:ascii="Times New Roman" w:eastAsia="MS Mincho" w:hAnsi="Times New Roman"/>
                <w:sz w:val="20"/>
                <w:i/>
                <w:iCs/>
                <w:color w:val="0000FF" w:themeColor="hyperlink"/>
                <w:u w:val="single"/>
              </w:rPr>
              <w:t>1V-696</w:t>
            </w:r>
          </w:fldSimple>
          <w:r>
            <w:rPr>
              <w:rFonts w:ascii="Times New Roman" w:eastAsia="MS Mincho" w:hAnsi="Times New Roman"/>
              <w:sz w:val="20"/>
              <w:i/>
              <w:iCs/>
            </w:rPr>
            <w:t>,
2024-12-02,
paskelbta TAR 2024-12-02, i. k. 2024-21213                </w:t>
          </w:r>
        </w:p>
        <w:p>
          <w:pPr>
            <w:rPr>
              <w:rFonts w:ascii="Times New Roman" w:hAnsi="Times New Roman"/>
              <w:sz w:val="22"/>
            </w:rPr>
          </w:pPr>
        </w:p>
        <w:p>
          <w:pPr>
            <w:tabs>
              <w:tab w:val="left" w:pos="993"/>
            </w:tabs>
            <w:jc w:val="center"/>
            <w:rPr>
              <w:rFonts w:eastAsia="Calibri"/>
              <w:b/>
              <w:szCs w:val="24"/>
            </w:rPr>
          </w:pPr>
          <w:r>
            <w:rPr>
              <w:rFonts w:eastAsia="Calibri"/>
              <w:b/>
              <w:szCs w:val="24"/>
            </w:rPr>
            <w:t>LIETUVOS RESPUBLIKOS VIDAUS REIKALŲ MINISTRAS</w:t>
          </w:r>
        </w:p>
        <w:p>
          <w:pPr>
            <w:tabs>
              <w:tab w:val="left" w:pos="993"/>
            </w:tabs>
            <w:jc w:val="center"/>
            <w:rPr>
              <w:rFonts w:eastAsia="Calibri"/>
              <w:b/>
              <w:szCs w:val="24"/>
            </w:rPr>
          </w:pPr>
        </w:p>
        <w:p>
          <w:pPr>
            <w:tabs>
              <w:tab w:val="left" w:pos="993"/>
            </w:tabs>
            <w:jc w:val="center"/>
            <w:rPr>
              <w:rFonts w:eastAsia="Calibri"/>
              <w:b/>
              <w:szCs w:val="24"/>
            </w:rPr>
          </w:pPr>
          <w:r>
            <w:rPr>
              <w:rFonts w:eastAsia="Calibri"/>
              <w:b/>
              <w:szCs w:val="24"/>
            </w:rPr>
            <w:t>ĮSAKYMAS</w:t>
          </w:r>
        </w:p>
        <w:p>
          <w:pPr>
            <w:tabs>
              <w:tab w:val="left" w:pos="993"/>
            </w:tabs>
            <w:jc w:val="center"/>
            <w:rPr>
              <w:rFonts w:eastAsia="Calibri"/>
              <w:b/>
              <w:szCs w:val="24"/>
            </w:rPr>
          </w:pPr>
          <w:r>
            <w:rPr>
              <w:rFonts w:eastAsia="Calibri"/>
              <w:b/>
              <w:szCs w:val="24"/>
            </w:rPr>
            <w:t>DĖL VIDAUS TARNYBOS SISTEMOS IR LIETUVOS RESPUBLIKOS VADOVYBĖS APSAUGOS TARNYBOS PAREIGŪNŲ IR KURSANTŲ MEDICININĖS REABILITACIJOS, PREVENCINĖS MEDICININĖS IR PSICHOLOGINĖS REABILITACIJOS, SVEIKATOS GRĄŽINAMOJO IR ANTIRECIDYVINIO GYDYMO, KAI TAI IŠ DALIES APMOKAMA ARBA NEAPMOKAMA IŠ PRIVALOMOJO SVEIKATOS DRAUDIMO FONDO BIUDŽETO, TVARKOS APRAŠO PATVIRTINIMO</w:t>
          </w:r>
        </w:p>
        <w:p>
          <w:pPr>
            <w:tabs>
              <w:tab w:val="left" w:pos="993"/>
            </w:tabs>
            <w:jc w:val="both"/>
          </w:pPr>
        </w:p>
        <w:p>
          <w:pPr>
            <w:tabs>
              <w:tab w:val="left" w:pos="993"/>
            </w:tabs>
            <w:jc w:val="center"/>
          </w:pPr>
          <w:r>
            <w:t>2015 m. rugsėjo 30 d. Nr. 1V-762</w:t>
          </w:r>
        </w:p>
        <w:p>
          <w:pPr>
            <w:tabs>
              <w:tab w:val="left" w:pos="993"/>
            </w:tabs>
            <w:jc w:val="center"/>
          </w:pPr>
          <w:r>
            <w:t>Vilnius</w:t>
          </w:r>
        </w:p>
        <w:p>
          <w:pPr>
            <w:tabs>
              <w:tab w:val="left" w:pos="993"/>
            </w:tabs>
            <w:jc w:val="both"/>
          </w:pPr>
        </w:p>
        <w:sdt>
          <w:sdtPr>
            <w:alias w:val="preambule"/>
            <w:tag w:val="part_ce40df7576c04286b22a2f433f729939"/>
            <w:lock w:val="sdtLocked"/>
            <w:richText/>
          </w:sdtPr>
          <w:sdtContent>
            <w:p>
              <w:pPr>
                <w:tabs>
                  <w:tab w:val="left" w:pos="993"/>
                </w:tabs>
                <w:spacing w:line="312" w:lineRule="auto"/>
                <w:ind w:firstLine="709"/>
                <w:jc w:val="both"/>
                <w:rPr>
                  <w:szCs w:val="24"/>
                  <w:lang w:eastAsia="lt-LT"/>
                </w:rPr>
              </w:pPr>
              <w:r>
                <w:t>Vadovaudamasis Lietuvos Respublikos vidaus tarnybos statuto 61 straipsnio 2 dalimi</w:t>
              </w:r>
              <w:r>
                <w:rPr>
                  <w:rFonts w:eastAsia="Calibri"/>
                  <w:szCs w:val="24"/>
                </w:rPr>
                <w:t>,</w:t>
              </w:r>
              <w:r>
                <w:rPr>
                  <w:rFonts w:eastAsia="Calibri"/>
                  <w:strike/>
                </w:rPr>
                <w:t xml:space="preserve"> </w:t>
              </w:r>
              <w:r>
                <w:rPr>
                  <w:rFonts w:eastAsia="Calibri"/>
                  <w:bCs/>
                </w:rPr>
                <w:t>Lietuvos Respublikos vadovybės apsaugos įstatymo 52 straipsnio 2 dalimi</w:t>
              </w:r>
              <w:r>
                <w:rPr>
                  <w:rFonts w:eastAsia="Calibri"/>
                  <w:szCs w:val="24"/>
                </w:rPr>
                <w:t xml:space="preserve"> ir </w:t>
              </w:r>
              <w:r>
                <w:t>įgyvendindamas Lietuvos Respublikos Vyriausybės 2018 m. gruodžio 12 d. nutarimo Nr. 1300 „Dėl Lietuvos Respublikos vidaus tarnybos statuto įgyvendinimo“ 2.3 papunktį</w:t>
              </w:r>
              <w:r>
                <w:rPr>
                  <w:rFonts w:eastAsia="Calibri"/>
                  <w:szCs w:val="24"/>
                </w:rPr>
                <w:t>,</w:t>
              </w:r>
            </w:p>
          </w:sdtContent>
        </w:sdt>
        <w:sdt>
          <w:sdtPr>
            <w:alias w:val="pastraipa"/>
            <w:tag w:val="part_ba9090b8acc249229fd2ede624fa933b"/>
            <w:lock w:val="sdtLocked"/>
            <w:richText/>
          </w:sdtPr>
          <w:sdtContent>
            <w:p>
              <w:pPr>
                <w:tabs>
                  <w:tab w:val="num" w:pos="993"/>
                </w:tabs>
                <w:spacing w:line="312" w:lineRule="auto"/>
                <w:ind w:firstLine="771"/>
                <w:jc w:val="both"/>
              </w:pPr>
              <w:r>
                <w:rPr>
                  <w:spacing w:val="60"/>
                </w:rPr>
                <w:t xml:space="preserve">tvirtinu </w:t>
              </w:r>
              <w:r>
                <w:rPr>
                  <w:rFonts w:eastAsia="Calibri"/>
                  <w:szCs w:val="24"/>
                </w:rPr>
                <w:t xml:space="preserve">Vidaus tarnybos sistemos </w:t>
              </w:r>
              <w:r>
                <w:rPr>
                  <w:rFonts w:eastAsia="Calibri"/>
                  <w:bCs/>
                </w:rPr>
                <w:t>ir Lietuvos Respublikos vadovybės apsaugos tarnybos</w:t>
              </w:r>
              <w:r>
                <w:rPr>
                  <w:rFonts w:eastAsia="Calibri"/>
                  <w:szCs w:val="24"/>
                </w:rPr>
                <w:t xml:space="preserve"> pareigūnų ir kursantų medicininės reabilitacijos, prevencinės medicininės ir psichologinės reabilitacijos, sveikatos grąžinamojo ir antirecidyvinio gydymo, kai tai iš dalies apmokama arba neapmokama iš Privalomojo sveikatos draudimo fondo biudžeto, tvarkos aprašą (pridedama).</w:t>
              </w:r>
            </w:p>
          </w:sdtContent>
        </w:sdt>
        <w:sdt>
          <w:sdtPr>
            <w:alias w:val="signatura"/>
            <w:tag w:val="part_fca6820c3af14f5780eadd549f92c418"/>
            <w:lock w:val="sdtLocked"/>
            <w:richText/>
          </w:sdtPr>
          <w:sdtContent>
            <w:p>
              <w:pPr>
                <w:tabs>
                  <w:tab w:val="left" w:pos="7797"/>
                </w:tabs>
                <w:spacing w:line="276" w:lineRule="auto"/>
              </w:pPr>
            </w:p>
            <w:p>
              <w:pPr>
                <w:tabs>
                  <w:tab w:val="left" w:pos="7797"/>
                </w:tabs>
                <w:spacing w:line="276" w:lineRule="auto"/>
              </w:pPr>
            </w:p>
            <w:p>
              <w:pPr>
                <w:tabs>
                  <w:tab w:val="left" w:pos="7797"/>
                </w:tabs>
                <w:spacing w:line="276" w:lineRule="auto"/>
              </w:pPr>
            </w:p>
            <w:p>
              <w:pPr>
                <w:tabs>
                  <w:tab w:val="left" w:pos="7797"/>
                </w:tabs>
                <w:spacing w:line="276" w:lineRule="auto"/>
                <w:rPr>
                  <w:rFonts w:eastAsia="Calibri"/>
                  <w:szCs w:val="24"/>
                </w:rPr>
              </w:pPr>
              <w:r>
                <w:rPr>
                  <w:rFonts w:eastAsia="Calibri"/>
                  <w:szCs w:val="24"/>
                </w:rPr>
                <w:t>Vidaus reikalų ministras</w:t>
                <w:tab/>
                <w:t>Saulius Skvernelis</w:t>
              </w:r>
            </w:p>
            <w:p>
              <w:pPr>
                <w:rPr>
                  <w:sz w:val="18"/>
                  <w:szCs w:val="18"/>
                </w:rPr>
              </w:pPr>
            </w:p>
            <w:p>
              <w:pPr>
                <w:spacing w:line="276" w:lineRule="auto"/>
                <w:jc w:val="both"/>
                <w:rPr>
                  <w:rFonts w:eastAsia="Calibri"/>
                  <w:szCs w:val="24"/>
                </w:rPr>
              </w:pPr>
            </w:p>
            <w:p>
              <w:pPr>
                <w:rPr>
                  <w:sz w:val="18"/>
                  <w:szCs w:val="18"/>
                </w:rPr>
              </w:pPr>
            </w:p>
            <w:p>
              <w:pPr>
                <w:spacing w:line="276" w:lineRule="auto"/>
                <w:rPr>
                  <w:rFonts w:eastAsia="Calibri"/>
                  <w:szCs w:val="24"/>
                </w:rPr>
              </w:pPr>
              <w:r>
                <w:rPr>
                  <w:rFonts w:eastAsia="Calibri"/>
                  <w:szCs w:val="24"/>
                </w:rPr>
                <w:t>SUDERINTA</w:t>
                <w:tab/>
                <w:tab/>
                <w:tab/>
                <w:tab/>
                <w:t xml:space="preserve">    SUDERINTA</w:t>
              </w:r>
            </w:p>
            <w:p>
              <w:pPr>
                <w:spacing w:line="276" w:lineRule="auto"/>
                <w:rPr>
                  <w:rFonts w:eastAsia="Calibri"/>
                  <w:szCs w:val="24"/>
                </w:rPr>
              </w:pPr>
              <w:r>
                <w:rPr>
                  <w:rFonts w:eastAsia="Calibri"/>
                  <w:szCs w:val="24"/>
                </w:rPr>
                <w:t>Lietuvos Respublikos</w:t>
                <w:tab/>
                <w:tab/>
                <w:tab/>
                <w:tab/>
                <w:t xml:space="preserve">    Lietuvos Respublikos</w:t>
              </w:r>
            </w:p>
            <w:p>
              <w:pPr>
                <w:spacing w:line="276" w:lineRule="auto"/>
                <w:rPr>
                  <w:rFonts w:eastAsia="Calibri"/>
                  <w:szCs w:val="24"/>
                </w:rPr>
              </w:pPr>
              <w:r>
                <w:rPr>
                  <w:rFonts w:eastAsia="Calibri"/>
                  <w:szCs w:val="24"/>
                </w:rPr>
                <w:t xml:space="preserve">sveikatos apsaugos ministrė </w:t>
                <w:tab/>
                <w:tab/>
                <w:tab/>
                <w:t xml:space="preserve">    finansų  ministras</w:t>
              </w:r>
            </w:p>
            <w:p>
              <w:pPr>
                <w:spacing w:line="276" w:lineRule="auto"/>
                <w:rPr>
                  <w:rFonts w:eastAsia="Calibri"/>
                  <w:szCs w:val="24"/>
                </w:rPr>
              </w:pPr>
              <w:r>
                <w:rPr>
                  <w:rFonts w:eastAsia="Calibri"/>
                  <w:szCs w:val="24"/>
                </w:rPr>
                <w:t>Rimantė Šalaševičiūtė</w:t>
                <w:tab/>
                <w:tab/>
                <w:t xml:space="preserve"> </w:t>
                <w:tab/>
                <w:t xml:space="preserve">                          Rimantas Šadžius</w:t>
                <w:tab/>
                <w:t xml:space="preserve">    </w:t>
              </w:r>
            </w:p>
            <w:p>
              <w:pPr>
                <w:spacing w:line="276" w:lineRule="auto"/>
              </w:pPr>
              <w:r>
                <w:rPr>
                  <w:rFonts w:eastAsia="Calibri"/>
                  <w:szCs w:val="24"/>
                </w:rPr>
                <w:t>2015 m. rugsėjo 23 d.</w:t>
                <w:tab/>
                <w:tab/>
                <w:tab/>
                <w:tab/>
                <w:t xml:space="preserve">    2015 m. rugsėjo 30 d.</w:t>
              </w:r>
            </w:p>
          </w:sdtContent>
        </w:sdt>
        <w:p/>
      </w:sdtContent>
    </w:sdt>
    <w:sdt>
      <w:sdtPr>
        <w:alias w:val="patvirtinta"/>
        <w:tag w:val="part_c39b4afd69f04d949ee07a59d84c755a"/>
        <w:lock w:val="sdtLocked"/>
        <w:richText/>
      </w:sdtPr>
      <w:sdtContent>
        <w:p>
          <w:pPr>
            <w:ind w:left="5103"/>
            <w:sectPr>
              <w:headerReference w:type="even" r:id="rId20"/>
              <w:headerReference w:type="default" r:id="rId21"/>
              <w:footerReference w:type="even" r:id="rId22"/>
              <w:footerReference w:type="default" r:id="rId23"/>
              <w:headerReference w:type="first" r:id="rId24"/>
              <w:footerReference w:type="first" r:id="rId25"/>
              <w:pgSz w:w="11906" w:h="16838"/>
              <w:pgMar w:top="1135" w:right="567" w:bottom="1134" w:left="1701" w:header="340" w:footer="567" w:gutter="0"/>
              <w:pgNumType w:start="1"/>
              <w:cols w:space="1296"/>
              <w:titlePg/>
              <w:docGrid w:linePitch="360"/>
            </w:sectPr>
          </w:pPr>
        </w:p>
        <w:p>
          <w:pPr>
            <w:ind w:left="5103"/>
            <w:rPr>
              <w:caps/>
              <w:szCs w:val="24"/>
            </w:rPr>
          </w:pPr>
          <w:r>
            <w:rPr>
              <w:caps/>
              <w:szCs w:val="24"/>
            </w:rPr>
            <w:t>Patvirtinta</w:t>
          </w:r>
        </w:p>
        <w:p>
          <w:pPr>
            <w:ind w:left="5103"/>
            <w:rPr>
              <w:szCs w:val="24"/>
            </w:rPr>
          </w:pPr>
          <w:r>
            <w:t>Lietuvos Respublikos vidaus reikalų ministro</w:t>
          </w:r>
        </w:p>
        <w:p>
          <w:pPr>
            <w:ind w:left="5103"/>
            <w:rPr>
              <w:szCs w:val="24"/>
            </w:rPr>
          </w:pPr>
          <w:r>
            <w:t xml:space="preserve">2015 m. rugsėjo 30 d. </w:t>
          </w:r>
          <w:r>
            <w:rPr>
              <w:szCs w:val="24"/>
            </w:rPr>
            <w:t>įsakymu Nr.</w:t>
          </w:r>
          <w:r>
            <w:t> 1V-762</w:t>
          </w:r>
        </w:p>
        <w:p>
          <w:pPr>
            <w:keepLines/>
            <w:tabs>
              <w:tab w:val="left" w:pos="1304"/>
              <w:tab w:val="left" w:pos="1457"/>
              <w:tab w:val="left" w:pos="1604"/>
              <w:tab w:val="left" w:pos="1757"/>
            </w:tabs>
            <w:suppressAutoHyphens/>
            <w:ind w:left="5103"/>
            <w:textAlignment w:val="center"/>
            <w:rPr>
              <w:szCs w:val="24"/>
            </w:rPr>
          </w:pPr>
          <w:r>
            <w:rPr>
              <w:szCs w:val="24"/>
            </w:rPr>
            <w:t>(</w:t>
          </w:r>
          <w:r>
            <w:t xml:space="preserve">2024 m. gruodžio 2 d. </w:t>
          </w:r>
          <w:r>
            <w:rPr>
              <w:szCs w:val="24"/>
            </w:rPr>
            <w:t xml:space="preserve">įsakymo Nr. </w:t>
          </w:r>
          <w:r>
            <w:rPr>
              <w:szCs w:val="24"/>
              <w:lang w:eastAsia="lt-LT"/>
            </w:rPr>
            <w:t>1V-696</w:t>
          </w:r>
        </w:p>
        <w:p>
          <w:pPr>
            <w:keepLines/>
            <w:tabs>
              <w:tab w:val="left" w:pos="1304"/>
              <w:tab w:val="left" w:pos="1457"/>
              <w:tab w:val="left" w:pos="1604"/>
              <w:tab w:val="left" w:pos="1757"/>
            </w:tabs>
            <w:suppressAutoHyphens/>
            <w:ind w:left="5103"/>
            <w:textAlignment w:val="center"/>
            <w:rPr>
              <w:szCs w:val="24"/>
            </w:rPr>
          </w:pPr>
          <w:r>
            <w:rPr>
              <w:szCs w:val="24"/>
            </w:rPr>
            <w:t xml:space="preserve">redakcija) </w:t>
          </w:r>
        </w:p>
        <w:p>
          <w:pPr>
            <w:jc w:val="center"/>
            <w:rPr>
              <w:b/>
              <w:szCs w:val="24"/>
            </w:rPr>
          </w:pPr>
        </w:p>
        <w:p>
          <w:pPr>
            <w:jc w:val="center"/>
            <w:rPr>
              <w:b/>
              <w:szCs w:val="24"/>
            </w:rPr>
          </w:pPr>
        </w:p>
        <w:p>
          <w:pPr>
            <w:jc w:val="center"/>
            <w:rPr>
              <w:b/>
              <w:szCs w:val="24"/>
            </w:rPr>
          </w:pPr>
          <w:sdt>
            <w:sdtPr>
              <w:alias w:val="Pavadinimas"/>
              <w:tag w:val="title_c39b4afd69f04d949ee07a59d84c755a"/>
              <w:lock w:val="sdtLocked"/>
              <w:richText/>
            </w:sdtPr>
            <w:sdtContent>
              <w:r>
                <w:rPr>
                  <w:b/>
                  <w:szCs w:val="24"/>
                </w:rPr>
                <w:t xml:space="preserve">VIDAUS TARNYBOS SISTEMOS </w:t>
              </w:r>
              <w:r>
                <w:rPr>
                  <w:rFonts w:eastAsia="Calibri"/>
                  <w:b/>
                  <w:bCs/>
                </w:rPr>
                <w:t>IR LIETUVOS RESPUBLIKOS VADOVYBĖS APSAUGOS TARNYBOS</w:t>
              </w:r>
              <w:r>
                <w:rPr>
                  <w:b/>
                  <w:szCs w:val="24"/>
                </w:rPr>
                <w:t xml:space="preserve"> PAREIGŪNŲ IR KURSANTŲ MEDICININĖS REABILITACIJOS, PREVENCINĖS MEDICININĖS IR PSICHOLOGINĖS REABILITACIJOS, SVEIKATOS GRĄŽINAMOJO IR ANTIRECIDYVINIO GYDYMO, KAI TAI IŠ DALIES APMOKAMA ARBA NEAPMOKAMA IŠ PRIVALOMOJO SVEIKATOS DRAUDIMO FONDO BIUDŽETO, TVARKOS APRAŠAS </w:t>
              </w:r>
            </w:sdtContent>
          </w:sdt>
        </w:p>
        <w:p>
          <w:pPr/>
        </w:p>
        <w:sdt>
          <w:sdtPr>
            <w:alias w:val="skyrius"/>
            <w:tag w:val="part_28e2a52db737435b8342f6fd8e3052f4"/>
            <w:lock w:val="sdtLocked"/>
            <w:richText/>
          </w:sdtPr>
          <w:sdtContent>
            <w:p>
              <w:pPr>
                <w:jc w:val="center"/>
                <w:rPr>
                  <w:b/>
                  <w:caps/>
                  <w:szCs w:val="24"/>
                </w:rPr>
              </w:pPr>
              <w:sdt>
                <w:sdtPr>
                  <w:alias w:val="Numeris"/>
                  <w:tag w:val="nr_28e2a52db737435b8342f6fd8e3052f4"/>
                  <w:lock w:val="sdtLocked"/>
                  <w:richText/>
                </w:sdtPr>
                <w:sdtContent>
                  <w:r>
                    <w:rPr>
                      <w:b/>
                      <w:caps/>
                      <w:szCs w:val="24"/>
                    </w:rPr>
                    <w:t>I</w:t>
                  </w:r>
                </w:sdtContent>
              </w:sdt>
              <w:r>
                <w:rPr>
                  <w:b/>
                  <w:caps/>
                  <w:szCs w:val="24"/>
                </w:rPr>
                <w:t xml:space="preserve"> SKYRIUS</w:t>
              </w:r>
            </w:p>
            <w:p>
              <w:pPr>
                <w:jc w:val="center"/>
                <w:rPr>
                  <w:b/>
                  <w:caps/>
                  <w:szCs w:val="24"/>
                </w:rPr>
              </w:pPr>
              <w:sdt>
                <w:sdtPr>
                  <w:alias w:val="Pavadinimas"/>
                  <w:tag w:val="title_28e2a52db737435b8342f6fd8e3052f4"/>
                  <w:lock w:val="sdtLocked"/>
                  <w:richText/>
                </w:sdtPr>
                <w:sdtContent>
                  <w:r>
                    <w:rPr>
                      <w:b/>
                      <w:caps/>
                      <w:szCs w:val="24"/>
                    </w:rPr>
                    <w:t>bendrosios nuostatos</w:t>
                  </w:r>
                </w:sdtContent>
              </w:sdt>
            </w:p>
            <w:p>
              <w:pPr>
                <w:tabs>
                  <w:tab w:val="left" w:pos="0"/>
                  <w:tab w:val="left" w:pos="993"/>
                </w:tabs>
                <w:ind w:firstLine="709"/>
                <w:jc w:val="both"/>
                <w:rPr>
                  <w:szCs w:val="24"/>
                  <w:lang w:eastAsia="lt-LT"/>
                </w:rPr>
              </w:pPr>
            </w:p>
            <w:sdt>
              <w:sdtPr>
                <w:alias w:val="1 p."/>
                <w:tag w:val="part_6c26878b8b874c4fac3eb8e2a2af3adc"/>
                <w:lock w:val="sdtLocked"/>
                <w:richText/>
              </w:sdtPr>
              <w:sdtContent>
                <w:p>
                  <w:pPr>
                    <w:tabs>
                      <w:tab w:val="left" w:pos="0"/>
                      <w:tab w:val="left" w:pos="993"/>
                    </w:tabs>
                    <w:ind w:firstLine="709"/>
                    <w:jc w:val="both"/>
                    <w:rPr>
                      <w:szCs w:val="24"/>
                    </w:rPr>
                  </w:pPr>
                  <w:sdt>
                    <w:sdtPr>
                      <w:alias w:val="Numeris"/>
                      <w:tag w:val="nr_6c26878b8b874c4fac3eb8e2a2af3adc"/>
                      <w:lock w:val="sdtLocked"/>
                      <w:richText/>
                    </w:sdtPr>
                    <w:sdtContent>
                      <w:r>
                        <w:rPr>
                          <w:szCs w:val="24"/>
                          <w:lang w:eastAsia="lt-LT"/>
                        </w:rPr>
                        <w:t>1</w:t>
                      </w:r>
                    </w:sdtContent>
                  </w:sdt>
                  <w:r>
                    <w:rPr>
                      <w:szCs w:val="24"/>
                      <w:lang w:eastAsia="lt-LT"/>
                    </w:rPr>
                    <w:t xml:space="preserve">. </w:t>
                  </w:r>
                  <w:r>
                    <w:rPr>
                      <w:szCs w:val="24"/>
                    </w:rPr>
                    <w:t xml:space="preserve">Vidaus tarnybos sistemos </w:t>
                  </w:r>
                  <w:r>
                    <w:rPr>
                      <w:rFonts w:eastAsia="Calibri"/>
                      <w:bCs/>
                    </w:rPr>
                    <w:t>ir Lietuvos Respublikos vadovybės apsaugos tarnybos</w:t>
                  </w:r>
                  <w:r>
                    <w:rPr>
                      <w:rFonts w:eastAsia="Calibri"/>
                      <w:szCs w:val="24"/>
                    </w:rPr>
                    <w:t xml:space="preserve"> </w:t>
                  </w:r>
                  <w:r>
                    <w:rPr>
                      <w:szCs w:val="24"/>
                    </w:rPr>
                    <w:t xml:space="preserve">pareigūnų ir kursantų medicininės reabilitacijos, prevencinės medicininės ir psichologinės reabilitacijos, sveikatos grąžinamojo ir antirecidyvinio gydymo, kai tai iš dalies apmokama arba neapmokama iš Privalomojo sveikatos draudimo fondo biudžeto, tvarkos aprašas (toliau – aprašas) reglamentuoja vidaus tarnybos sistemos </w:t>
                  </w:r>
                  <w:r>
                    <w:rPr>
                      <w:rFonts w:eastAsia="Calibri"/>
                      <w:bCs/>
                    </w:rPr>
                    <w:t>ir Lietuvos Respublikos vadovybės apsaugos tarnybos</w:t>
                  </w:r>
                  <w:r>
                    <w:rPr>
                      <w:rFonts w:eastAsia="Calibri"/>
                      <w:szCs w:val="24"/>
                    </w:rPr>
                    <w:t xml:space="preserve"> </w:t>
                  </w:r>
                  <w:r>
                    <w:rPr>
                      <w:szCs w:val="24"/>
                    </w:rPr>
                    <w:t>pareigūnų (toliau – pareigūnai), buvusių pareigūnų – pareigūnų ir karių valstybinių pensijų gavėjų (toliau – buvę pareigūnai) ir Lietuvos Respublikos vidaus tarnybos statuto 61 straipsnio 1 dalies 3 punkte nurodytų kursantų (toliau – kursantai) medicininės reabilitacijos, prevencinės, postvencinės medicininės ir psichologinės reabilitacijos, sveikatos grąžinamojo ir antirecidyvinio gydymo, kai tai iš dalies apmokama arba neapmokama iš Privalomojo sveikatos draudimo fondo (toliau – PSDF) biudžeto, organizavimo ir apmokėjimo tvarką:</w:t>
                  </w:r>
                </w:p>
                <w:sdt>
                  <w:sdtPr>
                    <w:alias w:val="1.1 pp."/>
                    <w:tag w:val="part_9b91c2c35dfe40c187f95e167e056316"/>
                    <w:lock w:val="sdtLocked"/>
                    <w:richText/>
                  </w:sdtPr>
                  <w:sdtContent>
                    <w:p>
                      <w:pPr>
                        <w:tabs>
                          <w:tab w:val="left" w:pos="0"/>
                          <w:tab w:val="left" w:pos="993"/>
                        </w:tabs>
                        <w:ind w:firstLine="709"/>
                        <w:jc w:val="both"/>
                        <w:rPr>
                          <w:szCs w:val="24"/>
                        </w:rPr>
                      </w:pPr>
                      <w:sdt>
                        <w:sdtPr>
                          <w:alias w:val="Numeris"/>
                          <w:tag w:val="nr_9b91c2c35dfe40c187f95e167e056316"/>
                          <w:lock w:val="sdtLocked"/>
                          <w:richText/>
                        </w:sdtPr>
                        <w:sdtContent>
                          <w:r>
                            <w:rPr>
                              <w:szCs w:val="24"/>
                            </w:rPr>
                            <w:t>1.1</w:t>
                          </w:r>
                        </w:sdtContent>
                      </w:sdt>
                      <w:r>
                        <w:rPr>
                          <w:szCs w:val="24"/>
                        </w:rPr>
                        <w:t>. sveikatos priežiūros įstaigose, kurių savininko teises ir pareigas įgyvendina Lietuvos Respublikos vidaus reikalų ministerija (toliau – VRM), taip pat asmens ir visuomenės sveikatos priežiūros įstaigose, su kuriomis VRM yra sudariusi apraše nurodytų paslaugų teikimo sutartis, kai tai apmokama</w:t>
                      </w:r>
                      <w:r>
                        <w:rPr>
                          <w:szCs w:val="24"/>
                          <w:lang w:eastAsia="lt-LT"/>
                        </w:rPr>
                        <w:t xml:space="preserve"> </w:t>
                      </w:r>
                      <w:r>
                        <w:rPr>
                          <w:szCs w:val="24"/>
                        </w:rPr>
                        <w:t>iš VRM atitinkamai programai skirtų valstybės biudžeto lėšų</w:t>
                      </w:r>
                      <w:r>
                        <w:rPr>
                          <w:szCs w:val="24"/>
                          <w:lang w:eastAsia="lt-LT"/>
                        </w:rPr>
                        <w:t xml:space="preserve"> </w:t>
                      </w:r>
                      <w:r>
                        <w:rPr>
                          <w:szCs w:val="24"/>
                        </w:rPr>
                        <w:t>(toliau kartu – VRM apmokamos reabilitacijos įstaigos);</w:t>
                      </w:r>
                    </w:p>
                  </w:sdtContent>
                </w:sdt>
                <w:sdt>
                  <w:sdtPr>
                    <w:alias w:val="1.2 pp."/>
                    <w:tag w:val="part_306782fba98f4c578f4caa82e88b57e4"/>
                    <w:lock w:val="sdtLocked"/>
                    <w:richText/>
                  </w:sdtPr>
                  <w:sdtContent>
                    <w:p>
                      <w:pPr>
                        <w:tabs>
                          <w:tab w:val="left" w:pos="0"/>
                          <w:tab w:val="left" w:pos="993"/>
                        </w:tabs>
                        <w:ind w:firstLine="709"/>
                        <w:jc w:val="both"/>
                        <w:rPr>
                          <w:szCs w:val="24"/>
                          <w:lang w:eastAsia="lt-LT"/>
                        </w:rPr>
                      </w:pPr>
                      <w:sdt>
                        <w:sdtPr>
                          <w:alias w:val="Numeris"/>
                          <w:tag w:val="nr_306782fba98f4c578f4caa82e88b57e4"/>
                          <w:lock w:val="sdtLocked"/>
                          <w:richText/>
                        </w:sdtPr>
                        <w:sdtContent>
                          <w:r>
                            <w:rPr>
                              <w:szCs w:val="24"/>
                            </w:rPr>
                            <w:t>1.2</w:t>
                          </w:r>
                        </w:sdtContent>
                      </w:sdt>
                      <w:r>
                        <w:rPr>
                          <w:szCs w:val="24"/>
                        </w:rPr>
                        <w:t>. kitose asmens ir visuomenės sveikatos priežiūros įstaigose, su kuriomis Vadovybės apsaugos tarnyba, Lietuvos Respublikos finansų ministerija, Lietuvos Respublikos teisingumo</w:t>
                      </w:r>
                      <w:r>
                        <w:t xml:space="preserve"> ministerija ir (ar) centrinė statutinė įstaiga yra sudariusi apraše nurodytų paslaugų teikimo sutartis, </w:t>
                      </w:r>
                      <w:r>
                        <w:rPr>
                          <w:szCs w:val="24"/>
                        </w:rPr>
                        <w:t xml:space="preserve">kai tai apmokama iš Vadovybės apsaugos tarnybai, Finansų ir Teisingumo ministerijoms ar centrinėms statutinėms įstaigoms skirtų valstybės biudžeto lėšų </w:t>
                      </w:r>
                      <w:r>
                        <w:t>(toliau kartu – kitos reabilitacijos įstaigos)</w:t>
                      </w:r>
                      <w:r>
                        <w:rPr>
                          <w:szCs w:val="24"/>
                        </w:rPr>
                        <w:t>.</w:t>
                      </w:r>
                    </w:p>
                  </w:sdtContent>
                </w:sdt>
              </w:sdtContent>
            </w:sdt>
            <w:sdt>
              <w:sdtPr>
                <w:alias w:val="2 p."/>
                <w:tag w:val="part_f178f087740c4a4ca457659ce1b0f4a4"/>
                <w:lock w:val="sdtLocked"/>
                <w:richText/>
              </w:sdtPr>
              <w:sdtContent>
                <w:p>
                  <w:pPr>
                    <w:widowControl w:val="0"/>
                    <w:tabs>
                      <w:tab w:val="left" w:pos="865"/>
                    </w:tabs>
                    <w:ind w:firstLine="709"/>
                    <w:jc w:val="both"/>
                    <w:rPr>
                      <w:szCs w:val="24"/>
                      <w:lang w:eastAsia="lt-LT"/>
                    </w:rPr>
                  </w:pPr>
                  <w:sdt>
                    <w:sdtPr>
                      <w:alias w:val="Numeris"/>
                      <w:tag w:val="nr_f178f087740c4a4ca457659ce1b0f4a4"/>
                      <w:lock w:val="sdtLocked"/>
                      <w:richText/>
                    </w:sdtPr>
                    <w:sdtContent>
                      <w:r>
                        <w:rPr>
                          <w:szCs w:val="24"/>
                          <w:lang w:eastAsia="lt-LT"/>
                        </w:rPr>
                        <w:t>2</w:t>
                      </w:r>
                    </w:sdtContent>
                  </w:sdt>
                  <w:r>
                    <w:rPr>
                      <w:szCs w:val="24"/>
                      <w:lang w:eastAsia="lt-LT"/>
                    </w:rPr>
                    <w:t>. Aprašas nereglamentuoja pareigūnų, buvusių pareigūnų ir kursantų (toliau kartu – pacientai) medicininės reabilitacijos, kuri įgyvendinama vadovaujantis Medicininės reabilitacijos ir antirecidyvinio sanatorinio gydymo paslaugų skyrimo ir teikimo tvarkos aprašu, patvirtintu Lietuvos Respublikos sveikatos apsaugos ministro 2022 m. lapkričio 23 d. įsakymu Nr. V-1738 „Dėl Medicininės reabilitacijos ir antirecidyvinio sanatorinio gydymo paslaugų skyrimo ir teikimo tvarkos aprašo patvirtinimo“, Medicininės reabilitacijos ir antirecidyvinio sanatorinio gydymo paslaugų teikimo bendrųjų reikalavimų aprašu ir Medicininės reabilitacijos ir antirecidyvinio sanatorinio gydymo paslaugų teikimo specialiųjų reikalavimų aprašu, patvirtintais Lietuvos Respublikos sveikatos apsaugos ministro 2022 m. gruodžio 7 d. įsakymu Nr. V-1828 „Dėl Medicininės reabilitacijos ir antirecidyvinio sanatorinio gydymo paslaugų teikimo bendrųjų ir specialiųjų reikalavimų aprašų patvirtinimo“.</w:t>
                  </w:r>
                </w:p>
              </w:sdtContent>
            </w:sdt>
            <w:sdt>
              <w:sdtPr>
                <w:alias w:val="3 p."/>
                <w:tag w:val="part_b2973f4ca43d47ce9702d12b6462b7a2"/>
                <w:lock w:val="sdtLocked"/>
                <w:richText/>
              </w:sdtPr>
              <w:sdtContent>
                <w:p>
                  <w:pPr>
                    <w:widowControl w:val="0"/>
                    <w:tabs>
                      <w:tab w:val="left" w:pos="865"/>
                    </w:tabs>
                    <w:ind w:firstLine="709"/>
                    <w:jc w:val="both"/>
                    <w:rPr>
                      <w:szCs w:val="24"/>
                      <w:lang w:eastAsia="lt-LT"/>
                    </w:rPr>
                  </w:pPr>
                  <w:sdt>
                    <w:sdtPr>
                      <w:alias w:val="Numeris"/>
                      <w:tag w:val="nr_b2973f4ca43d47ce9702d12b6462b7a2"/>
                      <w:lock w:val="sdtLocked"/>
                      <w:richText/>
                    </w:sdtPr>
                    <w:sdtContent>
                      <w:r>
                        <w:rPr>
                          <w:szCs w:val="24"/>
                          <w:lang w:eastAsia="lt-LT"/>
                        </w:rPr>
                        <w:t>3</w:t>
                      </w:r>
                    </w:sdtContent>
                  </w:sdt>
                  <w:r>
                    <w:rPr>
                      <w:szCs w:val="24"/>
                      <w:lang w:eastAsia="lt-LT"/>
                    </w:rPr>
                    <w:t>. Apraše vartojamos sąvokos:</w:t>
                  </w:r>
                </w:p>
                <w:sdt>
                  <w:sdtPr>
                    <w:alias w:val="3.1 pp."/>
                    <w:tag w:val="part_efb997cd773b407aacccd5519489771c"/>
                    <w:lock w:val="sdtLocked"/>
                    <w:richText/>
                  </w:sdtPr>
                  <w:sdtContent>
                    <w:p>
                      <w:pPr>
                        <w:widowControl w:val="0"/>
                        <w:tabs>
                          <w:tab w:val="left" w:pos="865"/>
                          <w:tab w:val="left" w:pos="1605"/>
                        </w:tabs>
                        <w:ind w:firstLine="709"/>
                        <w:jc w:val="both"/>
                        <w:rPr>
                          <w:szCs w:val="24"/>
                          <w:lang w:eastAsia="lt-LT"/>
                        </w:rPr>
                      </w:pPr>
                      <w:sdt>
                        <w:sdtPr>
                          <w:alias w:val="Numeris"/>
                          <w:tag w:val="nr_efb997cd773b407aacccd5519489771c"/>
                          <w:lock w:val="sdtLocked"/>
                          <w:richText/>
                        </w:sdtPr>
                        <w:sdtContent>
                          <w:r>
                            <w:rPr>
                              <w:szCs w:val="24"/>
                              <w:lang w:eastAsia="lt-LT"/>
                            </w:rPr>
                            <w:t>3.1</w:t>
                          </w:r>
                        </w:sdtContent>
                      </w:sdt>
                      <w:r>
                        <w:rPr>
                          <w:szCs w:val="24"/>
                          <w:lang w:eastAsia="lt-LT"/>
                        </w:rPr>
                        <w:t xml:space="preserve">. </w:t>
                      </w:r>
                      <w:r>
                        <w:rPr>
                          <w:b/>
                          <w:szCs w:val="24"/>
                          <w:lang w:eastAsia="lt-LT"/>
                        </w:rPr>
                        <w:t>Antirecidyvinis gydymas</w:t>
                      </w:r>
                      <w:r>
                        <w:rPr>
                          <w:szCs w:val="24"/>
                          <w:lang w:eastAsia="lt-LT"/>
                        </w:rPr>
                        <w:t xml:space="preserve"> – medicininės reabilitacijos priemonių kompleksas šio aprašo 1 punkte nurodytiems pareigūnams ir buvusiems pareigūnams, sergantiems lėtinėmis progresuojančiomis ir recidyvuojančiomis ligomis, siekiant išvengti paūmėjimo ir komplikacijų.</w:t>
                      </w:r>
                    </w:p>
                  </w:sdtContent>
                </w:sdt>
                <w:sdt>
                  <w:sdtPr>
                    <w:alias w:val="3.2 pp."/>
                    <w:tag w:val="part_54cd98da47c94f3fa5cb84fd95d29638"/>
                    <w:lock w:val="sdtLocked"/>
                    <w:richText/>
                  </w:sdtPr>
                  <w:sdtContent>
                    <w:p>
                      <w:pPr>
                        <w:tabs>
                          <w:tab w:val="left" w:pos="1418"/>
                        </w:tabs>
                        <w:ind w:firstLine="709"/>
                        <w:jc w:val="both"/>
                        <w:rPr>
                          <w:szCs w:val="24"/>
                          <w:lang w:eastAsia="lt-LT"/>
                        </w:rPr>
                      </w:pPr>
                      <w:sdt>
                        <w:sdtPr>
                          <w:alias w:val="Numeris"/>
                          <w:tag w:val="nr_54cd98da47c94f3fa5cb84fd95d29638"/>
                          <w:lock w:val="sdtLocked"/>
                          <w:richText/>
                        </w:sdtPr>
                        <w:sdtContent>
                          <w:r>
                            <w:rPr>
                              <w:szCs w:val="24"/>
                              <w:lang w:eastAsia="lt-LT"/>
                            </w:rPr>
                            <w:t>3.2</w:t>
                          </w:r>
                        </w:sdtContent>
                      </w:sdt>
                      <w:r>
                        <w:rPr>
                          <w:szCs w:val="24"/>
                          <w:lang w:eastAsia="lt-LT"/>
                        </w:rPr>
                        <w:t xml:space="preserve">. </w:t>
                      </w:r>
                      <w:r>
                        <w:rPr>
                          <w:b/>
                          <w:szCs w:val="24"/>
                          <w:lang w:eastAsia="lt-LT"/>
                        </w:rPr>
                        <w:t xml:space="preserve">Apmokama iš dalies iš </w:t>
                      </w:r>
                      <w:r>
                        <w:rPr>
                          <w:b/>
                          <w:bCs/>
                          <w:szCs w:val="24"/>
                        </w:rPr>
                        <w:t>Privalomojo sveikatos draudimo fondo</w:t>
                      </w:r>
                      <w:r>
                        <w:rPr>
                          <w:b/>
                          <w:szCs w:val="24"/>
                          <w:lang w:eastAsia="lt-LT"/>
                        </w:rPr>
                        <w:t xml:space="preserve"> biudžeto medicininė reabilitacija</w:t>
                      </w:r>
                      <w:r>
                        <w:rPr>
                          <w:szCs w:val="24"/>
                          <w:lang w:eastAsia="lt-LT"/>
                        </w:rPr>
                        <w:t xml:space="preserve"> – šio aprašo 1 punkte nurodyto pareigūno po sužalojimo, vykdant tarnybines pareigas, ar šio aprašo 1 punkte nurodyto kursanto po sužalojimo, jį pasitelkus statutinių įstaigų veiklą reglamentuojančiuose įstatymuose nustatytoms funkcijoms atlikti, stacionarinė medicininė reabilitacija, tęsiama iki biopsichosocialinių funkcijų atkūrimo lygio, tinkamo ambulatorinei medicininei reabilitacijai pradėti, </w:t>
                      </w:r>
                      <w:r>
                        <w:t xml:space="preserve">neviršijant aprašo priedo III skyriuje nustatytų terminų, </w:t>
                      </w:r>
                      <w:r>
                        <w:rPr>
                          <w:szCs w:val="24"/>
                          <w:lang w:eastAsia="lt-LT"/>
                        </w:rPr>
                        <w:t xml:space="preserve">tuomet, kai pasibaigia šio pareigūno ar kursanto stacionarinės medicininės reabilitacijos, finansuojamos </w:t>
                      </w:r>
                      <w:r>
                        <w:rPr>
                          <w:szCs w:val="24"/>
                        </w:rPr>
                        <w:t>Privalomojo sveikatos draudimo fondo</w:t>
                      </w:r>
                      <w:r>
                        <w:rPr>
                          <w:szCs w:val="24"/>
                          <w:lang w:eastAsia="lt-LT"/>
                        </w:rPr>
                        <w:t xml:space="preserve"> biudžeto lėšomis, normatyvinė trukmė ir yra asmens sveikatos priežiūros įstaigos fizinės medicinos ir reabilitacijos gydytojo rekomendacija stacionarinę medicininę reabilitaciją tęsti.</w:t>
                      </w:r>
                    </w:p>
                  </w:sdtContent>
                </w:sdt>
                <w:sdt>
                  <w:sdtPr>
                    <w:alias w:val="3.3 pp."/>
                    <w:tag w:val="part_457784cfe54542f3964c97a2a6dc4019"/>
                    <w:lock w:val="sdtLocked"/>
                    <w:richText/>
                  </w:sdtPr>
                  <w:sdtContent>
                    <w:p>
                      <w:pPr>
                        <w:widowControl w:val="0"/>
                        <w:tabs>
                          <w:tab w:val="left" w:pos="865"/>
                        </w:tabs>
                        <w:ind w:firstLine="709"/>
                        <w:jc w:val="both"/>
                        <w:rPr>
                          <w:szCs w:val="24"/>
                          <w:lang w:eastAsia="lt-LT"/>
                        </w:rPr>
                      </w:pPr>
                      <w:sdt>
                        <w:sdtPr>
                          <w:alias w:val="Numeris"/>
                          <w:tag w:val="nr_457784cfe54542f3964c97a2a6dc4019"/>
                          <w:lock w:val="sdtLocked"/>
                          <w:richText/>
                        </w:sdtPr>
                        <w:sdtContent>
                          <w:r>
                            <w:rPr>
                              <w:szCs w:val="24"/>
                              <w:lang w:eastAsia="lt-LT"/>
                            </w:rPr>
                            <w:t>3.3</w:t>
                          </w:r>
                        </w:sdtContent>
                      </w:sdt>
                      <w:r>
                        <w:rPr>
                          <w:szCs w:val="24"/>
                          <w:lang w:eastAsia="lt-LT"/>
                        </w:rPr>
                        <w:t xml:space="preserve">. </w:t>
                      </w:r>
                      <w:r>
                        <w:rPr>
                          <w:b/>
                          <w:szCs w:val="24"/>
                          <w:lang w:eastAsia="lt-LT"/>
                        </w:rPr>
                        <w:t xml:space="preserve">Neapmokamos iš </w:t>
                      </w:r>
                      <w:r>
                        <w:rPr>
                          <w:b/>
                          <w:bCs/>
                          <w:szCs w:val="24"/>
                        </w:rPr>
                        <w:t>Privalomojo sveikatos draudimo fondo</w:t>
                      </w:r>
                      <w:r>
                        <w:rPr>
                          <w:szCs w:val="24"/>
                        </w:rPr>
                        <w:t xml:space="preserve"> </w:t>
                      </w:r>
                      <w:r>
                        <w:rPr>
                          <w:b/>
                          <w:szCs w:val="24"/>
                          <w:lang w:eastAsia="lt-LT"/>
                        </w:rPr>
                        <w:t>biudžeto paslaugos</w:t>
                      </w:r>
                      <w:r>
                        <w:rPr>
                          <w:szCs w:val="24"/>
                          <w:lang w:eastAsia="lt-LT"/>
                        </w:rPr>
                        <w:t xml:space="preserve"> – medicininės reabilitacijos, sveikatos grąžinamojo gydymo, antirecidyvinio gydymo, prevencinės, postvencinės medicininės ir psichologinės reabilitacijos paslaugos, kurios aprašo priede nurodytomis sąlygomis teikiamos šio aprašo 2 punkte nurodytiems pacientams šio aprašo 1.1 ir 1.2 papunkčiuose nurodytose Vidaus reikalų ministerijos apmokamose reabilitacijos įstaigose ir kitose reabilitacijos įstaigose.</w:t>
                      </w:r>
                    </w:p>
                  </w:sdtContent>
                </w:sdt>
                <w:sdt>
                  <w:sdtPr>
                    <w:alias w:val="3.4 pp."/>
                    <w:tag w:val="part_18a371f0a0234ab8aba976348cfbc2e5"/>
                    <w:lock w:val="sdtLocked"/>
                    <w:richText/>
                  </w:sdtPr>
                  <w:sdtContent>
                    <w:p>
                      <w:pPr>
                        <w:widowControl w:val="0"/>
                        <w:tabs>
                          <w:tab w:val="left" w:pos="865"/>
                          <w:tab w:val="left" w:pos="1418"/>
                        </w:tabs>
                        <w:ind w:firstLine="709"/>
                        <w:jc w:val="both"/>
                        <w:rPr>
                          <w:b/>
                          <w:szCs w:val="24"/>
                          <w:lang w:eastAsia="lt-LT"/>
                        </w:rPr>
                      </w:pPr>
                      <w:sdt>
                        <w:sdtPr>
                          <w:alias w:val="Numeris"/>
                          <w:tag w:val="nr_18a371f0a0234ab8aba976348cfbc2e5"/>
                          <w:lock w:val="sdtLocked"/>
                          <w:richText/>
                        </w:sdtPr>
                        <w:sdtContent>
                          <w:r>
                            <w:rPr>
                              <w:szCs w:val="24"/>
                              <w:lang w:eastAsia="lt-LT"/>
                            </w:rPr>
                            <w:t>3.4</w:t>
                          </w:r>
                        </w:sdtContent>
                      </w:sdt>
                      <w:r>
                        <w:rPr>
                          <w:szCs w:val="24"/>
                          <w:lang w:eastAsia="lt-LT"/>
                        </w:rPr>
                        <w:t xml:space="preserve">. </w:t>
                      </w:r>
                      <w:r>
                        <w:rPr>
                          <w:b/>
                          <w:szCs w:val="24"/>
                          <w:lang w:eastAsia="lt-LT"/>
                        </w:rPr>
                        <w:t xml:space="preserve">Pareigūnų, buvusių pareigūnų ir kursantų medicininė reabilitacija </w:t>
                      </w:r>
                      <w:r>
                        <w:rPr>
                          <w:szCs w:val="24"/>
                          <w:lang w:eastAsia="lt-LT"/>
                        </w:rPr>
                        <w:t>(toliau – medicininė reabilitacija)</w:t>
                      </w:r>
                      <w:r>
                        <w:rPr>
                          <w:b/>
                          <w:szCs w:val="24"/>
                          <w:lang w:eastAsia="lt-LT"/>
                        </w:rPr>
                        <w:t xml:space="preserve"> </w:t>
                      </w:r>
                      <w:r>
                        <w:rPr>
                          <w:szCs w:val="24"/>
                        </w:rPr>
                        <w:t>– kompleksinis medicininių reabilitacijos priemonių (kineziterapijos, ergoterapijos, klinikinio logopedo paslaugų (esant indikacijų), ortopedinių ir techninės pagalbos priemonių, psichologinės ir socialinės pagalbos, fizioterapijos, gydomojo masažo, gydymo vaistais ir dieta, šio aprašo 2 punkte nurodytų pacientų ir (ar) jų artimųjų mokymo) taikymas pacientams, siekiant atkurti sutrikusias šio aprašo 2 punkte nurodytų pacientų biopsichosocialines funkcijas arba, esant negrįžtamiems organizmo pakitimams, jas kompensuoti, arba palaikyti pasiektą šio aprašo 2 punkte nurodytų pacientų biopsichosocialinio funkcinio pajėgumo lygį, teikiama esant mažesniam biopsichosocialinių funkcijų sutrikimų ir (arba) būklės sunkumo laipsniui nei Lietuvos Respublikos sveikatos apsaugos ministro 2022 m. gruodžio 7 d. įsakyme Nr. V-1828 „Dėl Medicininės reabilitacijos ir antirecidyvinio sanatorinio gydymo</w:t>
                      </w:r>
                      <w:r>
                        <w:t xml:space="preserve"> </w:t>
                      </w:r>
                      <w:r>
                        <w:rPr>
                          <w:szCs w:val="24"/>
                        </w:rPr>
                        <w:t xml:space="preserve">paslaugų teikimo bendrųjų ir specialiųjų reikalavimų aprašų patvirtinimo“ ambulatorinės ar stacionarinės medicininės reabilitacijos kiekvienam gydymo profiliui nustatyti biopsichosocialinių funkcijų sutrikimo ir (arba) būklės sunkumo laipsniai, todėl negali būti apmokama </w:t>
                      </w:r>
                      <w:r>
                        <w:rPr>
                          <w:iCs/>
                          <w:szCs w:val="24"/>
                        </w:rPr>
                        <w:t>arba iš dalies apmokama</w:t>
                      </w:r>
                      <w:r>
                        <w:rPr>
                          <w:szCs w:val="24"/>
                        </w:rPr>
                        <w:t xml:space="preserve"> Privalomojo sveikatos draudimo fondo biudžeto lėšomis. </w:t>
                      </w:r>
                      <w:r>
                        <w:rPr>
                          <w:iCs/>
                          <w:szCs w:val="24"/>
                          <w:lang w:eastAsia="lt-LT"/>
                        </w:rPr>
                        <w:t>Medicininė reabilitacija gali būti teikiama stacionare (stacionarinė medicininė reabilitacija) arba ambulatoriškai (ambulatorinė medicininė reabilitacija).</w:t>
                      </w:r>
                    </w:p>
                  </w:sdtContent>
                </w:sdt>
                <w:sdt>
                  <w:sdtPr>
                    <w:alias w:val="3.5 pp."/>
                    <w:tag w:val="part_0e8356e63dd240bfbd461ea799f15a3f"/>
                    <w:lock w:val="sdtLocked"/>
                    <w:richText/>
                  </w:sdtPr>
                  <w:sdtContent>
                    <w:p>
                      <w:pPr>
                        <w:widowControl w:val="0"/>
                        <w:tabs>
                          <w:tab w:val="left" w:pos="865"/>
                          <w:tab w:val="left" w:pos="1605"/>
                        </w:tabs>
                        <w:ind w:firstLine="709"/>
                        <w:jc w:val="both"/>
                        <w:rPr>
                          <w:szCs w:val="24"/>
                          <w:lang w:eastAsia="lt-LT"/>
                        </w:rPr>
                      </w:pPr>
                      <w:sdt>
                        <w:sdtPr>
                          <w:alias w:val="Numeris"/>
                          <w:tag w:val="nr_0e8356e63dd240bfbd461ea799f15a3f"/>
                          <w:lock w:val="sdtLocked"/>
                          <w:richText/>
                        </w:sdtPr>
                        <w:sdtContent>
                          <w:r>
                            <w:rPr>
                              <w:szCs w:val="24"/>
                              <w:lang w:eastAsia="lt-LT"/>
                            </w:rPr>
                            <w:t>3.5</w:t>
                          </w:r>
                        </w:sdtContent>
                      </w:sdt>
                      <w:r>
                        <w:rPr>
                          <w:szCs w:val="24"/>
                          <w:lang w:eastAsia="lt-LT"/>
                        </w:rPr>
                        <w:t>.</w:t>
                      </w:r>
                      <w:r>
                        <w:rPr>
                          <w:szCs w:val="24"/>
                        </w:rPr>
                        <w:t xml:space="preserve"> </w:t>
                      </w:r>
                      <w:r>
                        <w:rPr>
                          <w:b/>
                          <w:szCs w:val="24"/>
                          <w:lang w:eastAsia="lt-LT"/>
                        </w:rPr>
                        <w:t>Pareigūnų, buvusių pareigūnų ir kursantų sveikatos grąžinamasis gydymas</w:t>
                      </w:r>
                      <w:r>
                        <w:rPr>
                          <w:szCs w:val="24"/>
                          <w:lang w:eastAsia="lt-LT"/>
                        </w:rPr>
                        <w:t xml:space="preserve"> (toliau – sveikatos grąžinamasis gydymas)</w:t>
                      </w:r>
                      <w:r>
                        <w:rPr>
                          <w:b/>
                          <w:szCs w:val="24"/>
                          <w:lang w:eastAsia="lt-LT"/>
                        </w:rPr>
                        <w:t xml:space="preserve"> </w:t>
                      </w:r>
                      <w:r>
                        <w:rPr>
                          <w:szCs w:val="24"/>
                          <w:lang w:eastAsia="lt-LT"/>
                        </w:rPr>
                        <w:t>– šio aprašo 1.1 ir 1.2 papunkčiuose nurodytose Vidaus reikalų ministerijos apmokamose reabilitacijos įstaigose ir kitose reabilitacijos įstaigose taikomų stacionarinių medicininės reabilitacijos priemonių, padedančių atkurti sutrikusias biopsichosocialines funkcijas, išvengti neįgalumo dėl ligos komplikacijų ir ūmios ligos perėjimo į lėtinę ligos formą, kompleksas šio aprašo 2 punkte nurodytiems pacientams.</w:t>
                      </w:r>
                    </w:p>
                  </w:sdtContent>
                </w:sdt>
                <w:sdt>
                  <w:sdtPr>
                    <w:alias w:val="3.6 pp."/>
                    <w:tag w:val="part_dcbebffef9544ddfadbf7e910821d8ea"/>
                    <w:lock w:val="sdtLocked"/>
                    <w:richText/>
                  </w:sdtPr>
                  <w:sdtContent>
                    <w:p>
                      <w:pPr>
                        <w:tabs>
                          <w:tab w:val="left" w:pos="1276"/>
                        </w:tabs>
                        <w:ind w:firstLine="709"/>
                        <w:jc w:val="both"/>
                        <w:rPr>
                          <w:szCs w:val="24"/>
                        </w:rPr>
                      </w:pPr>
                      <w:sdt>
                        <w:sdtPr>
                          <w:alias w:val="Numeris"/>
                          <w:tag w:val="nr_dcbebffef9544ddfadbf7e910821d8ea"/>
                          <w:lock w:val="sdtLocked"/>
                          <w:richText/>
                        </w:sdtPr>
                        <w:sdtContent>
                          <w:r>
                            <w:rPr>
                              <w:szCs w:val="24"/>
                              <w:lang w:eastAsia="lt-LT"/>
                            </w:rPr>
                            <w:t>3.6</w:t>
                          </w:r>
                        </w:sdtContent>
                      </w:sdt>
                      <w:r>
                        <w:rPr>
                          <w:szCs w:val="24"/>
                          <w:lang w:eastAsia="lt-LT"/>
                        </w:rPr>
                        <w:t>.</w:t>
                      </w:r>
                      <w:r>
                        <w:rPr>
                          <w:szCs w:val="24"/>
                        </w:rPr>
                        <w:tab/>
                      </w:r>
                      <w:r>
                        <w:rPr>
                          <w:b/>
                          <w:bCs/>
                          <w:szCs w:val="24"/>
                        </w:rPr>
                        <w:t>Postvencinė medicininė ir psichologinė reabilitacija</w:t>
                      </w:r>
                      <w:r>
                        <w:rPr>
                          <w:szCs w:val="24"/>
                        </w:rPr>
                        <w:t xml:space="preserve"> (toliau – postvencinė medicininė psichologinė reabilitacija) – medicininės reabilitacijos ir psichologinės pagalbos priemonės, kuriomis šio aprašo 1 punkte nurodytam pareigūnui ar kursantui atkuriama iki darbo aplinkos (kenksmingų ir (ar) pavojingų veiksnių) poveikio sukeltos psichologinės krizės buvusi profesinei veiklai būtina psichikos sveikata ir psichologinė savijauta bei jos stiprinamos.</w:t>
                      </w:r>
                    </w:p>
                  </w:sdtContent>
                </w:sdt>
                <w:sdt>
                  <w:sdtPr>
                    <w:alias w:val="3.7 pp."/>
                    <w:tag w:val="part_674fda662d004e2f93b1130df8242a17"/>
                    <w:lock w:val="sdtLocked"/>
                    <w:richText/>
                  </w:sdtPr>
                  <w:sdtContent>
                    <w:p>
                      <w:pPr>
                        <w:widowControl w:val="0"/>
                        <w:tabs>
                          <w:tab w:val="left" w:pos="865"/>
                          <w:tab w:val="left" w:pos="1276"/>
                          <w:tab w:val="left" w:pos="1605"/>
                        </w:tabs>
                        <w:ind w:firstLine="709"/>
                        <w:jc w:val="both"/>
                        <w:rPr>
                          <w:szCs w:val="24"/>
                          <w:lang w:eastAsia="lt-LT"/>
                        </w:rPr>
                      </w:pPr>
                      <w:sdt>
                        <w:sdtPr>
                          <w:alias w:val="Numeris"/>
                          <w:tag w:val="nr_674fda662d004e2f93b1130df8242a17"/>
                          <w:lock w:val="sdtLocked"/>
                          <w:richText/>
                        </w:sdtPr>
                        <w:sdtContent>
                          <w:r>
                            <w:rPr>
                              <w:szCs w:val="24"/>
                              <w:lang w:eastAsia="lt-LT"/>
                            </w:rPr>
                            <w:t>3.7</w:t>
                          </w:r>
                        </w:sdtContent>
                      </w:sdt>
                      <w:r>
                        <w:rPr>
                          <w:szCs w:val="24"/>
                          <w:lang w:eastAsia="lt-LT"/>
                        </w:rPr>
                        <w:t>.</w:t>
                      </w:r>
                      <w:r>
                        <w:rPr>
                          <w:szCs w:val="24"/>
                        </w:rPr>
                        <w:tab/>
                      </w:r>
                      <w:r>
                        <w:rPr>
                          <w:b/>
                          <w:bCs/>
                          <w:szCs w:val="24"/>
                          <w:lang w:eastAsia="lt-LT"/>
                        </w:rPr>
                        <w:t>Prevencinė medicininė ir psichologinė reabilitacija</w:t>
                      </w:r>
                      <w:r>
                        <w:rPr>
                          <w:szCs w:val="24"/>
                          <w:lang w:eastAsia="lt-LT"/>
                        </w:rPr>
                        <w:t xml:space="preserve"> (toliau – prevencinė medicininė psichologinė reabilitacija) – </w:t>
                      </w:r>
                      <w:r>
                        <w:rPr>
                          <w:szCs w:val="24"/>
                        </w:rPr>
                        <w:t>medicininės reabilitacijos ir psichologinės pagalbos priemonės, kuriomis ugdoma, palaikoma ir stiprinama šio aprašo 1 punkte nurodyto pareigūno profesinei veiklai būtina psichikos sveikata ir psichologinė savijauta iki lygmens, būtino kenksmingų ir (ar) pavojingų veiksnių poveikiui darbo aplinkoje pašalinti arba jį sumažinti iki priimtino lygio.</w:t>
                      </w:r>
                    </w:p>
                  </w:sdtContent>
                </w:sdt>
                <w:sdt>
                  <w:sdtPr>
                    <w:alias w:val="3.8 pp."/>
                    <w:tag w:val="part_1577bf8885fc4df5a4919653f5aabd5c"/>
                    <w:lock w:val="sdtLocked"/>
                    <w:richText/>
                  </w:sdtPr>
                  <w:sdtContent>
                    <w:p>
                      <w:pPr>
                        <w:suppressAutoHyphens/>
                        <w:ind w:firstLine="709"/>
                        <w:jc w:val="both"/>
                        <w:textAlignment w:val="center"/>
                        <w:rPr>
                          <w:szCs w:val="24"/>
                        </w:rPr>
                      </w:pPr>
                      <w:sdt>
                        <w:sdtPr>
                          <w:alias w:val="Numeris"/>
                          <w:tag w:val="nr_1577bf8885fc4df5a4919653f5aabd5c"/>
                          <w:lock w:val="sdtLocked"/>
                          <w:richText/>
                        </w:sdtPr>
                        <w:sdtContent>
                          <w:r>
                            <w:rPr>
                              <w:szCs w:val="24"/>
                            </w:rPr>
                            <w:t>3.8</w:t>
                          </w:r>
                        </w:sdtContent>
                      </w:sdt>
                      <w:r>
                        <w:rPr>
                          <w:szCs w:val="24"/>
                        </w:rPr>
                        <w:t>. Kitos apraše vartojamos sąvokos suprantamos taip, kaip jos apibrėžtos Vidaus tarnybos statute.</w:t>
                      </w:r>
                    </w:p>
                    <w:p>
                      <w:pPr>
                        <w:suppressAutoHyphens/>
                        <w:ind w:firstLine="709"/>
                        <w:jc w:val="both"/>
                        <w:textAlignment w:val="center"/>
                        <w:rPr>
                          <w:szCs w:val="24"/>
                        </w:rPr>
                      </w:pPr>
                    </w:p>
                  </w:sdtContent>
                </w:sdt>
              </w:sdtContent>
            </w:sdt>
          </w:sdtContent>
        </w:sdt>
        <w:sdt>
          <w:sdtPr>
            <w:alias w:val="skyrius"/>
            <w:tag w:val="part_a4777605f4cf40efb77283ea6069302c"/>
            <w:lock w:val="sdtLocked"/>
            <w:richText/>
          </w:sdtPr>
          <w:sdtContent>
            <w:p>
              <w:pPr>
                <w:tabs>
                  <w:tab w:val="left" w:pos="993"/>
                </w:tabs>
                <w:jc w:val="center"/>
                <w:rPr>
                  <w:b/>
                  <w:szCs w:val="24"/>
                </w:rPr>
              </w:pPr>
              <w:sdt>
                <w:sdtPr>
                  <w:alias w:val="Numeris"/>
                  <w:tag w:val="nr_a4777605f4cf40efb77283ea6069302c"/>
                  <w:lock w:val="sdtLocked"/>
                  <w:richText/>
                </w:sdtPr>
                <w:sdtContent>
                  <w:r>
                    <w:rPr>
                      <w:b/>
                      <w:szCs w:val="24"/>
                    </w:rPr>
                    <w:t>II</w:t>
                  </w:r>
                </w:sdtContent>
              </w:sdt>
              <w:r>
                <w:rPr>
                  <w:b/>
                  <w:szCs w:val="24"/>
                </w:rPr>
                <w:t xml:space="preserve"> SKYRIUS</w:t>
              </w:r>
            </w:p>
            <w:p>
              <w:pPr>
                <w:tabs>
                  <w:tab w:val="left" w:pos="993"/>
                </w:tabs>
                <w:jc w:val="center"/>
                <w:rPr>
                  <w:b/>
                  <w:szCs w:val="24"/>
                </w:rPr>
              </w:pPr>
              <w:sdt>
                <w:sdtPr>
                  <w:alias w:val="Pavadinimas"/>
                  <w:tag w:val="title_a4777605f4cf40efb77283ea6069302c"/>
                  <w:lock w:val="sdtLocked"/>
                  <w:richText/>
                </w:sdtPr>
                <w:sdtContent>
                  <w:r>
                    <w:rPr>
                      <w:b/>
                      <w:szCs w:val="24"/>
                    </w:rPr>
                    <w:t>NEAPMOKAMŲ IŠ PSDF BIUDŽETO PASLAUGŲ ORGANIZAVIMAS</w:t>
                  </w:r>
                </w:sdtContent>
              </w:sdt>
            </w:p>
            <w:p>
              <w:pPr>
                <w:tabs>
                  <w:tab w:val="left" w:pos="993"/>
                </w:tabs>
                <w:jc w:val="center"/>
                <w:rPr>
                  <w:szCs w:val="24"/>
                </w:rPr>
              </w:pPr>
            </w:p>
            <w:sdt>
              <w:sdtPr>
                <w:alias w:val="4 p."/>
                <w:tag w:val="part_1d2864dc8cbf4e069135aa173209c8b1"/>
                <w:lock w:val="sdtLocked"/>
                <w:richText/>
              </w:sdtPr>
              <w:sdtContent>
                <w:p>
                  <w:pPr>
                    <w:widowControl w:val="0"/>
                    <w:tabs>
                      <w:tab w:val="left" w:pos="860"/>
                    </w:tabs>
                    <w:ind w:firstLine="771"/>
                    <w:jc w:val="both"/>
                    <w:rPr>
                      <w:szCs w:val="24"/>
                      <w:lang w:eastAsia="lt-LT"/>
                    </w:rPr>
                  </w:pPr>
                  <w:sdt>
                    <w:sdtPr>
                      <w:alias w:val="Numeris"/>
                      <w:tag w:val="nr_1d2864dc8cbf4e069135aa173209c8b1"/>
                      <w:lock w:val="sdtLocked"/>
                      <w:richText/>
                    </w:sdtPr>
                    <w:sdtContent>
                      <w:r>
                        <w:rPr>
                          <w:szCs w:val="24"/>
                        </w:rPr>
                        <w:t>4</w:t>
                      </w:r>
                    </w:sdtContent>
                  </w:sdt>
                  <w:r>
                    <w:rPr>
                      <w:szCs w:val="24"/>
                    </w:rPr>
                    <w:t xml:space="preserve">. </w:t>
                  </w:r>
                  <w:r>
                    <w:rPr>
                      <w:szCs w:val="24"/>
                      <w:lang w:eastAsia="lt-LT"/>
                    </w:rPr>
                    <w:t xml:space="preserve">Aprašo 1.1 ir 1.2 papunkčiuose nurodytos VRM apmokamos reabilitacijos įstaigos ir kitos reabilitacijos įstaigos (toliau kartu – </w:t>
                  </w:r>
                  <w:r>
                    <w:rPr>
                      <w:szCs w:val="24"/>
                    </w:rPr>
                    <w:t>Reabilitacijos įstaigos) teikia medicininės reabilitacijos, sveikatos grąžinamojo gydymo, antirecidyvinio gydymo paslaugas pagal asmens sveikatos priežiūros paslaugų profilius, nurodytus įstaigos asmens sveikatos priežiūros licencijose. Pagal kiekvieną asmens sveikatos priežiūros paslaugų profilį Reabilitacijos įstaiga privalo atitikti teisės aktų reikalavimus ir turėti įstaigos asmens sveikatos priežiūros licenciją stacionarinėms paslaugoms – ne mažesnio nei antrinės stacionarinės medicininės reabilitacijos (Reabilitacija II) lygio ir ambulatorinės medicininės reabilitacijos paslaugoms – „Ambulatorinės reabilitacijos“ lygio. Prevencinės ir postvencinės medicininės psichologinės reabilitacijos paslaugas aprašo priede nustatytomis sąlygomis gali teikti Reabilitacijos įstaigos, turinčios įstaigos asmens sveikatos priežiūros licenciją teikti antrinės stacionarinės medicininės reabilitacijos (Reabilitacija II) lygio paslaugas.</w:t>
                  </w:r>
                </w:p>
              </w:sdtContent>
            </w:sdt>
            <w:sdt>
              <w:sdtPr>
                <w:alias w:val="5 p."/>
                <w:tag w:val="part_5026f54a5cf84a0abd7a5216ea718b1b"/>
                <w:lock w:val="sdtLocked"/>
                <w:richText/>
              </w:sdtPr>
              <w:sdtContent>
                <w:p>
                  <w:pPr>
                    <w:tabs>
                      <w:tab w:val="left" w:pos="993"/>
                    </w:tabs>
                    <w:ind w:firstLine="709"/>
                    <w:jc w:val="both"/>
                    <w:rPr>
                      <w:szCs w:val="24"/>
                    </w:rPr>
                  </w:pPr>
                  <w:sdt>
                    <w:sdtPr>
                      <w:alias w:val="Numeris"/>
                      <w:tag w:val="nr_5026f54a5cf84a0abd7a5216ea718b1b"/>
                      <w:lock w:val="sdtLocked"/>
                      <w:richText/>
                    </w:sdtPr>
                    <w:sdtContent>
                      <w:r>
                        <w:rPr>
                          <w:szCs w:val="24"/>
                        </w:rPr>
                        <w:t>5</w:t>
                      </w:r>
                    </w:sdtContent>
                  </w:sdt>
                  <w:r>
                    <w:rPr>
                      <w:szCs w:val="24"/>
                    </w:rPr>
                    <w:t>. Į Reabilitacijos įstaigas pacientai siunčiami dėl aprašo priede išvardytų indikacijų ir paslaugų, išskyrus šiame punkte nustatytas išimtis. Buvę pareigūnai į Reabilitacijos įstaigas nesiunčiami dėl aprašo priedo V skyriuje nurodytų indikacijų, išskyrus aprašo priedo V skyriaus 2 punkte nurodytą indikaciją. Kursantai į Reabilitacijos įstaigas siunčiami, kai buvo sužaloti juos pasitelkus statutinių įstaigų veiklą reglamentuojančiuose įstatymuose nustatytoms funkcijoms atlikti.</w:t>
                  </w:r>
                </w:p>
              </w:sdtContent>
            </w:sdt>
            <w:sdt>
              <w:sdtPr>
                <w:alias w:val="6 p."/>
                <w:tag w:val="part_1d7791ea764947daa9879d97489747ee"/>
                <w:lock w:val="sdtLocked"/>
                <w:richText/>
              </w:sdtPr>
              <w:sdtContent>
                <w:p>
                  <w:pPr>
                    <w:widowControl w:val="0"/>
                    <w:tabs>
                      <w:tab w:val="left" w:pos="600"/>
                    </w:tabs>
                    <w:ind w:firstLine="709"/>
                    <w:jc w:val="both"/>
                    <w:rPr>
                      <w:szCs w:val="24"/>
                      <w:lang w:eastAsia="lt-LT"/>
                    </w:rPr>
                  </w:pPr>
                  <w:sdt>
                    <w:sdtPr>
                      <w:alias w:val="Numeris"/>
                      <w:tag w:val="nr_1d7791ea764947daa9879d97489747ee"/>
                      <w:lock w:val="sdtLocked"/>
                      <w:richText/>
                    </w:sdtPr>
                    <w:sdtContent>
                      <w:r>
                        <w:rPr>
                          <w:szCs w:val="24"/>
                          <w:lang w:eastAsia="lt-LT"/>
                        </w:rPr>
                        <w:t>6</w:t>
                      </w:r>
                    </w:sdtContent>
                  </w:sdt>
                  <w:r>
                    <w:rPr>
                      <w:szCs w:val="24"/>
                      <w:lang w:eastAsia="lt-LT"/>
                    </w:rPr>
                    <w:t xml:space="preserve">. Pareigūnai gali būti siunčiami tik vienam antirecidyvinio gydymo kursui per 2 kalendorinius metus, </w:t>
                  </w:r>
                  <w:r>
                    <w:rPr>
                      <w:szCs w:val="24"/>
                    </w:rPr>
                    <w:t>išskyrus pareigūnus, kurie vykdydami tarnybines pareigas patyrė sunkų, apysunkį ar lengvą sužeidimą, traumą bei kitą sveikatos sutrikdymą, nustatytus Vidaus tarnybos sistemos pareigūnų ir kursantų sunkių, apysunkių ir lengvų sužeidimų, traumų ir kitų sveikatos sutrikdymų sąraše, patvirtintame Lietuvos Respublikos Vyriausybės 2018 m. gruodžio 12 d. nutarimu Nr. 1300 „Dėl Lietuvos Respublikos vidaus tarnybos statuto įgyvendinimo“, kuriems antirecidyvinio gydymo kursas Reabilitacijos įstaigos Gydytojų konsultacinės komisijos sprendimu gali būti kartojamas dažniau pagal Reabilitacijos įstaigos sudarytą gydymo planą</w:t>
                  </w:r>
                  <w:r>
                    <w:rPr>
                      <w:szCs w:val="24"/>
                      <w:lang w:eastAsia="lt-LT"/>
                    </w:rPr>
                    <w:t>, buvę pareigūnai – tik vienam antirecidyvinio gydymo kursui per 3 kalendorinius metus.</w:t>
                  </w:r>
                </w:p>
              </w:sdtContent>
            </w:sdt>
            <w:sdt>
              <w:sdtPr>
                <w:alias w:val="7 p."/>
                <w:tag w:val="part_4524432cbbf54089adb67cd425bc0e7b"/>
                <w:lock w:val="sdtLocked"/>
                <w:richText/>
              </w:sdtPr>
              <w:sdtContent>
                <w:p>
                  <w:pPr>
                    <w:widowControl w:val="0"/>
                    <w:tabs>
                      <w:tab w:val="left" w:pos="600"/>
                    </w:tabs>
                    <w:ind w:firstLine="709"/>
                    <w:jc w:val="both"/>
                    <w:rPr>
                      <w:szCs w:val="24"/>
                      <w:lang w:eastAsia="lt-LT"/>
                    </w:rPr>
                  </w:pPr>
                  <w:sdt>
                    <w:sdtPr>
                      <w:alias w:val="Numeris"/>
                      <w:tag w:val="nr_4524432cbbf54089adb67cd425bc0e7b"/>
                      <w:lock w:val="sdtLocked"/>
                      <w:richText/>
                    </w:sdtPr>
                    <w:sdtContent>
                      <w:r>
                        <w:rPr>
                          <w:szCs w:val="24"/>
                        </w:rPr>
                        <w:t>7</w:t>
                      </w:r>
                    </w:sdtContent>
                  </w:sdt>
                  <w:r>
                    <w:rPr>
                      <w:szCs w:val="24"/>
                    </w:rPr>
                    <w:t>. To paties sveikatos sutrikimo atveju pacientai gali būti siunčiami tik vienam stacionarinės medicininės reabilitacijos, sveikatos grąžinamojo gydymo, prevencinės ar postvencinės medicininės psichologinės reabilitacijos kursui per vienus kalendorinius metus, išskyrus pareigūnus, kurie jiems atliekant tarnybines pareigas buvo sužaloti, ir kursantus, kurie jų pasitelkimo statutinių įstaigų veiklą reglamentuojančiuose įstatymuose nustatytoms funkcijoms atlikti metu buvo sužaloti ir patyrė sunkų, apysunkį ar lengvą sužeidimą, traumą bei kitą sveikatos sutrikdymą, kuriems stacionarinės medicininės reabilitacijos, sveikatos grąžinamojo gydymo,</w:t>
                  </w:r>
                  <w:r>
                    <w:t xml:space="preserve"> </w:t>
                  </w:r>
                  <w:r>
                    <w:rPr>
                      <w:szCs w:val="24"/>
                    </w:rPr>
                    <w:t>postvencinės medicininės psichologinės reabilitacijos kursas Reabilitacijos įstaigos Gydytojų konsultacinės komisijos sprendimu gali būti kartojamas tais pačiais kalendoriniais metais pagal Reabilitacijos įstaigos sudarytą gydymo planą.</w:t>
                  </w:r>
                </w:p>
              </w:sdtContent>
            </w:sdt>
            <w:sdt>
              <w:sdtPr>
                <w:alias w:val="8 p."/>
                <w:tag w:val="part_ca85778b6be44a82a6729212f2c197f3"/>
                <w:lock w:val="sdtLocked"/>
                <w:richText/>
              </w:sdtPr>
              <w:sdtContent>
                <w:p>
                  <w:pPr>
                    <w:widowControl w:val="0"/>
                    <w:tabs>
                      <w:tab w:val="left" w:pos="860"/>
                    </w:tabs>
                    <w:ind w:firstLine="709"/>
                    <w:jc w:val="both"/>
                    <w:rPr>
                      <w:szCs w:val="24"/>
                      <w:lang w:eastAsia="lt-LT"/>
                    </w:rPr>
                  </w:pPr>
                  <w:sdt>
                    <w:sdtPr>
                      <w:alias w:val="Numeris"/>
                      <w:tag w:val="nr_ca85778b6be44a82a6729212f2c197f3"/>
                      <w:lock w:val="sdtLocked"/>
                      <w:richText/>
                    </w:sdtPr>
                    <w:sdtContent>
                      <w:r>
                        <w:rPr>
                          <w:szCs w:val="24"/>
                          <w:lang w:eastAsia="lt-LT"/>
                        </w:rPr>
                        <w:t>8</w:t>
                      </w:r>
                    </w:sdtContent>
                  </w:sdt>
                  <w:r>
                    <w:rPr>
                      <w:szCs w:val="24"/>
                      <w:lang w:eastAsia="lt-LT"/>
                    </w:rPr>
                    <w:t xml:space="preserve">. Medicininei reabilitacijai, sveikatos grąžinamajam gydymui pacientai į Reabilitacijos įstaigas siunčiami po stacionarinio ar ambulatorinio gydymo poūmiu ligos laikotarpiu ir tik tuo atveju, jei pacientas negali būti siunčiamas medicininei reabilitacijai, apmokamai iš PSDF biudžeto. Medicininės reabilitacijos, sveikatos grąžinamojo gydymo poreikį nustato Lietuvos Respublikos vidaus reikalų ministerijos Medicinos centro (toliau – Medicinos centras) fizinės medicinos ir reabilitacijos gydytojas, vadovaudamasis aprašo priedu ir įsitikinęs, kad pacientas negali būti siunčiamas medicininei reabilitacijai, apmokamai iš PSDF biudžeto. Medicinos centro fizinės medicinos ir reabilitacijos gydytojas, konsultacijos metu nustatęs medicininės reabilitacijos ar sveikatos grąžinamojo gydymo poreikį, įrašo pacientą į pacientų, siunčiamų į Reabilitacijos įstaigas, sąrašą (toliau – Sąrašas) Medicinos centro internetinės registracijos į Reabilitacijos įstaigas sistemoje (toliau – RIS), </w:t>
                  </w:r>
                  <w:r>
                    <w:t xml:space="preserve">informuoja pacientą apie atitinkamo </w:t>
                  </w:r>
                  <w:r>
                    <w:rPr>
                      <w:szCs w:val="24"/>
                    </w:rPr>
                    <w:t xml:space="preserve">asmens sveikatos priežiūros paslaugų </w:t>
                  </w:r>
                  <w:r>
                    <w:t xml:space="preserve">profilio paslaugas teikiančias Reabilitacijos įstaigas, </w:t>
                  </w:r>
                  <w:r>
                    <w:rPr>
                      <w:szCs w:val="24"/>
                      <w:lang w:eastAsia="lt-LT"/>
                    </w:rPr>
                    <w:t>užpildo internetinę RIS formą paciento susirgimo</w:t>
                  </w:r>
                  <w:r>
                    <w:t xml:space="preserve"> ir medicininės </w:t>
                  </w:r>
                  <w:r>
                    <w:rPr>
                      <w:szCs w:val="24"/>
                      <w:lang w:eastAsia="lt-LT"/>
                    </w:rPr>
                    <w:t xml:space="preserve">reabilitacijos rūšies duomenimis bei suformuoja elektroninį Medicinos dokumentų išrašą / siuntimą (Forma E027), nurodytą </w:t>
                  </w:r>
                  <w:r>
                    <w:t xml:space="preserve">Elektroninės sveikatos paslaugų ir bendradarbiavimo infrastruktūros informacinės sistemos naudojimo tvarkos apraše, </w:t>
                  </w:r>
                  <w:r>
                    <w:rPr>
                      <w:szCs w:val="24"/>
                      <w:lang w:eastAsia="lt-LT"/>
                    </w:rPr>
                    <w:t>patvirtintame Lietuvos Respublikos sveikatos apsaugos ministro 2015 m. gegužės 26 d. įsakymu Nr. V-657 „</w:t>
                  </w:r>
                  <w:r>
                    <w:t>Dėl Elektroninės sveikatos paslaugų ir bendradarbiavimo infrastruktūros informacinės sistemos naudojimo tvarkos aprašo patvirtinimo</w:t>
                  </w:r>
                  <w:r>
                    <w:rPr>
                      <w:szCs w:val="24"/>
                      <w:lang w:eastAsia="lt-LT"/>
                    </w:rPr>
                    <w:t>“</w:t>
                  </w:r>
                  <w:r>
                    <w:t xml:space="preserve"> </w:t>
                  </w:r>
                  <w:r>
                    <w:rPr>
                      <w:szCs w:val="24"/>
                      <w:lang w:eastAsia="lt-LT"/>
                    </w:rPr>
                    <w:t xml:space="preserve">(toliau – Siuntimas). Siuntime turi būti nurodyta ligos ar sveikatos sutrikimo diagnozė, gretutinių susirgimų diagnozės, Sisteminio ligų sąrašo kodas pagal Tarptautinės statistinės ligų ir sveikatos sutrikimų klasifikacijos dešimtąjį pataisytą ir papildytą leidimą „Sisteminis ligų sąrašas“ (Australijos modifikacija, TLK-10-AM) (toliau – TLK-10-AM), ligos, diagnostikos ir taikyto gydymo rezultatų duomenys. Pacientas </w:t>
                  </w:r>
                  <w:r>
                    <w:rPr>
                      <w:szCs w:val="24"/>
                    </w:rPr>
                    <w:t>per vieną mėnesį nuo Siuntimo suformavimo dienos</w:t>
                  </w:r>
                  <w:r>
                    <w:rPr>
                      <w:szCs w:val="24"/>
                      <w:lang w:eastAsia="lt-LT"/>
                    </w:rPr>
                    <w:t xml:space="preserve"> turi užsiregistruoti medicininei reabilitacijai ar sveikatos grąžinamajam gydymui konkrečioje Reabilitacijos įstaigoje, teikiančioje atitinkamo </w:t>
                  </w:r>
                  <w:r>
                    <w:rPr>
                      <w:szCs w:val="24"/>
                    </w:rPr>
                    <w:t xml:space="preserve">asmens sveikatos priežiūros paslaugų </w:t>
                  </w:r>
                  <w:r>
                    <w:rPr>
                      <w:szCs w:val="24"/>
                      <w:lang w:eastAsia="lt-LT"/>
                    </w:rPr>
                    <w:t>profilio paslaugas. Jei pacientui gydytojo yra išduotas elektroninis nedarbingumo pažymėjimas (toliau – elektroninis pažymėjimas), jis turi galioti iki atvykimo į Reabilitacijos įstaigą dienos. Paciento elektroninis pažymėjimas toliau tęsiamas Reabilitacijos įstaigos gydytojo arba gali būti pradėtas naujas elektroninis pažymėjimas atvykus į Reabilitacijos įstaigą.</w:t>
                  </w:r>
                </w:p>
              </w:sdtContent>
            </w:sdt>
            <w:sdt>
              <w:sdtPr>
                <w:alias w:val="9 p."/>
                <w:tag w:val="part_d02b04fcdc2146b2afeb98ce8e419da9"/>
                <w:lock w:val="sdtLocked"/>
                <w:richText/>
              </w:sdtPr>
              <w:sdtContent>
                <w:p>
                  <w:pPr>
                    <w:ind w:firstLine="709"/>
                    <w:jc w:val="both"/>
                    <w:rPr>
                      <w:szCs w:val="24"/>
                    </w:rPr>
                  </w:pPr>
                  <w:sdt>
                    <w:sdtPr>
                      <w:alias w:val="Numeris"/>
                      <w:tag w:val="nr_d02b04fcdc2146b2afeb98ce8e419da9"/>
                      <w:lock w:val="sdtLocked"/>
                      <w:richText/>
                    </w:sdtPr>
                    <w:sdtContent>
                      <w:r>
                        <w:rPr>
                          <w:szCs w:val="24"/>
                          <w:lang w:eastAsia="lt-LT"/>
                        </w:rPr>
                        <w:t>9</w:t>
                      </w:r>
                    </w:sdtContent>
                  </w:sdt>
                  <w:r>
                    <w:rPr>
                      <w:szCs w:val="24"/>
                      <w:lang w:eastAsia="lt-LT"/>
                    </w:rPr>
                    <w:t xml:space="preserve">. Antirecidyviniam gydymui pareigūnai ir buvę pareigūnai siunčiami Medicinos centro fizinės medicinos ir reabilitacijos gydytojo siuntimu. Medicinos centro fizinės medicinos ir reabilitacijos gydytojas įrašo pareigūną ar buvusį pareigūną į Sąrašą RIS ir suformuoja Siuntimą. Siuntime turi būti nurodyta ligos ar sveikatos sutrikimo diagnozė, gretutinių susirgimų diagnozės, TLK-10-AM kodas, ligos, diagnostikos ir taikyto gydymo rezultatų duomenys, rekomendacija dėl šio gydymo taikymo skubumo. Pareigūnas ir buvęs pareigūnas </w:t>
                  </w:r>
                  <w:r>
                    <w:rPr>
                      <w:szCs w:val="24"/>
                    </w:rPr>
                    <w:t>per vieną mėnesį nuo Siuntimo suformavimo dienos</w:t>
                  </w:r>
                  <w:r>
                    <w:rPr>
                      <w:szCs w:val="24"/>
                      <w:lang w:eastAsia="lt-LT"/>
                    </w:rPr>
                    <w:t xml:space="preserve"> turi užsiregistruoti antirecidyviniam gydymui konkrečioje Reabilitacijos įstaigoje, teikiančioje atitinkamo </w:t>
                  </w:r>
                  <w:r>
                    <w:rPr>
                      <w:szCs w:val="24"/>
                    </w:rPr>
                    <w:t xml:space="preserve">asmens sveikatos priežiūros paslaugų </w:t>
                  </w:r>
                  <w:r>
                    <w:rPr>
                      <w:szCs w:val="24"/>
                      <w:lang w:eastAsia="lt-LT"/>
                    </w:rPr>
                    <w:t>profilio paslaugas</w:t>
                  </w:r>
                  <w:r>
                    <w:rPr>
                      <w:szCs w:val="24"/>
                    </w:rPr>
                    <w:t xml:space="preserve">, rinkdamasis iš Reabilitacijos įstaigų viešai skelbiamų 2 metų laikotarpio laisvų vietų, jei antirecidyviniam gydymui siunčiamas pareigūnas, arba rinkdamasis iš Reabilitacijos įstaigų viešai skelbiamų 3 metų laikotarpio siūlomų laisvų vietų, jei antirecidyviniam gydymui siunčiamas buvęs pareigūnas. </w:t>
                  </w:r>
                  <w:r>
                    <w:rPr>
                      <w:szCs w:val="24"/>
                      <w:lang w:eastAsia="lt-LT"/>
                    </w:rPr>
                    <w:t>Antirecidyviniam gydymui siunčiamo pareigūno ir buvusio pareigūno laikinasis nedarbingumas sprendžiamas individualiai, pagal poreikį. Pareigūnui ir buvusiam pareigūnui gydytojo išduotas elektroninis pažymėjimas turi galioti iki atvykimo į Reabilitacijos įstaigą dienos. Pareigūno ir buvusio pareigūno elektroninis pažymėjimas toliau tęsiamas Reabilitacijos įstaigos gydytojo arba gali būti pradėtas naujas elektroninis pažymėjimas atvykus į Reabilitacijos įstaigą.</w:t>
                  </w:r>
                  <w:r>
                    <w:rPr>
                      <w:szCs w:val="24"/>
                    </w:rPr>
                    <w:t xml:space="preserve"> Pareigūnui, kuriam yra nustatomas antirecidyvinio gydymo poreikis, kai dėl jo nėra pagrindo jam išduoti elektroninį pažymėjimą, gali būti suteikiamos Vidaus tarnybos statuto 53 straipsnio 1 dalyje numatytos atostogos arba į Reabilitacijos įstaigą pareigūnas vyksta laisvu nuo tarnybinių pareigų vykdymo metu.</w:t>
                  </w:r>
                </w:p>
              </w:sdtContent>
            </w:sdt>
            <w:sdt>
              <w:sdtPr>
                <w:alias w:val="10 p."/>
                <w:tag w:val="part_15945792d1874a95a208090190bd6486"/>
                <w:lock w:val="sdtLocked"/>
                <w:richText/>
              </w:sdtPr>
              <w:sdtContent>
                <w:p>
                  <w:pPr>
                    <w:ind w:firstLine="709"/>
                    <w:jc w:val="both"/>
                    <w:rPr>
                      <w:szCs w:val="24"/>
                    </w:rPr>
                  </w:pPr>
                  <w:sdt>
                    <w:sdtPr>
                      <w:alias w:val="Numeris"/>
                      <w:tag w:val="nr_15945792d1874a95a208090190bd6486"/>
                      <w:lock w:val="sdtLocked"/>
                      <w:richText/>
                    </w:sdtPr>
                    <w:sdtContent>
                      <w:r>
                        <w:rPr>
                          <w:szCs w:val="24"/>
                        </w:rPr>
                        <w:t>10</w:t>
                      </w:r>
                    </w:sdtContent>
                  </w:sdt>
                  <w:r>
                    <w:rPr>
                      <w:szCs w:val="24"/>
                    </w:rPr>
                    <w:t xml:space="preserve">. </w:t>
                  </w:r>
                  <w:r>
                    <w:rPr>
                      <w:szCs w:val="24"/>
                      <w:lang w:eastAsia="lt-LT"/>
                    </w:rPr>
                    <w:t xml:space="preserve">Siunčiant pacientus dėl apraše nurodytų paslaugų, pacientai pirmiausia siunčiami į VRM apmokamas reabilitacijos įstaigas, o kai pacientams reikalingų paslaugų poreikiui finansuoti nepakanka </w:t>
                  </w:r>
                  <w:r>
                    <w:t xml:space="preserve">VRM atitinkamai programai skirtų valstybės biudžeto lėšų arba VRM apmokamose reabilitacijos įstaigose nėra pacientui reikalingo asmens </w:t>
                  </w:r>
                  <w:r>
                    <w:rPr>
                      <w:szCs w:val="24"/>
                    </w:rPr>
                    <w:t xml:space="preserve">sveikatos priežiūros paslaugų </w:t>
                  </w:r>
                  <w:r>
                    <w:t>profilio</w:t>
                  </w:r>
                  <w:r>
                    <w:rPr>
                      <w:szCs w:val="24"/>
                      <w:lang w:eastAsia="lt-LT"/>
                    </w:rPr>
                    <w:t>, jie siunčiami į kitas reabilitacijos įstaigas.</w:t>
                  </w:r>
                </w:p>
              </w:sdtContent>
            </w:sdt>
            <w:sdt>
              <w:sdtPr>
                <w:alias w:val="11 p."/>
                <w:tag w:val="part_ae3e0c767da84a32b52d1beeec115ca6"/>
                <w:lock w:val="sdtLocked"/>
                <w:richText/>
              </w:sdtPr>
              <w:sdtContent>
                <w:p>
                  <w:pPr>
                    <w:ind w:firstLine="709"/>
                    <w:jc w:val="both"/>
                    <w:rPr>
                      <w:szCs w:val="24"/>
                    </w:rPr>
                  </w:pPr>
                  <w:sdt>
                    <w:sdtPr>
                      <w:alias w:val="Numeris"/>
                      <w:tag w:val="nr_ae3e0c767da84a32b52d1beeec115ca6"/>
                      <w:lock w:val="sdtLocked"/>
                      <w:richText/>
                    </w:sdtPr>
                    <w:sdtContent>
                      <w:r>
                        <w:rPr>
                          <w:szCs w:val="24"/>
                          <w:lang w:eastAsia="lt-LT"/>
                        </w:rPr>
                        <w:t>11</w:t>
                      </w:r>
                    </w:sdtContent>
                  </w:sdt>
                  <w:r>
                    <w:rPr>
                      <w:szCs w:val="24"/>
                      <w:lang w:eastAsia="lt-LT"/>
                    </w:rPr>
                    <w:t>. Pacientui atvykus į Reabilitacijos įstaigą, pacientas su savimi privalo turėti asmens tapatybę patvirtinantį dokumentą ir tarnybinį pažymėjimą (pareigūnai), mokinio pažymėjimą (kursantai) arba pensijos gavėjo pažymėjimą (buvę pareigūnai). Siuntimo prevencinei, postvencinei medicininei psichologinei reabilitacijai atveju, jei poreikį prevencinei ar postvencinei medicininei psichologinei reabilitacijai nustatė</w:t>
                  </w:r>
                  <w:r>
                    <w:rPr>
                      <w:szCs w:val="24"/>
                    </w:rPr>
                    <w:t xml:space="preserve"> </w:t>
                  </w:r>
                  <w:r>
                    <w:rPr>
                      <w:szCs w:val="24"/>
                      <w:lang w:eastAsia="lt-LT"/>
                    </w:rPr>
                    <w:t>statutinės įstaigos ar Vadovybės apsaugos tarnybos (toliau kartu – įstaiga) psichologas, prie Siuntimo turi būti pridėtos ir aprašo 19</w:t>
                  </w:r>
                  <w:r>
                    <w:rPr>
                      <w:szCs w:val="24"/>
                      <w:vertAlign w:val="superscript"/>
                      <w:lang w:eastAsia="lt-LT"/>
                    </w:rPr>
                    <w:t xml:space="preserve"> </w:t>
                  </w:r>
                  <w:r>
                    <w:rPr>
                      <w:szCs w:val="24"/>
                    </w:rPr>
                    <w:t>ir 23</w:t>
                  </w:r>
                  <w:r>
                    <w:rPr>
                      <w:szCs w:val="24"/>
                      <w:vertAlign w:val="superscript"/>
                      <w:lang w:eastAsia="lt-LT"/>
                    </w:rPr>
                    <w:t xml:space="preserve"> </w:t>
                  </w:r>
                  <w:r>
                    <w:rPr>
                      <w:szCs w:val="24"/>
                      <w:lang w:eastAsia="lt-LT"/>
                    </w:rPr>
                    <w:t>punktuose</w:t>
                  </w:r>
                  <w:r>
                    <w:rPr>
                      <w:szCs w:val="24"/>
                      <w:vertAlign w:val="superscript"/>
                      <w:lang w:eastAsia="lt-LT"/>
                    </w:rPr>
                    <w:t xml:space="preserve"> </w:t>
                  </w:r>
                  <w:r>
                    <w:rPr>
                      <w:szCs w:val="24"/>
                      <w:lang w:eastAsia="lt-LT"/>
                    </w:rPr>
                    <w:t>nurodytų rekomendacijų kopijos.</w:t>
                  </w:r>
                  <w:r>
                    <w:rPr>
                      <w:szCs w:val="24"/>
                    </w:rPr>
                    <w:t xml:space="preserve"> </w:t>
                  </w:r>
                  <w:r>
                    <w:rPr>
                      <w:szCs w:val="24"/>
                      <w:lang w:eastAsia="lt-LT"/>
                    </w:rPr>
                    <w:t>Taip pat pacientui turi būti atitinkamai aprašo 8, 9, 20 ar 24 punkte nustatyta tvarka suformuotas galiojantis Siuntimas</w:t>
                  </w:r>
                  <w:r>
                    <w:rPr>
                      <w:szCs w:val="24"/>
                    </w:rPr>
                    <w:t>.</w:t>
                  </w:r>
                </w:p>
              </w:sdtContent>
            </w:sdt>
            <w:sdt>
              <w:sdtPr>
                <w:alias w:val="12 p."/>
                <w:tag w:val="part_7da5a432749a4d87ad7f78559d144354"/>
                <w:lock w:val="sdtLocked"/>
                <w:richText/>
              </w:sdtPr>
              <w:sdtContent>
                <w:p>
                  <w:pPr>
                    <w:widowControl w:val="0"/>
                    <w:tabs>
                      <w:tab w:val="left" w:pos="1005"/>
                    </w:tabs>
                    <w:ind w:firstLine="709"/>
                    <w:jc w:val="both"/>
                    <w:rPr>
                      <w:szCs w:val="24"/>
                      <w:lang w:eastAsia="lt-LT"/>
                    </w:rPr>
                  </w:pPr>
                  <w:sdt>
                    <w:sdtPr>
                      <w:alias w:val="Numeris"/>
                      <w:tag w:val="nr_7da5a432749a4d87ad7f78559d144354"/>
                      <w:lock w:val="sdtLocked"/>
                      <w:richText/>
                    </w:sdtPr>
                    <w:sdtContent>
                      <w:r>
                        <w:rPr>
                          <w:szCs w:val="24"/>
                          <w:lang w:eastAsia="lt-LT"/>
                        </w:rPr>
                        <w:t>12</w:t>
                      </w:r>
                    </w:sdtContent>
                  </w:sdt>
                  <w:r>
                    <w:rPr>
                      <w:szCs w:val="24"/>
                      <w:lang w:eastAsia="lt-LT"/>
                    </w:rPr>
                    <w:t>. Pacientai, nepateikę aprašo 11 punkte išvardytų dokumentų, arba pacientai, kuriems nėra suformuoti 11 punkte išvardyti dokumentai, į Reabilitacijos įstaigą nepriimami.</w:t>
                  </w:r>
                </w:p>
              </w:sdtContent>
            </w:sdt>
            <w:sdt>
              <w:sdtPr>
                <w:alias w:val="13 p."/>
                <w:tag w:val="part_df1ea307a4244c5a9b3c593c3689cf04"/>
                <w:lock w:val="sdtLocked"/>
                <w:richText/>
              </w:sdtPr>
              <w:sdtContent>
                <w:p>
                  <w:pPr>
                    <w:tabs>
                      <w:tab w:val="left" w:pos="1005"/>
                    </w:tabs>
                    <w:ind w:firstLine="709"/>
                    <w:jc w:val="both"/>
                    <w:rPr>
                      <w:szCs w:val="24"/>
                      <w:lang w:eastAsia="lt-LT"/>
                    </w:rPr>
                  </w:pPr>
                  <w:sdt>
                    <w:sdtPr>
                      <w:alias w:val="Numeris"/>
                      <w:tag w:val="nr_df1ea307a4244c5a9b3c593c3689cf04"/>
                      <w:lock w:val="sdtLocked"/>
                      <w:richText/>
                    </w:sdtPr>
                    <w:sdtContent>
                      <w:r>
                        <w:rPr>
                          <w:szCs w:val="24"/>
                          <w:lang w:eastAsia="lt-LT"/>
                        </w:rPr>
                        <w:t>13</w:t>
                      </w:r>
                    </w:sdtContent>
                  </w:sdt>
                  <w:r>
                    <w:rPr>
                      <w:szCs w:val="24"/>
                      <w:lang w:eastAsia="lt-LT"/>
                    </w:rPr>
                    <w:t>. Paciento priėmimo į Reabilitacijos įstaigą ar gydymo šioje įstaigoje metu išaiškėjus kontraindikacijoms, nurodytoms aprašo priedo II skyriuje, pacientas grąžinamas į jį siuntusią asmens sveikatos priežiūros įstaigą, o jei tokiems pacientams reikalinga būtinoji medicinos pagalba – į artimiausią asmens sveikatos priežiūros įstaigą. Jei dėl paciento sveikatos būklės pablogėjimo negalima tęsti medicininės reabilitacijos Reabilitacijos įstaigoje, pacientas išrašomas iš Reabilitacijos įstaigos ir nukreipiamas ambulatoriniam arba stacionariniam gydymui. Siuntime arba ligos istorijos išraše nurodoma, kiek medicininės reabilitacijos dienų panaudota. Prireikus gydantis gydytojas gali nukreipti tęsti medicininę reabilitaciją likusį nepanaudotų medicininės reabilitacijos dienų skaičių Reabilitacijos įstaigoje.</w:t>
                  </w:r>
                </w:p>
              </w:sdtContent>
            </w:sdt>
            <w:sdt>
              <w:sdtPr>
                <w:alias w:val="14 p."/>
                <w:tag w:val="part_e952f089086b45468a25f8f05d5e8d1d"/>
                <w:lock w:val="sdtLocked"/>
                <w:richText/>
              </w:sdtPr>
              <w:sdtContent>
                <w:p>
                  <w:pPr>
                    <w:tabs>
                      <w:tab w:val="left" w:pos="985"/>
                    </w:tabs>
                    <w:ind w:firstLine="709"/>
                    <w:jc w:val="both"/>
                    <w:rPr>
                      <w:szCs w:val="24"/>
                      <w:lang w:eastAsia="lt-LT"/>
                    </w:rPr>
                  </w:pPr>
                  <w:sdt>
                    <w:sdtPr>
                      <w:alias w:val="Numeris"/>
                      <w:tag w:val="nr_e952f089086b45468a25f8f05d5e8d1d"/>
                      <w:lock w:val="sdtLocked"/>
                      <w:richText/>
                    </w:sdtPr>
                    <w:sdtContent>
                      <w:r>
                        <w:rPr>
                          <w:szCs w:val="24"/>
                          <w:lang w:eastAsia="lt-LT"/>
                        </w:rPr>
                        <w:t>14</w:t>
                      </w:r>
                    </w:sdtContent>
                  </w:sdt>
                  <w:r>
                    <w:rPr>
                      <w:szCs w:val="24"/>
                      <w:lang w:eastAsia="lt-LT"/>
                    </w:rPr>
                    <w:t>. VRM apmokamos reabilitacijos įstaigos tvarko įrašus RIS, pacientų medicininės apskaitos dokumentus, elektroninius pažymėjimus, jeigu reikia, kitus buvimą VRM apmokamoje reabilitacijos įstaigoje patvirtinančius dokumentus. Pacientams išvykstant iš VRM apmokamų reabilitacijos įstaigų elektroninis pažymėjimas užbaigiamas, o iš VRM apmokamų reabilitacijos įstaigų išvykstant laikinai nedarbingiems pacientams elektroninis pažymėjimas tęsiamas, bet ne ilgiau kaip 3 kalendorines dienas nuo išvykimo iš VRM apmokamos reabilitacijos įstaigos dienos.</w:t>
                  </w:r>
                </w:p>
              </w:sdtContent>
            </w:sdt>
            <w:sdt>
              <w:sdtPr>
                <w:alias w:val="15 p."/>
                <w:tag w:val="part_1119f092e2414e6db4be73223f4027a0"/>
                <w:lock w:val="sdtLocked"/>
                <w:richText/>
              </w:sdtPr>
              <w:sdtContent>
                <w:p>
                  <w:pPr>
                    <w:widowControl w:val="0"/>
                    <w:tabs>
                      <w:tab w:val="left" w:pos="994"/>
                    </w:tabs>
                    <w:ind w:firstLine="709"/>
                    <w:jc w:val="both"/>
                    <w:rPr>
                      <w:szCs w:val="24"/>
                    </w:rPr>
                  </w:pPr>
                  <w:sdt>
                    <w:sdtPr>
                      <w:alias w:val="Numeris"/>
                      <w:tag w:val="nr_1119f092e2414e6db4be73223f4027a0"/>
                      <w:lock w:val="sdtLocked"/>
                      <w:richText/>
                    </w:sdtPr>
                    <w:sdtContent>
                      <w:r>
                        <w:rPr>
                          <w:szCs w:val="24"/>
                          <w:lang w:eastAsia="lt-LT"/>
                        </w:rPr>
                        <w:t>15</w:t>
                      </w:r>
                    </w:sdtContent>
                  </w:sdt>
                  <w:r>
                    <w:rPr>
                      <w:szCs w:val="24"/>
                      <w:lang w:eastAsia="lt-LT"/>
                    </w:rPr>
                    <w:t>. Užbaigus medicininės reabilitacijos, sveikatos grąžinamojo gydymo, antirecidyvinio gydymo kursą, Reabilitacijos įstaiga teikia duomenis apie suteiktas paslaugas Elektroninėje sveikatos paslaugų ir bendradarbiavimo infrastruktūros informacinėje sistemoje (toliau – ESPBI IS) ir pacientui išduoda ligos istorijos išrašą.</w:t>
                  </w:r>
                </w:p>
                <w:p>
                  <w:pPr>
                    <w:rPr>
                      <w:szCs w:val="24"/>
                    </w:rPr>
                  </w:pPr>
                </w:p>
              </w:sdtContent>
            </w:sdt>
          </w:sdtContent>
        </w:sdt>
        <w:sdt>
          <w:sdtPr>
            <w:alias w:val="skyrius"/>
            <w:tag w:val="part_455928484c9c457284de98ecde69b5dd"/>
            <w:lock w:val="sdtLocked"/>
            <w:richText/>
          </w:sdtPr>
          <w:sdtContent>
            <w:p>
              <w:pPr>
                <w:tabs>
                  <w:tab w:val="left" w:pos="993"/>
                </w:tabs>
                <w:jc w:val="center"/>
                <w:rPr>
                  <w:b/>
                  <w:szCs w:val="24"/>
                </w:rPr>
              </w:pPr>
              <w:sdt>
                <w:sdtPr>
                  <w:alias w:val="Numeris"/>
                  <w:tag w:val="nr_455928484c9c457284de98ecde69b5dd"/>
                  <w:lock w:val="sdtLocked"/>
                  <w:richText/>
                </w:sdtPr>
                <w:sdtContent>
                  <w:r>
                    <w:rPr>
                      <w:b/>
                      <w:szCs w:val="24"/>
                    </w:rPr>
                    <w:t>III</w:t>
                  </w:r>
                </w:sdtContent>
              </w:sdt>
              <w:r>
                <w:rPr>
                  <w:b/>
                  <w:szCs w:val="24"/>
                </w:rPr>
                <w:t xml:space="preserve"> SKYRIUS</w:t>
              </w:r>
            </w:p>
            <w:p>
              <w:pPr>
                <w:tabs>
                  <w:tab w:val="left" w:pos="993"/>
                </w:tabs>
                <w:jc w:val="center"/>
                <w:rPr>
                  <w:b/>
                  <w:szCs w:val="24"/>
                </w:rPr>
              </w:pPr>
              <w:sdt>
                <w:sdtPr>
                  <w:alias w:val="Pavadinimas"/>
                  <w:tag w:val="title_455928484c9c457284de98ecde69b5dd"/>
                  <w:lock w:val="sdtLocked"/>
                  <w:richText/>
                </w:sdtPr>
                <w:sdtContent>
                  <w:r>
                    <w:rPr>
                      <w:b/>
                      <w:szCs w:val="24"/>
                    </w:rPr>
                    <w:t>APMOKAMA IŠ DALIES IŠ PSDF BIUDŽETO MEDICININĖ REABILITACIJA</w:t>
                  </w:r>
                </w:sdtContent>
              </w:sdt>
            </w:p>
            <w:p>
              <w:pPr>
                <w:tabs>
                  <w:tab w:val="left" w:pos="993"/>
                </w:tabs>
                <w:jc w:val="center"/>
                <w:rPr>
                  <w:b/>
                  <w:szCs w:val="24"/>
                </w:rPr>
              </w:pPr>
            </w:p>
            <w:sdt>
              <w:sdtPr>
                <w:alias w:val="16 p."/>
                <w:tag w:val="part_b21de4f2bc3441e8be1e85df116237ee"/>
                <w:lock w:val="sdtLocked"/>
                <w:richText/>
              </w:sdtPr>
              <w:sdtContent>
                <w:p>
                  <w:pPr>
                    <w:widowControl w:val="0"/>
                    <w:tabs>
                      <w:tab w:val="left" w:pos="994"/>
                    </w:tabs>
                    <w:ind w:firstLine="709"/>
                    <w:jc w:val="both"/>
                  </w:pPr>
                  <w:sdt>
                    <w:sdtPr>
                      <w:alias w:val="Numeris"/>
                      <w:tag w:val="nr_b21de4f2bc3441e8be1e85df116237ee"/>
                      <w:lock w:val="sdtLocked"/>
                      <w:richText/>
                    </w:sdtPr>
                    <w:sdtContent>
                      <w:r>
                        <w:rPr>
                          <w:szCs w:val="24"/>
                          <w:lang w:eastAsia="lt-LT"/>
                        </w:rPr>
                        <w:t>16</w:t>
                      </w:r>
                    </w:sdtContent>
                  </w:sdt>
                  <w:r>
                    <w:rPr>
                      <w:szCs w:val="24"/>
                      <w:lang w:eastAsia="lt-LT"/>
                    </w:rPr>
                    <w:t xml:space="preserve">. </w:t>
                  </w:r>
                  <w:r>
                    <w:t>Pareigūnui po sužalojimo, vykdant tarnybines pareigas, ir kursantui po sužalojimo, jį</w:t>
                  </w:r>
                  <w:r>
                    <w:rPr>
                      <w:szCs w:val="24"/>
                    </w:rPr>
                    <w:t xml:space="preserve"> pasitelkus statutinių įstaigų veiklą reglamentuojančiuose įstatymuose nustatytoms funkcijoms atlikti,</w:t>
                  </w:r>
                  <w:r>
                    <w:t xml:space="preserve"> taikoma stacionarinė medicininė reabilitacija, nurodyta Lietuvos Respublikos sveikatos apsaugos ministro 2022 m. lapkričio 23 d. įsakyme Nr. V-1738 „Dėl Medicininės reabilitacijos ir antirecidyvinio sanatorinio gydymo paslaugų skyrimo ir teikimo tvarkos aprašo patvirtinimo“ ir Lietuvos Respublikos sveikatos apsaugos ministro </w:t>
                  </w:r>
                  <w:r>
                    <w:rPr>
                      <w:szCs w:val="24"/>
                    </w:rPr>
                    <w:t>2022 m. gruodžio 7 d. įsakyme Nr. V-1828 „Dėl Medicininės reabilitacijos ir antirecidyvinio sanatorinio gydymo paslaugų teikimo bendrųjų ir specialiųjų reikalavimų aprašų patvirtinimo“</w:t>
                  </w:r>
                  <w:r>
                    <w:t>, ir pasibaigus stacionarinės medicininės reabilitacijos, finansuojamos PSDF biudžeto lėšomis, normatyvinei trukmei, rekomenduojant asmens sveikatos priežiūros įstaigos fizinės medicinos ir reabilitacijos gydytojui, stacionarinė medicininė reabilitacija gali būti tęsiama toje pačioje asmens sveikatos priežiūros įstaigoje, ją apmokant iš VRM atitinkamai programai skirtų valstybės biudžeto lėšų, arba VRM apmokamoje reabilitacijos įstaigoje. Stacionarinė medicininė reabilitacija, apmokama iš VRM atitinkamai programai skirtų valstybės biudžeto lėšų, gali būti tęsiama tiek laiko, kiek jo reikia iki pareigūno ar kursanto biopsichosocialinių funkcijų atkūrimo lygio, tinkamo ambulatorinei medicininei reabilitacijai pradėti, tačiau neviršijant aprašo priedo III skyriuje nustatytų terminų.</w:t>
                  </w:r>
                </w:p>
              </w:sdtContent>
            </w:sdt>
            <w:sdt>
              <w:sdtPr>
                <w:alias w:val="17 p."/>
                <w:tag w:val="part_069369406807471490d7406620b2d772"/>
                <w:lock w:val="sdtLocked"/>
                <w:richText/>
              </w:sdtPr>
              <w:sdtContent>
                <w:p>
                  <w:pPr>
                    <w:widowControl w:val="0"/>
                    <w:tabs>
                      <w:tab w:val="left" w:pos="994"/>
                    </w:tabs>
                    <w:ind w:firstLine="709"/>
                    <w:jc w:val="both"/>
                    <w:rPr>
                      <w:szCs w:val="24"/>
                      <w:lang w:eastAsia="lt-LT"/>
                    </w:rPr>
                  </w:pPr>
                  <w:sdt>
                    <w:sdtPr>
                      <w:alias w:val="Numeris"/>
                      <w:tag w:val="nr_069369406807471490d7406620b2d772"/>
                      <w:lock w:val="sdtLocked"/>
                      <w:richText/>
                    </w:sdtPr>
                    <w:sdtContent>
                      <w:r>
                        <w:rPr>
                          <w:szCs w:val="24"/>
                          <w:lang w:eastAsia="lt-LT"/>
                        </w:rPr>
                        <w:t>17</w:t>
                      </w:r>
                    </w:sdtContent>
                  </w:sdt>
                  <w:r>
                    <w:rPr>
                      <w:szCs w:val="24"/>
                      <w:lang w:eastAsia="lt-LT"/>
                    </w:rPr>
                    <w:t>. Užbaigęs aprašo 16 punkte nurodytą stacionarinę medicininę reabilitaciją, pareigūnas ir kursantas iš asmens sveikatos priežiūros įstaigos kartu su ligos istorijos išrašu gauna ir sąskaitą faktūrą, kurioje nurodytos asmens sveikatos priežiūros įstaigos išlaidos už pareigūno ar kursanto papildomo reabilitacinio gydymo asmens sveikatos priežiūros įstaigoje laikotarpį. Asmens sveikatos priežiūros įstaiga išlaidas skaičiuoja kainomis, nurodytomis Asmens sveikatos priežiūros paslaugų (išskyrus aktyviojo gydymo), apmokamų Privalomojo sveikatos draudimo fondo biudžeto lėšomis, ir jų bazinių kainų sąraše, patvirtintame Lietuvos Respublikos sveikatos apsaugos ministro 2022 m. lapkričio 3 d. įsakymu Nr. V-1630 „Dėl Asmens sveikatos priežiūros paslaugų ir jų bazinių kainų sąrašo bei su šiomis paslaugomis susijusių priedų, mokamų privalomojo sveikatos draudimo fondo biudžeto lėšomis, sąrašų patvirtinimo“.</w:t>
                  </w:r>
                </w:p>
              </w:sdtContent>
            </w:sdt>
            <w:sdt>
              <w:sdtPr>
                <w:alias w:val="18 p."/>
                <w:tag w:val="part_171f6e69bff94724a5f29d28fbd1d23c"/>
                <w:lock w:val="sdtLocked"/>
                <w:richText/>
              </w:sdtPr>
              <w:sdtContent>
                <w:p>
                  <w:pPr>
                    <w:widowControl w:val="0"/>
                    <w:tabs>
                      <w:tab w:val="left" w:pos="994"/>
                    </w:tabs>
                    <w:ind w:firstLine="709"/>
                    <w:jc w:val="both"/>
                    <w:rPr>
                      <w:szCs w:val="24"/>
                      <w:lang w:eastAsia="lt-LT"/>
                    </w:rPr>
                  </w:pPr>
                  <w:sdt>
                    <w:sdtPr>
                      <w:alias w:val="Numeris"/>
                      <w:tag w:val="nr_171f6e69bff94724a5f29d28fbd1d23c"/>
                      <w:lock w:val="sdtLocked"/>
                      <w:richText/>
                    </w:sdtPr>
                    <w:sdtContent>
                      <w:r>
                        <w:rPr>
                          <w:szCs w:val="24"/>
                          <w:lang w:eastAsia="lt-LT"/>
                        </w:rPr>
                        <w:t>18</w:t>
                      </w:r>
                    </w:sdtContent>
                  </w:sdt>
                  <w:r>
                    <w:rPr>
                      <w:szCs w:val="24"/>
                      <w:lang w:eastAsia="lt-LT"/>
                    </w:rPr>
                    <w:t>. Aprašo 17 punkte nurodytą sąskaitą faktūrą, taip pat tarnybinio pažymėjimo (pareigūnas) ar mokinio pažymėjimo (kursantas) ir aprašo 17 punkte nurodyto ligos istorijos išrašo kopijas pareigūnas ir kursantas pateikia Medicinos centrui per 10 darbo dienų, skaičiuojant nuo išvykimo iš asmens sveikatos priežiūros įstaigos dienos.</w:t>
                  </w:r>
                </w:p>
                <w:p>
                  <w:pPr>
                    <w:widowControl w:val="0"/>
                    <w:tabs>
                      <w:tab w:val="left" w:pos="994"/>
                    </w:tabs>
                    <w:ind w:firstLine="709"/>
                    <w:jc w:val="both"/>
                  </w:pPr>
                </w:p>
              </w:sdtContent>
            </w:sdt>
          </w:sdtContent>
        </w:sdt>
        <w:sdt>
          <w:sdtPr>
            <w:alias w:val="skyrius"/>
            <w:tag w:val="part_291ea0c8355a4ee389d3c711379411b2"/>
            <w:lock w:val="sdtLocked"/>
            <w:richText/>
          </w:sdtPr>
          <w:sdtContent>
            <w:p>
              <w:pPr>
                <w:keepLines/>
                <w:widowControl w:val="0"/>
                <w:tabs>
                  <w:tab w:val="left" w:pos="994"/>
                </w:tabs>
                <w:jc w:val="center"/>
                <w:rPr>
                  <w:b/>
                  <w:szCs w:val="24"/>
                </w:rPr>
              </w:pPr>
              <w:sdt>
                <w:sdtPr>
                  <w:alias w:val="Numeris"/>
                  <w:tag w:val="nr_291ea0c8355a4ee389d3c711379411b2"/>
                  <w:lock w:val="sdtLocked"/>
                  <w:richText/>
                </w:sdtPr>
                <w:sdtContent>
                  <w:r>
                    <w:rPr>
                      <w:b/>
                      <w:szCs w:val="24"/>
                    </w:rPr>
                    <w:t>IV</w:t>
                  </w:r>
                </w:sdtContent>
              </w:sdt>
              <w:r>
                <w:rPr>
                  <w:b/>
                  <w:szCs w:val="24"/>
                </w:rPr>
                <w:t xml:space="preserve"> SKYRIUS</w:t>
              </w:r>
            </w:p>
            <w:p>
              <w:pPr>
                <w:keepLines/>
                <w:tabs>
                  <w:tab w:val="left" w:pos="993"/>
                </w:tabs>
                <w:jc w:val="center"/>
                <w:rPr>
                  <w:b/>
                  <w:szCs w:val="24"/>
                </w:rPr>
              </w:pPr>
              <w:sdt>
                <w:sdtPr>
                  <w:alias w:val="Pavadinimas"/>
                  <w:tag w:val="title_291ea0c8355a4ee389d3c711379411b2"/>
                  <w:lock w:val="sdtLocked"/>
                  <w:richText/>
                </w:sdtPr>
                <w:sdtContent>
                  <w:r>
                    <w:rPr>
                      <w:b/>
                      <w:szCs w:val="24"/>
                    </w:rPr>
                    <w:t>PAREIGŪNO PREVENCINĖS MEDICININĖS PSICHOLOGINĖS REABILITACIJOS ORGANIZAVIMAS</w:t>
                  </w:r>
                </w:sdtContent>
              </w:sdt>
            </w:p>
            <w:p>
              <w:pPr>
                <w:jc w:val="both"/>
                <w:rPr>
                  <w:szCs w:val="24"/>
                </w:rPr>
              </w:pPr>
            </w:p>
            <w:sdt>
              <w:sdtPr>
                <w:alias w:val="19 p."/>
                <w:tag w:val="part_46fd30d3f17d417797375c25c2ebe1ea"/>
                <w:lock w:val="sdtLocked"/>
                <w:richText/>
              </w:sdtPr>
              <w:sdtContent>
                <w:p>
                  <w:pPr>
                    <w:tabs>
                      <w:tab w:val="left" w:pos="993"/>
                    </w:tabs>
                    <w:ind w:firstLine="709"/>
                    <w:jc w:val="both"/>
                    <w:rPr>
                      <w:strike/>
                      <w:szCs w:val="24"/>
                    </w:rPr>
                  </w:pPr>
                  <w:sdt>
                    <w:sdtPr>
                      <w:alias w:val="Numeris"/>
                      <w:tag w:val="nr_46fd30d3f17d417797375c25c2ebe1ea"/>
                      <w:lock w:val="sdtLocked"/>
                      <w:richText/>
                    </w:sdtPr>
                    <w:sdtContent>
                      <w:r>
                        <w:rPr>
                          <w:szCs w:val="24"/>
                        </w:rPr>
                        <w:t>19</w:t>
                      </w:r>
                    </w:sdtContent>
                  </w:sdt>
                  <w:r>
                    <w:rPr>
                      <w:szCs w:val="24"/>
                    </w:rPr>
                    <w:t xml:space="preserve">. </w:t>
                  </w:r>
                  <w:r>
                    <w:rPr>
                      <w:szCs w:val="24"/>
                      <w:lang w:eastAsia="lt-LT"/>
                    </w:rPr>
                    <w:t xml:space="preserve">Esant aprašo priedo V skyriaus 2–5 punktuose ir 6.6–6.10 papunkčiuose nurodytų indikacijų, įstaigos vadovas siunčia pareigūną į Medicinos centrą dėl prevencinės medicininės psichologinės reabilitacijos. Jei įstaigoje yra psichologas, jis surašo </w:t>
                  </w:r>
                  <w:r>
                    <w:rPr>
                      <w:szCs w:val="24"/>
                    </w:rPr>
                    <w:t>rašytinę laisvos formos rekomendaciją (toliau – įstaigos psichologo rekomendacija)</w:t>
                  </w:r>
                  <w:r>
                    <w:rPr>
                      <w:szCs w:val="24"/>
                      <w:lang w:eastAsia="lt-LT"/>
                    </w:rPr>
                    <w:t xml:space="preserve">, kurios kopiją pareigūnas pateikia </w:t>
                  </w:r>
                  <w:r>
                    <w:rPr>
                      <w:szCs w:val="24"/>
                    </w:rPr>
                    <w:t>aprašo 20 punkte nurodytam gydytojui</w:t>
                  </w:r>
                  <w:r>
                    <w:rPr>
                      <w:szCs w:val="24"/>
                      <w:lang w:eastAsia="lt-LT"/>
                    </w:rPr>
                    <w:t>. Pastarasis jos skenuotą kopiją prideda prie aprašo 20 punkte nurodyto Siuntimo.</w:t>
                  </w:r>
                  <w:r>
                    <w:rPr>
                      <w:szCs w:val="24"/>
                    </w:rPr>
                    <w:t xml:space="preserve"> Įstaigos psichologo rekomendacijoje pateikiama ši informacija: nurodomas pareigūno vidaus tarnybos stažas arba </w:t>
                  </w:r>
                  <w:r>
                    <w:rPr>
                      <w:bCs/>
                    </w:rPr>
                    <w:t>tarnybos stažas</w:t>
                  </w:r>
                  <w:r>
                    <w:rPr>
                      <w:szCs w:val="24"/>
                    </w:rPr>
                    <w:t xml:space="preserve"> (</w:t>
                  </w:r>
                  <w:r>
                    <w:rPr>
                      <w:bCs/>
                    </w:rPr>
                    <w:t>Vadovybės apsaugos tarnybos pareigūnui)</w:t>
                  </w:r>
                  <w:r>
                    <w:rPr>
                      <w:szCs w:val="24"/>
                    </w:rPr>
                    <w:t xml:space="preserve">, pareigos, atsakomybės, aprašomas tarnybos pobūdis, nurodomos problemos, situacijos, kurios turi įtakos pareigūno psichologinei būklei ir (ar) socialinei situacijai ir dėl kurių pareigūnui yra rekomenduotina prevencinė medicininė psichologinė reabilitacija. </w:t>
                  </w:r>
                </w:p>
              </w:sdtContent>
            </w:sdt>
            <w:sdt>
              <w:sdtPr>
                <w:alias w:val="20 p."/>
                <w:tag w:val="part_da651e01dd67445aa5c39551eba85e9c"/>
                <w:lock w:val="sdtLocked"/>
                <w:richText/>
              </w:sdtPr>
              <w:sdtContent>
                <w:p>
                  <w:pPr>
                    <w:tabs>
                      <w:tab w:val="left" w:pos="0"/>
                      <w:tab w:val="left" w:pos="993"/>
                      <w:tab w:val="left" w:pos="1560"/>
                    </w:tabs>
                    <w:ind w:firstLine="709"/>
                    <w:jc w:val="both"/>
                    <w:rPr>
                      <w:szCs w:val="24"/>
                      <w:lang w:eastAsia="lt-LT"/>
                    </w:rPr>
                  </w:pPr>
                  <w:sdt>
                    <w:sdtPr>
                      <w:alias w:val="Numeris"/>
                      <w:tag w:val="nr_da651e01dd67445aa5c39551eba85e9c"/>
                      <w:lock w:val="sdtLocked"/>
                      <w:richText/>
                    </w:sdtPr>
                    <w:sdtContent>
                      <w:r>
                        <w:rPr>
                          <w:szCs w:val="24"/>
                          <w:lang w:eastAsia="lt-LT"/>
                        </w:rPr>
                        <w:t>20</w:t>
                      </w:r>
                    </w:sdtContent>
                  </w:sdt>
                  <w:r>
                    <w:rPr>
                      <w:szCs w:val="24"/>
                      <w:lang w:eastAsia="lt-LT"/>
                    </w:rPr>
                    <w:t>. Prevencinei medicininei psichologinei reabilitacijai dėl aprašo priedo V skyriaus 2–5 punktuose ir 6.6–6.10 papunkčiuose nurodytų indikacijų į Reabilitacijos įstaigas siunčia Medicinos centro fizinės medicinos ir reabilitacijos gydytojas, konsultacijos metu nustatęs prevencinės medicininės psichologinės reabilitacijos poreikį, įrašęs pareigūną į Sąrašą</w:t>
                  </w:r>
                  <w:r>
                    <w:rPr>
                      <w:b/>
                      <w:szCs w:val="24"/>
                      <w:lang w:eastAsia="lt-LT"/>
                    </w:rPr>
                    <w:t xml:space="preserve"> </w:t>
                  </w:r>
                  <w:r>
                    <w:rPr>
                      <w:szCs w:val="24"/>
                      <w:lang w:eastAsia="lt-LT"/>
                    </w:rPr>
                    <w:t>RIS,</w:t>
                  </w:r>
                  <w:r>
                    <w:t xml:space="preserve"> informavęs pareigūną apie atitinkamo </w:t>
                  </w:r>
                  <w:r>
                    <w:rPr>
                      <w:szCs w:val="24"/>
                    </w:rPr>
                    <w:t xml:space="preserve">asmens sveikatos priežiūros paslaugų </w:t>
                  </w:r>
                  <w:r>
                    <w:t xml:space="preserve">profilio paslaugas teikiančias Reabilitacijos įstaigas </w:t>
                  </w:r>
                  <w:r>
                    <w:rPr>
                      <w:szCs w:val="24"/>
                      <w:lang w:eastAsia="lt-LT"/>
                    </w:rPr>
                    <w:t xml:space="preserve">ir suformavęs Siuntimą, prie jo pridėjęs </w:t>
                  </w:r>
                  <w:r>
                    <w:rPr>
                      <w:szCs w:val="24"/>
                    </w:rPr>
                    <w:t xml:space="preserve">pareigūno pateiktą </w:t>
                  </w:r>
                  <w:r>
                    <w:rPr>
                      <w:szCs w:val="24"/>
                      <w:lang w:eastAsia="lt-LT"/>
                    </w:rPr>
                    <w:t xml:space="preserve">aprašo 19 punkte nurodytos rekomendacijos skenuotą kopiją (jei rekomendacija buvo surašyta). Pareigūnas turi užsiregistruoti medicininei psichologinei reabilitacijai konkrečioje Reabilitacijos įstaigoje, teikiančioje atitinkamo </w:t>
                  </w:r>
                  <w:r>
                    <w:rPr>
                      <w:szCs w:val="24"/>
                    </w:rPr>
                    <w:t xml:space="preserve">asmens sveikatos priežiūros paslaugų </w:t>
                  </w:r>
                  <w:r>
                    <w:rPr>
                      <w:szCs w:val="24"/>
                      <w:lang w:eastAsia="lt-LT"/>
                    </w:rPr>
                    <w:t>profilio paslaugas.</w:t>
                  </w:r>
                </w:p>
              </w:sdtContent>
            </w:sdt>
            <w:sdt>
              <w:sdtPr>
                <w:alias w:val="21 p."/>
                <w:tag w:val="part_e8d000e6a392408eb70744c20cf4bf2b"/>
                <w:lock w:val="sdtLocked"/>
                <w:richText/>
              </w:sdtPr>
              <w:sdtContent>
                <w:p>
                  <w:pPr>
                    <w:ind w:firstLine="709"/>
                    <w:jc w:val="both"/>
                    <w:rPr>
                      <w:szCs w:val="24"/>
                    </w:rPr>
                  </w:pPr>
                  <w:sdt>
                    <w:sdtPr>
                      <w:alias w:val="Numeris"/>
                      <w:tag w:val="nr_e8d000e6a392408eb70744c20cf4bf2b"/>
                      <w:lock w:val="sdtLocked"/>
                      <w:richText/>
                    </w:sdtPr>
                    <w:sdtContent>
                      <w:r>
                        <w:rPr>
                          <w:szCs w:val="24"/>
                          <w:lang w:eastAsia="lt-LT"/>
                        </w:rPr>
                        <w:t>21</w:t>
                      </w:r>
                    </w:sdtContent>
                  </w:sdt>
                  <w:r>
                    <w:rPr>
                      <w:szCs w:val="24"/>
                      <w:lang w:eastAsia="lt-LT"/>
                    </w:rPr>
                    <w:t xml:space="preserve">. Pareigūnui, kuriam yra būtina prevencinė medicininė psichologinė reabilitacija dėl aprašo priedo V skyriaus 2–5 punktuose ir 6.6–6.10 papunkčiuose </w:t>
                  </w:r>
                  <w:r>
                    <w:rPr>
                      <w:szCs w:val="24"/>
                    </w:rPr>
                    <w:t>nurodytų indikacijų, kai dėl jų nėra pagrindo jam išduoti elektroninį pažymėjimą</w:t>
                  </w:r>
                  <w:r>
                    <w:rPr>
                      <w:szCs w:val="24"/>
                      <w:lang w:eastAsia="lt-LT"/>
                    </w:rPr>
                    <w:t xml:space="preserve"> prevencinei </w:t>
                  </w:r>
                  <w:r>
                    <w:rPr>
                      <w:szCs w:val="24"/>
                    </w:rPr>
                    <w:t xml:space="preserve">medicininei </w:t>
                  </w:r>
                  <w:r>
                    <w:rPr>
                      <w:szCs w:val="24"/>
                      <w:lang w:eastAsia="lt-LT"/>
                    </w:rPr>
                    <w:t>psichologinei</w:t>
                  </w:r>
                  <w:r>
                    <w:rPr>
                      <w:szCs w:val="24"/>
                    </w:rPr>
                    <w:t xml:space="preserve"> reabilitacijai, gali būti suteikiamos </w:t>
                  </w:r>
                  <w:r>
                    <w:rPr>
                      <w:szCs w:val="24"/>
                      <w:lang w:eastAsia="lt-LT"/>
                    </w:rPr>
                    <w:t xml:space="preserve">Vidaus tarnybos statuto 53 straipsnio 1 dalyje numatytos atostogos arba </w:t>
                  </w:r>
                  <w:r>
                    <w:rPr>
                      <w:szCs w:val="24"/>
                    </w:rPr>
                    <w:t>į Reabilitacijos įstaigą pareigūnas vyksta laisvu nuo tarnybinių pareigų vykdymo metu.</w:t>
                  </w:r>
                </w:p>
              </w:sdtContent>
            </w:sdt>
            <w:sdt>
              <w:sdtPr>
                <w:alias w:val="22 p."/>
                <w:tag w:val="part_decf13c9114c442eaf3d52ac9c6d03dd"/>
                <w:lock w:val="sdtLocked"/>
                <w:richText/>
              </w:sdtPr>
              <w:sdtContent>
                <w:p>
                  <w:pPr>
                    <w:tabs>
                      <w:tab w:val="left" w:pos="600"/>
                    </w:tabs>
                    <w:ind w:firstLine="771"/>
                    <w:jc w:val="both"/>
                    <w:rPr>
                      <w:szCs w:val="24"/>
                    </w:rPr>
                  </w:pPr>
                  <w:sdt>
                    <w:sdtPr>
                      <w:alias w:val="Numeris"/>
                      <w:tag w:val="nr_decf13c9114c442eaf3d52ac9c6d03dd"/>
                      <w:lock w:val="sdtLocked"/>
                      <w:richText/>
                    </w:sdtPr>
                    <w:sdtContent>
                      <w:r>
                        <w:rPr>
                          <w:szCs w:val="24"/>
                        </w:rPr>
                        <w:t>22</w:t>
                      </w:r>
                    </w:sdtContent>
                  </w:sdt>
                  <w:r>
                    <w:rPr>
                      <w:szCs w:val="24"/>
                    </w:rPr>
                    <w:t xml:space="preserve">. Užbaigus prevencinės medicininės psichologinės reabilitacijos kursą, Reabilitacijos įstaiga </w:t>
                  </w:r>
                  <w:r>
                    <w:rPr>
                      <w:szCs w:val="24"/>
                      <w:lang w:eastAsia="lt-LT"/>
                    </w:rPr>
                    <w:t xml:space="preserve">teikia duomenis apie suteiktas paslaugas ESPBI IS ir </w:t>
                  </w:r>
                  <w:r>
                    <w:rPr>
                      <w:szCs w:val="24"/>
                    </w:rPr>
                    <w:t>pareigūnui išduoda ligos istorijos išrašą.</w:t>
                  </w:r>
                </w:p>
                <w:p>
                  <w:pPr>
                    <w:tabs>
                      <w:tab w:val="left" w:pos="600"/>
                    </w:tabs>
                    <w:ind w:firstLine="771"/>
                    <w:jc w:val="both"/>
                    <w:rPr>
                      <w:b/>
                      <w:szCs w:val="24"/>
                    </w:rPr>
                  </w:pPr>
                </w:p>
              </w:sdtContent>
            </w:sdt>
          </w:sdtContent>
        </w:sdt>
        <w:sdt>
          <w:sdtPr>
            <w:alias w:val="skyrius"/>
            <w:tag w:val="part_4a339aaba9a04bdcaba462d7ae366807"/>
            <w:lock w:val="sdtLocked"/>
            <w:richText/>
          </w:sdtPr>
          <w:sdtContent>
            <w:p>
              <w:pPr>
                <w:jc w:val="center"/>
                <w:rPr>
                  <w:b/>
                  <w:szCs w:val="24"/>
                </w:rPr>
              </w:pPr>
              <w:sdt>
                <w:sdtPr>
                  <w:alias w:val="Numeris"/>
                  <w:tag w:val="nr_4a339aaba9a04bdcaba462d7ae366807"/>
                  <w:lock w:val="sdtLocked"/>
                  <w:richText/>
                </w:sdtPr>
                <w:sdtContent>
                  <w:r>
                    <w:rPr>
                      <w:b/>
                      <w:szCs w:val="24"/>
                    </w:rPr>
                    <w:t>V</w:t>
                  </w:r>
                </w:sdtContent>
              </w:sdt>
              <w:r>
                <w:rPr>
                  <w:b/>
                  <w:szCs w:val="24"/>
                </w:rPr>
                <w:t xml:space="preserve"> SKYRIUS</w:t>
              </w:r>
            </w:p>
            <w:p>
              <w:pPr>
                <w:tabs>
                  <w:tab w:val="left" w:pos="993"/>
                </w:tabs>
                <w:jc w:val="center"/>
                <w:rPr>
                  <w:b/>
                  <w:szCs w:val="24"/>
                </w:rPr>
              </w:pPr>
              <w:sdt>
                <w:sdtPr>
                  <w:alias w:val="Pavadinimas"/>
                  <w:tag w:val="title_4a339aaba9a04bdcaba462d7ae366807"/>
                  <w:lock w:val="sdtLocked"/>
                  <w:richText/>
                </w:sdtPr>
                <w:sdtContent>
                  <w:r>
                    <w:rPr>
                      <w:b/>
                      <w:szCs w:val="24"/>
                    </w:rPr>
                    <w:t>PAREIGŪNO IR KURSANTO POSTVENCINĖS MEDICININĖS PSICHOLOGINĖS REABILITACIJOS ORGANIZAVIMAS</w:t>
                  </w:r>
                </w:sdtContent>
              </w:sdt>
            </w:p>
            <w:p>
              <w:pPr>
                <w:tabs>
                  <w:tab w:val="left" w:pos="0"/>
                  <w:tab w:val="left" w:pos="993"/>
                  <w:tab w:val="left" w:pos="1560"/>
                </w:tabs>
                <w:jc w:val="both"/>
                <w:rPr>
                  <w:szCs w:val="24"/>
                  <w:lang w:eastAsia="lt-LT"/>
                </w:rPr>
              </w:pPr>
            </w:p>
            <w:sdt>
              <w:sdtPr>
                <w:alias w:val="23 p."/>
                <w:tag w:val="part_b7589cda27f0443d8fd7eb0c62c7c8fd"/>
                <w:lock w:val="sdtLocked"/>
                <w:richText/>
              </w:sdtPr>
              <w:sdtContent>
                <w:p>
                  <w:pPr>
                    <w:tabs>
                      <w:tab w:val="left" w:pos="993"/>
                    </w:tabs>
                    <w:ind w:firstLine="709"/>
                    <w:jc w:val="both"/>
                    <w:rPr>
                      <w:szCs w:val="24"/>
                    </w:rPr>
                  </w:pPr>
                  <w:sdt>
                    <w:sdtPr>
                      <w:alias w:val="Numeris"/>
                      <w:tag w:val="nr_b7589cda27f0443d8fd7eb0c62c7c8fd"/>
                      <w:lock w:val="sdtLocked"/>
                      <w:richText/>
                    </w:sdtPr>
                    <w:sdtContent>
                      <w:r>
                        <w:rPr>
                          <w:szCs w:val="24"/>
                          <w:lang w:eastAsia="lt-LT"/>
                        </w:rPr>
                        <w:t>23</w:t>
                      </w:r>
                    </w:sdtContent>
                  </w:sdt>
                  <w:r>
                    <w:rPr>
                      <w:szCs w:val="24"/>
                      <w:lang w:eastAsia="lt-LT"/>
                    </w:rPr>
                    <w:t xml:space="preserve">. Esant aprašo priedo V skyriaus 1, 7, 8 punktuose ir 6.1–6.5 papunkčiuose nurodytų indikacijų, įstaigos vadovas siunčia pareigūną ar kursantą į Medicinos centrą dėl postvencinės medicininės psichologinės reabilitacijos. Jei įstaigoje yra psichologas, jis surašo </w:t>
                  </w:r>
                  <w:r>
                    <w:rPr>
                      <w:szCs w:val="24"/>
                    </w:rPr>
                    <w:t>įstaigos psichologo rekomendaciją</w:t>
                  </w:r>
                  <w:r>
                    <w:rPr>
                      <w:szCs w:val="24"/>
                      <w:lang w:eastAsia="lt-LT"/>
                    </w:rPr>
                    <w:t xml:space="preserve">, kurios kopiją pareigūnas ar kursantas pateikia </w:t>
                  </w:r>
                  <w:r>
                    <w:rPr>
                      <w:szCs w:val="24"/>
                    </w:rPr>
                    <w:t>aprašo 24 punkte nurodytam gydytojui</w:t>
                  </w:r>
                  <w:r>
                    <w:rPr>
                      <w:szCs w:val="24"/>
                      <w:lang w:eastAsia="lt-LT"/>
                    </w:rPr>
                    <w:t>. Pastarasis jos skenuotą kopiją prideda prie aprašo 24 punkte nurodyto Siuntimo.</w:t>
                  </w:r>
                  <w:r>
                    <w:rPr>
                      <w:szCs w:val="24"/>
                    </w:rPr>
                    <w:t xml:space="preserve"> Įstaigos psichologo rekomendacijoje pateikiama ši informacija: nurodomas pareigūno vidaus tarnybos stažas arba </w:t>
                  </w:r>
                  <w:r>
                    <w:rPr>
                      <w:bCs/>
                    </w:rPr>
                    <w:t>tarnybos stažas</w:t>
                  </w:r>
                  <w:r>
                    <w:rPr>
                      <w:szCs w:val="24"/>
                    </w:rPr>
                    <w:t xml:space="preserve"> (</w:t>
                  </w:r>
                  <w:r>
                    <w:rPr>
                      <w:bCs/>
                    </w:rPr>
                    <w:t>Vadovybės apsaugos tarnybos pareigūnui)</w:t>
                  </w:r>
                  <w:r>
                    <w:rPr>
                      <w:szCs w:val="24"/>
                    </w:rPr>
                    <w:t>, pareigos, atsakomybės, aprašomas tarnybos pobūdis, kursanto mokymosi trukmė ir programa, kursanto pasitelkimo pobūdis, nurodomos problemos, situacijos, kurios turi įtakos pareigūno ar kursanto psichologinei būklei ir (ar) socialinei situacijai ir dėl kurių pareigūnui ar kursantui yra rekomenduotina postvencinė medicininė psichologinė reabilitacija.</w:t>
                  </w:r>
                </w:p>
              </w:sdtContent>
            </w:sdt>
            <w:sdt>
              <w:sdtPr>
                <w:alias w:val="24 p."/>
                <w:tag w:val="part_5161cf182088420d85e088ae997119cd"/>
                <w:lock w:val="sdtLocked"/>
                <w:richText/>
              </w:sdtPr>
              <w:sdtContent>
                <w:p>
                  <w:pPr>
                    <w:tabs>
                      <w:tab w:val="left" w:pos="0"/>
                      <w:tab w:val="left" w:pos="993"/>
                      <w:tab w:val="left" w:pos="1560"/>
                    </w:tabs>
                    <w:ind w:firstLine="709"/>
                    <w:jc w:val="both"/>
                    <w:rPr>
                      <w:szCs w:val="24"/>
                      <w:lang w:eastAsia="lt-LT"/>
                    </w:rPr>
                  </w:pPr>
                  <w:sdt>
                    <w:sdtPr>
                      <w:alias w:val="Numeris"/>
                      <w:tag w:val="nr_5161cf182088420d85e088ae997119cd"/>
                      <w:lock w:val="sdtLocked"/>
                      <w:richText/>
                    </w:sdtPr>
                    <w:sdtContent>
                      <w:r>
                        <w:rPr>
                          <w:szCs w:val="24"/>
                        </w:rPr>
                        <w:t>24</w:t>
                      </w:r>
                    </w:sdtContent>
                  </w:sdt>
                  <w:r>
                    <w:rPr>
                      <w:szCs w:val="24"/>
                    </w:rPr>
                    <w:t xml:space="preserve">. </w:t>
                  </w:r>
                  <w:r>
                    <w:rPr>
                      <w:szCs w:val="24"/>
                      <w:lang w:eastAsia="lt-LT"/>
                    </w:rPr>
                    <w:t>Pareigūną ir kursantą postvencinei medicininei psichologinei reabilitacijai dėl aprašo priedo V skyriaus 1, 7, 8 punktuose ir 6.1–6.5 papunkčiuose nurodytų indikacijų į Reabilitacijos įstaigas siunčia Medicinos centro fizinės medicinos ir reabilitacijos gydytojas, konsultacijos metu nustatęs postvencinės medicininės psichologinės reabilitacijos poreikį,</w:t>
                  </w:r>
                  <w:r>
                    <w:rPr>
                      <w:b/>
                      <w:szCs w:val="24"/>
                      <w:lang w:eastAsia="lt-LT"/>
                    </w:rPr>
                    <w:t xml:space="preserve"> </w:t>
                  </w:r>
                  <w:r>
                    <w:rPr>
                      <w:szCs w:val="24"/>
                      <w:lang w:eastAsia="lt-LT"/>
                    </w:rPr>
                    <w:t xml:space="preserve">įrašęs pareigūną ar kursantą į Sąrašą RIS, </w:t>
                  </w:r>
                  <w:r>
                    <w:t xml:space="preserve">informavęs pareigūną ar kursantą apie atitinkamo </w:t>
                  </w:r>
                  <w:r>
                    <w:rPr>
                      <w:szCs w:val="24"/>
                    </w:rPr>
                    <w:t xml:space="preserve">asmens sveikatos priežiūros paslaugų </w:t>
                  </w:r>
                  <w:r>
                    <w:t xml:space="preserve">profilio paslaugas teikiančias Reabilitacijos įstaigas </w:t>
                  </w:r>
                  <w:r>
                    <w:rPr>
                      <w:szCs w:val="24"/>
                      <w:lang w:eastAsia="lt-LT"/>
                    </w:rPr>
                    <w:t>ir suformavęs Siuntimą, prie jo pridėjęs</w:t>
                  </w:r>
                  <w:r>
                    <w:rPr>
                      <w:szCs w:val="24"/>
                    </w:rPr>
                    <w:t xml:space="preserve"> pareigūno ar kursanto pateiktą </w:t>
                  </w:r>
                  <w:r>
                    <w:rPr>
                      <w:szCs w:val="24"/>
                      <w:lang w:eastAsia="lt-LT"/>
                    </w:rPr>
                    <w:t>aprašo 23 punkte nurodytos rekomendacijos skenuotą kopiją (jei rekomendacija buvo surašyta).</w:t>
                  </w:r>
                </w:p>
              </w:sdtContent>
            </w:sdt>
            <w:sdt>
              <w:sdtPr>
                <w:alias w:val="25 p."/>
                <w:tag w:val="part_aa91c03d8a704d6894decd7790b85ba8"/>
                <w:lock w:val="sdtLocked"/>
                <w:richText/>
              </w:sdtPr>
              <w:sdtContent>
                <w:p>
                  <w:pPr>
                    <w:ind w:firstLine="709"/>
                    <w:jc w:val="both"/>
                    <w:rPr>
                      <w:szCs w:val="24"/>
                      <w:lang w:eastAsia="lt-LT"/>
                    </w:rPr>
                  </w:pPr>
                  <w:sdt>
                    <w:sdtPr>
                      <w:alias w:val="Numeris"/>
                      <w:tag w:val="nr_aa91c03d8a704d6894decd7790b85ba8"/>
                      <w:lock w:val="sdtLocked"/>
                      <w:richText/>
                    </w:sdtPr>
                    <w:sdtContent>
                      <w:r>
                        <w:rPr>
                          <w:szCs w:val="24"/>
                          <w:lang w:eastAsia="lt-LT"/>
                        </w:rPr>
                        <w:t>25</w:t>
                      </w:r>
                    </w:sdtContent>
                  </w:sdt>
                  <w:r>
                    <w:rPr>
                      <w:szCs w:val="24"/>
                      <w:lang w:eastAsia="lt-LT"/>
                    </w:rPr>
                    <w:t xml:space="preserve">. Pareigūnas ir kursantas postvencinei medicininei psichologinei reabilitacijai dėl aprašo priedo V skyriaus </w:t>
                  </w:r>
                  <w:r>
                    <w:rPr>
                      <w:szCs w:val="24"/>
                    </w:rPr>
                    <w:t xml:space="preserve">1, 7, 8 </w:t>
                  </w:r>
                  <w:r>
                    <w:rPr>
                      <w:szCs w:val="24"/>
                      <w:lang w:eastAsia="lt-LT"/>
                    </w:rPr>
                    <w:t>punktuose ir 6.1–6.5 papunkčiuose</w:t>
                  </w:r>
                  <w:r>
                    <w:rPr>
                      <w:szCs w:val="24"/>
                    </w:rPr>
                    <w:t xml:space="preserve"> </w:t>
                  </w:r>
                  <w:r>
                    <w:rPr>
                      <w:szCs w:val="24"/>
                      <w:lang w:eastAsia="lt-LT"/>
                    </w:rPr>
                    <w:t xml:space="preserve">nurodytų indikacijų į Reabilitacijos įstaigas siunčiamas nedelsiant. Pareigūnas ir kursantas turi užsiregistruoti medicininei psichologinei reabilitacijai konkrečioje Reabilitacijos įstaigoje, teikiančioje atitinkamo </w:t>
                  </w:r>
                  <w:r>
                    <w:rPr>
                      <w:szCs w:val="24"/>
                    </w:rPr>
                    <w:t xml:space="preserve">asmens sveikatos priežiūros paslaugų </w:t>
                  </w:r>
                  <w:r>
                    <w:rPr>
                      <w:szCs w:val="24"/>
                      <w:lang w:eastAsia="lt-LT"/>
                    </w:rPr>
                    <w:t>profilio paslaugas.</w:t>
                  </w:r>
                </w:p>
              </w:sdtContent>
            </w:sdt>
            <w:sdt>
              <w:sdtPr>
                <w:alias w:val="26 p."/>
                <w:tag w:val="part_bc26c9b501a74de2b0197a55c21d64b6"/>
                <w:lock w:val="sdtLocked"/>
                <w:richText/>
              </w:sdtPr>
              <w:sdtContent>
                <w:p>
                  <w:pPr>
                    <w:ind w:firstLine="709"/>
                    <w:jc w:val="both"/>
                    <w:rPr>
                      <w:szCs w:val="24"/>
                    </w:rPr>
                  </w:pPr>
                  <w:sdt>
                    <w:sdtPr>
                      <w:alias w:val="Numeris"/>
                      <w:tag w:val="nr_bc26c9b501a74de2b0197a55c21d64b6"/>
                      <w:lock w:val="sdtLocked"/>
                      <w:richText/>
                    </w:sdtPr>
                    <w:sdtContent>
                      <w:r>
                        <w:rPr>
                          <w:szCs w:val="24"/>
                          <w:lang w:eastAsia="lt-LT"/>
                        </w:rPr>
                        <w:t>26</w:t>
                      </w:r>
                    </w:sdtContent>
                  </w:sdt>
                  <w:r>
                    <w:rPr>
                      <w:szCs w:val="24"/>
                      <w:lang w:eastAsia="lt-LT"/>
                    </w:rPr>
                    <w:t xml:space="preserve">. Pareigūnui, kuriam yra būtina postvencinė medicininė psichologinė reabilitacija dėl aprašo priedo V skyriaus 1, 7, 8 punktuose ir 6.1–6.5 papunkčiuose nurodytų indikacijų, kai dėl jų nėra pagrindo jam duoti elektroninį pažymėjimą postvencinei medicininei psichologinei reabilitacijai, gali būti suteikiamos Vidaus tarnybos statuto 53 straipsnio 1 dalyje numatytos atostogos arba </w:t>
                  </w:r>
                  <w:r>
                    <w:rPr>
                      <w:szCs w:val="24"/>
                    </w:rPr>
                    <w:t>į Reabilitacijos įstaigą pareigūnas vyksta laisvu nuo tarnybinių pareigų vykdymo metu.</w:t>
                  </w:r>
                </w:p>
              </w:sdtContent>
            </w:sdt>
            <w:sdt>
              <w:sdtPr>
                <w:alias w:val="27 p."/>
                <w:tag w:val="part_ee153ad972524657bfe4c073cd515719"/>
                <w:lock w:val="sdtLocked"/>
                <w:richText/>
              </w:sdtPr>
              <w:sdtContent>
                <w:p>
                  <w:pPr>
                    <w:tabs>
                      <w:tab w:val="left" w:pos="0"/>
                      <w:tab w:val="left" w:pos="993"/>
                      <w:tab w:val="left" w:pos="1560"/>
                    </w:tabs>
                    <w:ind w:firstLine="709"/>
                    <w:jc w:val="both"/>
                    <w:rPr>
                      <w:szCs w:val="24"/>
                    </w:rPr>
                  </w:pPr>
                  <w:sdt>
                    <w:sdtPr>
                      <w:alias w:val="Numeris"/>
                      <w:tag w:val="nr_ee153ad972524657bfe4c073cd515719"/>
                      <w:lock w:val="sdtLocked"/>
                      <w:richText/>
                    </w:sdtPr>
                    <w:sdtContent>
                      <w:r>
                        <w:rPr>
                          <w:szCs w:val="24"/>
                          <w:lang w:eastAsia="lt-LT"/>
                        </w:rPr>
                        <w:t>27</w:t>
                      </w:r>
                    </w:sdtContent>
                  </w:sdt>
                  <w:r>
                    <w:rPr>
                      <w:szCs w:val="24"/>
                      <w:lang w:eastAsia="lt-LT"/>
                    </w:rPr>
                    <w:t xml:space="preserve">. </w:t>
                  </w:r>
                  <w:r>
                    <w:rPr>
                      <w:szCs w:val="24"/>
                    </w:rPr>
                    <w:t>Užbaigus postvencinės medicininės psichologinės reabilitacijos kursą, Reabilitacijos įstaiga pareigūnui ar kursantui išduoda ligos istorijos išrašą, kurį pareigūnas ar kursantas pateikia Medicinos centrui.</w:t>
                  </w:r>
                </w:p>
                <w:p>
                  <w:pPr>
                    <w:rPr>
                      <w:szCs w:val="24"/>
                    </w:rPr>
                  </w:pPr>
                </w:p>
              </w:sdtContent>
            </w:sdt>
          </w:sdtContent>
        </w:sdt>
        <w:sdt>
          <w:sdtPr>
            <w:alias w:val="skyrius"/>
            <w:tag w:val="part_2ae3559ca527496195af5822630575b0"/>
            <w:lock w:val="sdtLocked"/>
            <w:richText/>
          </w:sdtPr>
          <w:sdtContent>
            <w:p>
              <w:pPr>
                <w:tabs>
                  <w:tab w:val="left" w:pos="993"/>
                </w:tabs>
                <w:jc w:val="center"/>
                <w:rPr>
                  <w:b/>
                  <w:szCs w:val="24"/>
                </w:rPr>
              </w:pPr>
              <w:sdt>
                <w:sdtPr>
                  <w:alias w:val="Numeris"/>
                  <w:tag w:val="nr_2ae3559ca527496195af5822630575b0"/>
                  <w:lock w:val="sdtLocked"/>
                  <w:richText/>
                </w:sdtPr>
                <w:sdtContent>
                  <w:r>
                    <w:rPr>
                      <w:b/>
                      <w:szCs w:val="24"/>
                    </w:rPr>
                    <w:t>VI</w:t>
                  </w:r>
                </w:sdtContent>
              </w:sdt>
              <w:r>
                <w:rPr>
                  <w:b/>
                  <w:szCs w:val="24"/>
                </w:rPr>
                <w:t xml:space="preserve"> SKYRIUS</w:t>
              </w:r>
            </w:p>
            <w:p>
              <w:pPr>
                <w:tabs>
                  <w:tab w:val="left" w:pos="993"/>
                </w:tabs>
                <w:jc w:val="center"/>
                <w:rPr>
                  <w:b/>
                  <w:szCs w:val="24"/>
                </w:rPr>
              </w:pPr>
              <w:sdt>
                <w:sdtPr>
                  <w:alias w:val="Pavadinimas"/>
                  <w:tag w:val="title_2ae3559ca527496195af5822630575b0"/>
                  <w:lock w:val="sdtLocked"/>
                  <w:richText/>
                </w:sdtPr>
                <w:sdtContent>
                  <w:r>
                    <w:rPr>
                      <w:b/>
                      <w:szCs w:val="24"/>
                    </w:rPr>
                    <w:t>NEAPMOKAMŲ IŠ PSDF BIUDŽETO PASLAUGŲ IR APMOKAMOS IŠ DALIES IŠ PSDF BIUDŽETO MEDICININĖS REABILITACIJOS APMOKĖJIMAS IŠ VALSTYBĖS BIUDŽETO</w:t>
                  </w:r>
                </w:sdtContent>
              </w:sdt>
            </w:p>
            <w:p>
              <w:pPr>
                <w:tabs>
                  <w:tab w:val="left" w:pos="993"/>
                </w:tabs>
                <w:jc w:val="center"/>
                <w:rPr>
                  <w:b/>
                  <w:szCs w:val="24"/>
                </w:rPr>
              </w:pPr>
            </w:p>
            <w:sdt>
              <w:sdtPr>
                <w:alias w:val="28 p."/>
                <w:tag w:val="part_cb9de315eae9421cbbd2af142655d30a"/>
                <w:lock w:val="sdtLocked"/>
                <w:richText/>
              </w:sdtPr>
              <w:sdtContent>
                <w:p>
                  <w:pPr>
                    <w:ind w:firstLine="709"/>
                    <w:jc w:val="both"/>
                    <w:rPr>
                      <w:szCs w:val="24"/>
                      <w:lang w:eastAsia="lt-LT"/>
                    </w:rPr>
                  </w:pPr>
                  <w:sdt>
                    <w:sdtPr>
                      <w:alias w:val="Numeris"/>
                      <w:tag w:val="nr_cb9de315eae9421cbbd2af142655d30a"/>
                      <w:lock w:val="sdtLocked"/>
                      <w:richText/>
                    </w:sdtPr>
                    <w:sdtContent>
                      <w:r>
                        <w:rPr>
                          <w:szCs w:val="24"/>
                        </w:rPr>
                        <w:t>28</w:t>
                      </w:r>
                    </w:sdtContent>
                  </w:sdt>
                  <w:r>
                    <w:rPr>
                      <w:szCs w:val="24"/>
                    </w:rPr>
                    <w:t xml:space="preserve">. Aprašo priede nurodytos apimties neapmokamos iš PSDF biudžeto paslaugos Reabilitacijos įstaigose apmokamos iš VRM atitinkamai programai skirtų valstybės biudžeto lėšų, o kai šių lėšų nepakanka arba </w:t>
                  </w:r>
                  <w:r>
                    <w:t xml:space="preserve">VRM apmokamose reabilitacijos įstaigose nėra pacientui reikalingo asmens </w:t>
                  </w:r>
                  <w:r>
                    <w:rPr>
                      <w:szCs w:val="24"/>
                    </w:rPr>
                    <w:t xml:space="preserve">sveikatos priežiūros paslaugų </w:t>
                  </w:r>
                  <w:r>
                    <w:t>profilio</w:t>
                  </w:r>
                  <w:r>
                    <w:rPr>
                      <w:szCs w:val="24"/>
                    </w:rPr>
                    <w:t xml:space="preserve"> ir kai Vadovybės apsaugos tarnyba, Finansų ministerija, Teisingumo ministerija ar centrinė statutinė įstaiga sudaro sutartis su kitomis reabilitacijos įstaigomis dėl apraše nurodytų paslaugų teikimo, </w:t>
                  </w:r>
                  <w:r>
                    <w:rPr>
                      <w:szCs w:val="24"/>
                      <w:lang w:eastAsia="lt-LT"/>
                    </w:rPr>
                    <w:t>šios paslaugos apmokamos iš atitinkamai Vadovybės apsaugos tarnybai, Finansų ministerijai, Teisingumo ministerijai ar centrinei statutinei įstaigai skirtų valstybės biudžeto lėšų</w:t>
                  </w:r>
                  <w:r>
                    <w:rPr>
                      <w:szCs w:val="24"/>
                    </w:rPr>
                    <w:t>.</w:t>
                  </w:r>
                </w:p>
              </w:sdtContent>
            </w:sdt>
            <w:sdt>
              <w:sdtPr>
                <w:alias w:val="29 p."/>
                <w:tag w:val="part_dadb6a79846c4cc09c06f6ca2450a8d4"/>
                <w:lock w:val="sdtLocked"/>
                <w:richText/>
              </w:sdtPr>
              <w:sdtContent>
                <w:p>
                  <w:pPr>
                    <w:tabs>
                      <w:tab w:val="left" w:pos="993"/>
                    </w:tabs>
                    <w:ind w:firstLine="709"/>
                    <w:jc w:val="both"/>
                    <w:rPr>
                      <w:szCs w:val="24"/>
                      <w:lang w:eastAsia="lt-LT"/>
                    </w:rPr>
                  </w:pPr>
                  <w:sdt>
                    <w:sdtPr>
                      <w:alias w:val="Numeris"/>
                      <w:tag w:val="nr_dadb6a79846c4cc09c06f6ca2450a8d4"/>
                      <w:lock w:val="sdtLocked"/>
                      <w:richText/>
                    </w:sdtPr>
                    <w:sdtContent>
                      <w:r>
                        <w:rPr>
                          <w:szCs w:val="24"/>
                          <w:lang w:eastAsia="lt-LT"/>
                        </w:rPr>
                        <w:t>29</w:t>
                      </w:r>
                    </w:sdtContent>
                  </w:sdt>
                  <w:r>
                    <w:rPr>
                      <w:szCs w:val="24"/>
                      <w:lang w:eastAsia="lt-LT"/>
                    </w:rPr>
                    <w:t xml:space="preserve">. Iš VRM atitinkamai programai skirtų valstybės biudžeto lėšų ar aprašo 28 punkte nurodytais atvejais </w:t>
                  </w:r>
                  <w:r>
                    <w:t>iš Vadovybės apsaugos tarnybai, Finansų ministerijai, Teisingumo ministerijai ar centrinei statutinei įstaigai skirtų valstybės biudžeto lėšų</w:t>
                  </w:r>
                  <w:r>
                    <w:rPr>
                      <w:szCs w:val="24"/>
                      <w:lang w:eastAsia="lt-LT"/>
                    </w:rPr>
                    <w:t xml:space="preserve"> apmokamos paciento faktiškai gautos medicininės reabilitacijos, sveikatos grąžinamojo gydymo, antirecidyvinio gydymo, prevencinės, postvencinės medicininės psichologinės reabilitacijos paslaugos Reabilitacijos įstaigose, bet už ne ilgesnį laiką kaip aprašo priede nustatytą maksimalų laiką.</w:t>
                  </w:r>
                </w:p>
              </w:sdtContent>
            </w:sdt>
            <w:sdt>
              <w:sdtPr>
                <w:alias w:val="30 p."/>
                <w:tag w:val="part_4e2e97a8f26347fc923b98c8d0e839c2"/>
                <w:lock w:val="sdtLocked"/>
                <w:richText/>
              </w:sdtPr>
              <w:sdtContent>
                <w:p>
                  <w:pPr>
                    <w:tabs>
                      <w:tab w:val="left" w:pos="993"/>
                    </w:tabs>
                    <w:ind w:firstLine="709"/>
                    <w:jc w:val="both"/>
                    <w:rPr>
                      <w:szCs w:val="24"/>
                      <w:lang w:eastAsia="lt-LT"/>
                    </w:rPr>
                  </w:pPr>
                  <w:sdt>
                    <w:sdtPr>
                      <w:alias w:val="Numeris"/>
                      <w:tag w:val="nr_4e2e97a8f26347fc923b98c8d0e839c2"/>
                      <w:lock w:val="sdtLocked"/>
                      <w:richText/>
                    </w:sdtPr>
                    <w:sdtContent>
                      <w:r>
                        <w:rPr>
                          <w:szCs w:val="24"/>
                          <w:lang w:eastAsia="lt-LT"/>
                        </w:rPr>
                        <w:t>30</w:t>
                      </w:r>
                    </w:sdtContent>
                  </w:sdt>
                  <w:r>
                    <w:rPr>
                      <w:szCs w:val="24"/>
                      <w:lang w:eastAsia="lt-LT"/>
                    </w:rPr>
                    <w:t xml:space="preserve">. Apmokama iš dalies iš PSDF biudžeto medicininė reabilitacija apmokama asmens sveikatos priežiūros įstaigai, suteikusiai medicininės reabilitacijos paslaugas pareigūnui ar kursantui, iš tuo tikslu Medicinos centrui skirtų valstybės biudžeto lėšų. Medicinos centras asmens sveikatos priežiūros įstaigos išlaidas apmoka gavęs aprašo 18 punkte nurodytus dokumentus ir įsitikinęs, kad pareigūno sveikatos sutrikdymas yra susijęs su tarnybinių pareigų vykdymu, o kursanto – su jo pasitelkimu </w:t>
                  </w:r>
                  <w:r>
                    <w:rPr>
                      <w:szCs w:val="24"/>
                    </w:rPr>
                    <w:t>statutinių įstaigų veiklą reglamentuojančiuose įstatymuose nustatytoms funkcijoms atlikti</w:t>
                  </w:r>
                  <w:r>
                    <w:rPr>
                      <w:szCs w:val="24"/>
                      <w:lang w:eastAsia="lt-LT"/>
                    </w:rPr>
                    <w:t>.</w:t>
                  </w:r>
                </w:p>
                <w:p>
                  <w:pPr>
                    <w:jc w:val="center"/>
                    <w:rPr>
                      <w:b/>
                      <w:szCs w:val="24"/>
                    </w:rPr>
                  </w:pPr>
                </w:p>
              </w:sdtContent>
            </w:sdt>
          </w:sdtContent>
        </w:sdt>
        <w:sdt>
          <w:sdtPr>
            <w:alias w:val="skyrius"/>
            <w:tag w:val="part_b3169f7402234d218533667e6cab30a8"/>
            <w:lock w:val="sdtLocked"/>
            <w:richText/>
          </w:sdtPr>
          <w:sdtContent>
            <w:p>
              <w:pPr>
                <w:jc w:val="center"/>
                <w:rPr>
                  <w:b/>
                  <w:szCs w:val="24"/>
                </w:rPr>
              </w:pPr>
              <w:sdt>
                <w:sdtPr>
                  <w:alias w:val="Numeris"/>
                  <w:tag w:val="nr_b3169f7402234d218533667e6cab30a8"/>
                  <w:lock w:val="sdtLocked"/>
                  <w:richText/>
                </w:sdtPr>
                <w:sdtContent>
                  <w:r>
                    <w:rPr>
                      <w:b/>
                      <w:szCs w:val="24"/>
                    </w:rPr>
                    <w:t>VII</w:t>
                  </w:r>
                </w:sdtContent>
              </w:sdt>
              <w:r>
                <w:rPr>
                  <w:b/>
                  <w:szCs w:val="24"/>
                </w:rPr>
                <w:t xml:space="preserve"> SKYRIUS</w:t>
              </w:r>
            </w:p>
            <w:p>
              <w:pPr>
                <w:tabs>
                  <w:tab w:val="left" w:pos="993"/>
                </w:tabs>
                <w:jc w:val="center"/>
                <w:rPr>
                  <w:b/>
                  <w:szCs w:val="24"/>
                </w:rPr>
              </w:pPr>
              <w:sdt>
                <w:sdtPr>
                  <w:alias w:val="Pavadinimas"/>
                  <w:tag w:val="title_b3169f7402234d218533667e6cab30a8"/>
                  <w:lock w:val="sdtLocked"/>
                  <w:richText/>
                </w:sdtPr>
                <w:sdtContent>
                  <w:r>
                    <w:rPr>
                      <w:b/>
                      <w:szCs w:val="24"/>
                    </w:rPr>
                    <w:t>BAIGIAMOSIOS NUOSTATOS</w:t>
                  </w:r>
                </w:sdtContent>
              </w:sdt>
            </w:p>
            <w:p>
              <w:pPr>
                <w:rPr>
                  <w:szCs w:val="24"/>
                </w:rPr>
              </w:pPr>
            </w:p>
            <w:sdt>
              <w:sdtPr>
                <w:alias w:val="31 p."/>
                <w:tag w:val="part_d026a8da840040c9902ca28a75c3f70c"/>
                <w:lock w:val="sdtLocked"/>
                <w:richText/>
              </w:sdtPr>
              <w:sdtContent>
                <w:p>
                  <w:pPr>
                    <w:ind w:firstLine="709"/>
                    <w:jc w:val="both"/>
                    <w:rPr>
                      <w:szCs w:val="24"/>
                      <w:lang w:eastAsia="lt-LT"/>
                    </w:rPr>
                  </w:pPr>
                  <w:sdt>
                    <w:sdtPr>
                      <w:alias w:val="Numeris"/>
                      <w:tag w:val="nr_d026a8da840040c9902ca28a75c3f70c"/>
                      <w:lock w:val="sdtLocked"/>
                      <w:richText/>
                    </w:sdtPr>
                    <w:sdtContent>
                      <w:r>
                        <w:rPr>
                          <w:szCs w:val="24"/>
                          <w:lang w:eastAsia="lt-LT"/>
                        </w:rPr>
                        <w:t>31</w:t>
                      </w:r>
                    </w:sdtContent>
                  </w:sdt>
                  <w:r>
                    <w:rPr>
                      <w:szCs w:val="24"/>
                      <w:lang w:eastAsia="lt-LT"/>
                    </w:rPr>
                    <w:t>. Pacientas privalo laikytis Reabilitacijos įstaigos vadovo nustatytų vidaus tvarkos taisyklių (toliau – Vidaus tvarkos taisyklės). Vidaus tvarkos taisykles pažeidusiam pacientui medicininės reabilitacijos, sveikatos grąžinamojo gydymo, antirecidyvinio gydymo, prevencinės, postvencinės medicininės psichologinės reabilitacijos kursas gali būti nutrauktas. Apie pareigūną ar kursantą, kuris pažeidžia Vidaus tvarkos taisykles, Reabilitacijos įstaigos vadovas ar jo įgaliotas asmuo raštu informuoja įstaigos, kurioje pareigūnas eina pareigas ar kursantas mokosi, vadovą.</w:t>
                  </w:r>
                </w:p>
              </w:sdtContent>
            </w:sdt>
            <w:sdt>
              <w:sdtPr>
                <w:alias w:val="32 p."/>
                <w:tag w:val="part_a84767636aff430683baf61859c678eb"/>
                <w:lock w:val="sdtLocked"/>
                <w:richText/>
              </w:sdtPr>
              <w:sdtContent>
                <w:p>
                  <w:pPr>
                    <w:tabs>
                      <w:tab w:val="left" w:pos="993"/>
                    </w:tabs>
                    <w:ind w:firstLine="771"/>
                    <w:jc w:val="both"/>
                    <w:rPr>
                      <w:szCs w:val="24"/>
                    </w:rPr>
                  </w:pPr>
                  <w:sdt>
                    <w:sdtPr>
                      <w:alias w:val="Numeris"/>
                      <w:tag w:val="nr_a84767636aff430683baf61859c678eb"/>
                      <w:lock w:val="sdtLocked"/>
                      <w:richText/>
                    </w:sdtPr>
                    <w:sdtContent>
                      <w:r>
                        <w:rPr>
                          <w:szCs w:val="24"/>
                          <w:lang w:eastAsia="lt-LT"/>
                        </w:rPr>
                        <w:t>32</w:t>
                      </w:r>
                    </w:sdtContent>
                  </w:sdt>
                  <w:r>
                    <w:rPr>
                      <w:szCs w:val="24"/>
                      <w:lang w:eastAsia="lt-LT"/>
                    </w:rPr>
                    <w:t xml:space="preserve">. Įstaigos vadovas užtikrina pareigūnų ir kursantų konsultavimą įstaigoje medicininės reabilitacijos, sveikatos grąžinamojo, antirecidyvinio gydymo, prevencinės, postvencinės medicininės psichologinės reabilitacijos organizavimo klausimais ir, esant aprašo priedo V skyriuje nurodytoms indikacijoms, </w:t>
                  </w:r>
                  <w:r>
                    <w:rPr>
                      <w:szCs w:val="24"/>
                    </w:rPr>
                    <w:t xml:space="preserve">siuntimą į Medicinos centrą dėl </w:t>
                  </w:r>
                  <w:r>
                    <w:rPr>
                      <w:szCs w:val="24"/>
                      <w:lang w:eastAsia="lt-LT"/>
                    </w:rPr>
                    <w:t>prevencinės, postvencinės medicininės psichologinės reabilitacijos.</w:t>
                  </w:r>
                </w:p>
              </w:sdtContent>
            </w:sdt>
            <w:sdt>
              <w:sdtPr>
                <w:alias w:val="33 p."/>
                <w:tag w:val="part_7650cb2f67e44a5e903bdb7d6b6bc9c7"/>
                <w:lock w:val="sdtLocked"/>
                <w:richText/>
              </w:sdtPr>
              <w:sdtContent>
                <w:p>
                  <w:pPr>
                    <w:ind w:firstLine="771"/>
                    <w:jc w:val="both"/>
                    <w:rPr>
                      <w:szCs w:val="24"/>
                      <w:lang w:eastAsia="lt-LT"/>
                    </w:rPr>
                  </w:pPr>
                  <w:sdt>
                    <w:sdtPr>
                      <w:alias w:val="Numeris"/>
                      <w:tag w:val="nr_7650cb2f67e44a5e903bdb7d6b6bc9c7"/>
                      <w:lock w:val="sdtLocked"/>
                      <w:richText/>
                    </w:sdtPr>
                    <w:sdtContent>
                      <w:r>
                        <w:rPr>
                          <w:szCs w:val="24"/>
                          <w:lang w:eastAsia="lt-LT"/>
                        </w:rPr>
                        <w:t>33</w:t>
                      </w:r>
                    </w:sdtContent>
                  </w:sdt>
                  <w:r>
                    <w:rPr>
                      <w:szCs w:val="24"/>
                      <w:lang w:eastAsia="lt-LT"/>
                    </w:rPr>
                    <w:t>. Atsisakyti prevencinės ir postvencinės medicininės psichologinės reabilitacijos dėl aprašo priedo V skyriaus 1, 7, 8 punktuose ir 6.1–6.10 papunkčiuose nurodytų indikacijų pareigūnas ir kursantas turi teisę rašytiniu prašymu, adresuotu įstaigos, kurioje pareigūnas eina pareigas ar kursantas mokosi, vadovui. Šiame punkte nurodytas prašymas įdedamas į pareigūno tarnybos bylą ar kursanto bylą.</w:t>
                  </w:r>
                </w:p>
              </w:sdtContent>
            </w:sdt>
            <w:sdt>
              <w:sdtPr>
                <w:alias w:val="34 p."/>
                <w:tag w:val="part_65cbc20332fe4239922d15cd7b1ca0dc"/>
                <w:lock w:val="sdtLocked"/>
                <w:richText/>
              </w:sdtPr>
              <w:sdtContent>
                <w:p>
                  <w:pPr>
                    <w:ind w:firstLine="709"/>
                    <w:jc w:val="both"/>
                    <w:rPr>
                      <w:szCs w:val="24"/>
                    </w:rPr>
                  </w:pPr>
                  <w:sdt>
                    <w:sdtPr>
                      <w:alias w:val="Numeris"/>
                      <w:tag w:val="nr_65cbc20332fe4239922d15cd7b1ca0dc"/>
                      <w:lock w:val="sdtLocked"/>
                      <w:richText/>
                    </w:sdtPr>
                    <w:sdtContent>
                      <w:r>
                        <w:rPr>
                          <w:szCs w:val="24"/>
                          <w:lang w:eastAsia="lt-LT"/>
                        </w:rPr>
                        <w:t>34</w:t>
                      </w:r>
                    </w:sdtContent>
                  </w:sdt>
                  <w:r>
                    <w:rPr>
                      <w:szCs w:val="24"/>
                      <w:lang w:eastAsia="lt-LT"/>
                    </w:rPr>
                    <w:t>. B</w:t>
                  </w:r>
                  <w:r>
                    <w:rPr>
                      <w:szCs w:val="24"/>
                    </w:rPr>
                    <w:t>uvusiems pareigūnams, dalyvaujantiems įgyvendinant pareigūnų ir karių, išleidžiamų į pensiją, integracijos į darbo rinką ir medicininės reabilitacijos priemonių sistemos priemones, medicininė reabilitacija teikiama vadovaujantis Pareigūnų ir karių, išleidžiamų į pensiją, integracijos į darbo rinką ir medicininės reabilitacijos priemonių sistemos įgyvendinimo tvarkos apraše, patvirtintame Lietuvos Respublikos Vyriausybės 2016 m. liepos 11 d. nutarimu Nr. 730 „Dėl Pareigūnų ir karių, išleidžiamų į pensiją, integracijos į darbo rinką ir medicininės reabilitacijos priemonių sistemos įgyvendinimo tvarkos aprašo patvirtinimo ir įgaliojimų suteikimo įgyvendinant Lietuvos Respublikos pareigūnų ir karių valstybinių pensijų įstatymo 15</w:t>
                  </w:r>
                  <w:r>
                    <w:rPr>
                      <w:szCs w:val="24"/>
                      <w:vertAlign w:val="superscript"/>
                    </w:rPr>
                    <w:t>2</w:t>
                  </w:r>
                  <w:r>
                    <w:rPr>
                      <w:szCs w:val="24"/>
                    </w:rPr>
                    <w:t xml:space="preserve"> straipsnio 2 dalį“, nustatyta tvarka.</w:t>
                  </w:r>
                </w:p>
              </w:sdtContent>
            </w:sdt>
            <w:sdt>
              <w:sdtPr>
                <w:alias w:val="35 p."/>
                <w:tag w:val="part_83aedfdd41284fe1bff8552d2c40d53f"/>
                <w:lock w:val="sdtLocked"/>
                <w:richText/>
              </w:sdtPr>
              <w:sdtContent>
                <w:p>
                  <w:pPr>
                    <w:ind w:firstLine="709"/>
                    <w:jc w:val="both"/>
                  </w:pPr>
                  <w:sdt>
                    <w:sdtPr>
                      <w:alias w:val="Numeris"/>
                      <w:tag w:val="nr_83aedfdd41284fe1bff8552d2c40d53f"/>
                      <w:lock w:val="sdtLocked"/>
                      <w:richText/>
                    </w:sdtPr>
                    <w:sdtContent>
                      <w:r>
                        <w:rPr>
                          <w:szCs w:val="24"/>
                        </w:rPr>
                        <w:t>35</w:t>
                      </w:r>
                    </w:sdtContent>
                  </w:sdt>
                  <w:r>
                    <w:rPr>
                      <w:szCs w:val="24"/>
                    </w:rPr>
                    <w:t xml:space="preserve">. </w:t>
                  </w:r>
                  <w:r>
                    <w:rPr>
                      <w:szCs w:val="24"/>
                      <w:lang w:eastAsia="lt-LT"/>
                    </w:rPr>
                    <w:t>Vadovybės apsaugos tarnyba, Finansų ministerija, Teisingumo ministerija ir centrinės statutinės įstaigos informuoja Medicinos centrą apie jų sudarytas sutartis su kitomis reabilitacijos įstaigomis dėl apraše nurodytų paslaugų, apmokamų iš Vadovybės apsaugos tarnybai, Finansų ministerijai, Teisingumo ministerijai ar centrinei statutinei įstaigai skirtų valstybės biudžeto lėšų, teikimo atitinkamos įstaigos pareigūnams ir kursantams.</w:t>
                  </w:r>
                </w:p>
                <w:p>
                  <w:pPr>
                    <w:tabs>
                      <w:tab w:val="left" w:pos="993"/>
                    </w:tabs>
                    <w:ind w:firstLine="709"/>
                    <w:jc w:val="both"/>
                    <w:rPr>
                      <w:b/>
                      <w:szCs w:val="24"/>
                      <w:lang w:eastAsia="lt-LT"/>
                    </w:rPr>
                  </w:pPr>
                </w:p>
              </w:sdtContent>
            </w:sdt>
          </w:sdtContent>
        </w:sdt>
        <w:sdt>
          <w:sdtPr>
            <w:alias w:val="pabaiga"/>
            <w:tag w:val="part_8b3fbf32a97e42d6a0e46230a6f9311d"/>
            <w:lock w:val="sdtLocked"/>
            <w:richText/>
          </w:sdtPr>
          <w:sdtContent>
            <w:p>
              <w:pPr>
                <w:jc w:val="center"/>
              </w:pPr>
              <w:r>
                <w:rPr>
                  <w:szCs w:val="24"/>
                </w:rPr>
                <w:t xml:space="preserve">___________________ </w:t>
              </w:r>
            </w:p>
          </w:sdtContent>
        </w:sdt>
      </w:sdtContent>
    </w:sdt>
    <w:sdt>
      <w:sdtPr>
        <w:alias w:val="pr."/>
        <w:tag w:val="part_7e35e765fb6f49ce8443fc2b7bf5942f"/>
        <w:lock w:val="sdtLocked"/>
        <w:richText/>
      </w:sdtPr>
      <w:sdtContent>
        <w:p>
          <w:pPr>
            <w:ind w:left="4536"/>
            <w:sectPr>
              <w:headerReference w:type="even" r:id="rId26"/>
              <w:headerReference w:type="default" r:id="rId27"/>
              <w:footerReference w:type="even" r:id="rId28"/>
              <w:footerReference w:type="default" r:id="rId29"/>
              <w:headerReference w:type="first" r:id="rId30"/>
              <w:footerReference w:type="first" r:id="rId31"/>
              <w:pgSz w:w="11906" w:h="16838"/>
              <w:pgMar w:top="1135" w:right="567" w:bottom="1134" w:left="1701" w:header="397" w:footer="567" w:gutter="0"/>
              <w:pgNumType w:start="1"/>
              <w:cols w:space="1296"/>
              <w:titlePg/>
              <w:docGrid w:linePitch="360"/>
            </w:sectPr>
          </w:pPr>
        </w:p>
        <w:p>
          <w:pPr>
            <w:ind w:left="4536"/>
            <w:rPr>
              <w:rFonts w:eastAsia="Calibri"/>
              <w:bCs/>
              <w:szCs w:val="24"/>
            </w:rPr>
          </w:pPr>
          <w:r>
            <w:rPr>
              <w:rFonts w:eastAsia="Calibri"/>
              <w:szCs w:val="24"/>
            </w:rPr>
            <w:t xml:space="preserve">Vidaus tarnybos sistemos </w:t>
          </w:r>
          <w:r>
            <w:rPr>
              <w:rFonts w:eastAsia="Calibri"/>
              <w:bCs/>
              <w:szCs w:val="24"/>
            </w:rPr>
            <w:t xml:space="preserve">ir Lietuvos Respublikos </w:t>
          </w:r>
        </w:p>
        <w:p>
          <w:pPr>
            <w:ind w:left="4536"/>
            <w:rPr>
              <w:rFonts w:eastAsia="Calibri"/>
              <w:szCs w:val="24"/>
            </w:rPr>
          </w:pPr>
          <w:r>
            <w:rPr>
              <w:rFonts w:eastAsia="Calibri"/>
              <w:bCs/>
              <w:szCs w:val="24"/>
            </w:rPr>
            <w:t>vadovybės apsaugos tarnybos</w:t>
          </w:r>
          <w:r>
            <w:rPr>
              <w:rFonts w:eastAsia="Calibri"/>
              <w:szCs w:val="24"/>
            </w:rPr>
            <w:t xml:space="preserve"> pareigūnų ir kursantų </w:t>
          </w:r>
        </w:p>
        <w:p>
          <w:pPr>
            <w:ind w:left="4536"/>
            <w:rPr>
              <w:rFonts w:eastAsia="Calibri"/>
              <w:szCs w:val="24"/>
            </w:rPr>
          </w:pPr>
          <w:r>
            <w:rPr>
              <w:rFonts w:eastAsia="Calibri"/>
              <w:szCs w:val="24"/>
            </w:rPr>
            <w:t xml:space="preserve">medicininės reabilitacijos, prevencinės medicininės </w:t>
          </w:r>
        </w:p>
        <w:p>
          <w:pPr>
            <w:ind w:left="4536"/>
            <w:rPr>
              <w:rFonts w:eastAsia="Calibri"/>
              <w:szCs w:val="24"/>
            </w:rPr>
          </w:pPr>
          <w:r>
            <w:rPr>
              <w:rFonts w:eastAsia="Calibri"/>
              <w:szCs w:val="24"/>
            </w:rPr>
            <w:t xml:space="preserve">ir psichologinės reabilitacijos, sveikatos grąžinamojo </w:t>
          </w:r>
        </w:p>
        <w:p>
          <w:pPr>
            <w:ind w:left="4536"/>
            <w:rPr>
              <w:rFonts w:eastAsia="Calibri"/>
              <w:szCs w:val="24"/>
            </w:rPr>
          </w:pPr>
          <w:r>
            <w:rPr>
              <w:rFonts w:eastAsia="Calibri"/>
              <w:szCs w:val="24"/>
            </w:rPr>
            <w:t xml:space="preserve">ir antirecidyvinio gydymo, kai tai iš dalies </w:t>
          </w:r>
        </w:p>
        <w:p>
          <w:pPr>
            <w:ind w:left="4536"/>
            <w:rPr>
              <w:rFonts w:eastAsia="Calibri"/>
              <w:szCs w:val="24"/>
            </w:rPr>
          </w:pPr>
          <w:r>
            <w:rPr>
              <w:rFonts w:eastAsia="Calibri"/>
              <w:szCs w:val="24"/>
            </w:rPr>
            <w:t xml:space="preserve">apmokama arba neapmokama iš Privalomojo </w:t>
          </w:r>
        </w:p>
        <w:p>
          <w:pPr>
            <w:ind w:left="4536"/>
            <w:rPr>
              <w:szCs w:val="24"/>
            </w:rPr>
          </w:pPr>
          <w:r>
            <w:rPr>
              <w:rFonts w:eastAsia="Calibri"/>
              <w:szCs w:val="24"/>
            </w:rPr>
            <w:t xml:space="preserve">sveikatos draudimo fondo biudžeto, tvarkos </w:t>
          </w:r>
          <w:r>
            <w:rPr>
              <w:szCs w:val="24"/>
            </w:rPr>
            <w:t xml:space="preserve">aprašo </w:t>
          </w:r>
        </w:p>
        <w:p>
          <w:pPr>
            <w:ind w:left="4536"/>
            <w:rPr>
              <w:szCs w:val="24"/>
            </w:rPr>
          </w:pPr>
          <w:r>
            <w:rPr>
              <w:szCs w:val="24"/>
            </w:rPr>
            <w:t>priedas</w:t>
          </w:r>
        </w:p>
        <w:p>
          <w:pPr>
            <w:widowControl w:val="0"/>
            <w:ind w:left="40"/>
            <w:jc w:val="center"/>
            <w:rPr>
              <w:szCs w:val="24"/>
            </w:rPr>
          </w:pPr>
        </w:p>
        <w:p>
          <w:pPr>
            <w:widowControl w:val="0"/>
            <w:ind w:left="40"/>
            <w:jc w:val="center"/>
            <w:rPr>
              <w:b/>
              <w:bCs/>
              <w:szCs w:val="24"/>
              <w:lang w:eastAsia="lt-LT"/>
            </w:rPr>
          </w:pPr>
          <w:sdt>
            <w:sdtPr>
              <w:alias w:val="Pavadinimas"/>
              <w:tag w:val="title_7e35e765fb6f49ce8443fc2b7bf5942f"/>
              <w:lock w:val="sdtLocked"/>
              <w:richText/>
            </w:sdtPr>
            <w:sdtContent>
              <w:r>
                <w:rPr>
                  <w:b/>
                  <w:bCs/>
                  <w:szCs w:val="24"/>
                  <w:lang w:eastAsia="lt-LT"/>
                </w:rPr>
                <w:t>STACIONARINĖS MEDICININĖS REABILITACIJOS, PREVENCINĖS IR POSTVENCINĖS MEDICININĖS PSICHOLOGINĖS REABILITACIJOS, SVEIKATOS GRĄŽINAMOJO GYDYMO, ANTIRECIDYVINIO GYDYMO, PASLAUGŲ TEIKIMO REABILITACIJOS ĮSTAIGOSE SĄLYGOS</w:t>
              </w:r>
            </w:sdtContent>
          </w:sdt>
        </w:p>
        <w:p>
          <w:pPr>
            <w:rPr>
              <w:b/>
              <w:bCs/>
              <w:szCs w:val="24"/>
            </w:rPr>
          </w:pPr>
        </w:p>
        <w:sdt>
          <w:sdtPr>
            <w:alias w:val="skyrius"/>
            <w:tag w:val="part_13b8de01ba2f4ae2b45f4b2a123610b2"/>
            <w:lock w:val="sdtLocked"/>
            <w:richText/>
          </w:sdtPr>
          <w:sdtContent>
            <w:p>
              <w:pPr>
                <w:jc w:val="center"/>
                <w:rPr>
                  <w:b/>
                  <w:szCs w:val="24"/>
                </w:rPr>
              </w:pPr>
              <w:sdt>
                <w:sdtPr>
                  <w:alias w:val="Numeris"/>
                  <w:tag w:val="nr_13b8de01ba2f4ae2b45f4b2a123610b2"/>
                  <w:lock w:val="sdtLocked"/>
                  <w:richText/>
                </w:sdtPr>
                <w:sdtContent>
                  <w:r>
                    <w:rPr>
                      <w:b/>
                      <w:szCs w:val="24"/>
                    </w:rPr>
                    <w:t>I</w:t>
                  </w:r>
                </w:sdtContent>
              </w:sdt>
              <w:r>
                <w:rPr>
                  <w:b/>
                  <w:szCs w:val="24"/>
                </w:rPr>
                <w:t xml:space="preserve"> SKYRIUS</w:t>
              </w:r>
            </w:p>
            <w:p>
              <w:pPr>
                <w:widowControl w:val="0"/>
                <w:ind w:left="40"/>
                <w:jc w:val="center"/>
                <w:rPr>
                  <w:b/>
                  <w:bCs/>
                  <w:szCs w:val="24"/>
                  <w:lang w:eastAsia="lt-LT"/>
                </w:rPr>
              </w:pPr>
              <w:sdt>
                <w:sdtPr>
                  <w:alias w:val="Pavadinimas"/>
                  <w:tag w:val="title_13b8de01ba2f4ae2b45f4b2a123610b2"/>
                  <w:lock w:val="sdtLocked"/>
                  <w:richText/>
                </w:sdtPr>
                <w:sdtContent>
                  <w:r>
                    <w:rPr>
                      <w:b/>
                      <w:bCs/>
                      <w:szCs w:val="24"/>
                      <w:lang w:eastAsia="lt-LT"/>
                    </w:rPr>
                    <w:t>STACIONARINĖS MEDICININĖS REABILITACIJOS, SVEIKATOS GRĄŽINAMOJO GYDYMO, ANTIRECIDYVINIO GYDYMO, PREVENCINĖS IR POSTVENCINĖS MEDICININĖS PSICHOLOGINĖS REABILITACIJOS PASLAUGŲ TEIKIMO BENDRIEJI REIKALAVIMAI</w:t>
                  </w:r>
                </w:sdtContent>
              </w:sdt>
            </w:p>
            <w:p>
              <w:pPr>
                <w:rPr>
                  <w:szCs w:val="24"/>
                </w:rPr>
              </w:pPr>
            </w:p>
            <w:sdt>
              <w:sdtPr>
                <w:alias w:val="pr. 1 p."/>
                <w:tag w:val="part_96d8269e76524218b84b0f84f37cd27e"/>
                <w:lock w:val="sdtLocked"/>
                <w:richText/>
              </w:sdtPr>
              <w:sdtContent>
                <w:p>
                  <w:pPr>
                    <w:widowControl w:val="0"/>
                    <w:tabs>
                      <w:tab w:val="left" w:pos="1300"/>
                    </w:tabs>
                    <w:ind w:firstLine="709"/>
                    <w:jc w:val="both"/>
                    <w:rPr>
                      <w:szCs w:val="24"/>
                      <w:lang w:eastAsia="lt-LT"/>
                    </w:rPr>
                  </w:pPr>
                  <w:sdt>
                    <w:sdtPr>
                      <w:alias w:val="Numeris"/>
                      <w:tag w:val="nr_96d8269e76524218b84b0f84f37cd27e"/>
                      <w:lock w:val="sdtLocked"/>
                      <w:richText/>
                    </w:sdtPr>
                    <w:sdtContent>
                      <w:r>
                        <w:rPr>
                          <w:bCs/>
                          <w:szCs w:val="24"/>
                          <w:lang w:eastAsia="lt-LT"/>
                        </w:rPr>
                        <w:t>1</w:t>
                      </w:r>
                    </w:sdtContent>
                  </w:sdt>
                  <w:r>
                    <w:rPr>
                      <w:bCs/>
                      <w:szCs w:val="24"/>
                      <w:lang w:eastAsia="lt-LT"/>
                    </w:rPr>
                    <w:t>. Stacionarinės medicininės r</w:t>
                  </w:r>
                  <w:r>
                    <w:rPr>
                      <w:szCs w:val="24"/>
                      <w:lang w:eastAsia="lt-LT"/>
                    </w:rPr>
                    <w:t xml:space="preserve">eabilitacijos paslaugas teikiančiose sveikatos priežiūros įstaigose, </w:t>
                  </w:r>
                  <w:r>
                    <w:rPr>
                      <w:bCs/>
                      <w:szCs w:val="24"/>
                      <w:lang w:eastAsia="lt-LT"/>
                    </w:rPr>
                    <w:t>kurių savininko teises ir pareigas įgyvendina Lietuvos Respublikos vidaus reikalų ministerija (toliau – VRM), taip pat asmens ir visuomenės sveikatos priežiūros įstaigose, su kuriomis VRM yra sudariusi šiame priede nurodytų paslaugų teikimo sutartis, kai tai apmokama iš VRM atitinkamai programai skirtų valstybės biudžeto lėšų, ir kitose asmens ir visuomenės sveikatos priežiūros įstaigose, su kuriomis Lietuvos Respublikos vadovybės apsaugos tarnyba, Lietuvos Respublikos finansų ministerija, Lietuvos Respublikos teisingumo ministerija ir (ar) centrinė statutinė įstaiga yra sudariusi šiame priede nurodytų paslaugų teikimo sutartis, kai tai apmokama iš Vadovybės apsaugos tarnybai, Finansų ir Teisingumo ministerijoms ar centrinėms statutinėms įstaigoms skirtų valstybės biudžeto lėšų, (toliau kartu – reabilitacijos įstaigos)</w:t>
                  </w:r>
                  <w:r>
                    <w:rPr>
                      <w:szCs w:val="24"/>
                      <w:lang w:eastAsia="lt-LT"/>
                    </w:rPr>
                    <w:t xml:space="preserve"> teikiamos paslaugos:</w:t>
                  </w:r>
                </w:p>
                <w:sdt>
                  <w:sdtPr>
                    <w:alias w:val="pr. 1.1 pp."/>
                    <w:tag w:val="part_860729afea9840fcb3d438dfd1ba1ce3"/>
                    <w:lock w:val="sdtLocked"/>
                    <w:richText/>
                  </w:sdtPr>
                  <w:sdtContent>
                    <w:p>
                      <w:pPr>
                        <w:widowControl w:val="0"/>
                        <w:tabs>
                          <w:tab w:val="left" w:pos="1300"/>
                        </w:tabs>
                        <w:ind w:firstLine="709"/>
                        <w:jc w:val="both"/>
                        <w:rPr>
                          <w:szCs w:val="24"/>
                          <w:lang w:eastAsia="lt-LT"/>
                        </w:rPr>
                      </w:pPr>
                      <w:sdt>
                        <w:sdtPr>
                          <w:alias w:val="Numeris"/>
                          <w:tag w:val="nr_860729afea9840fcb3d438dfd1ba1ce3"/>
                          <w:lock w:val="sdtLocked"/>
                          <w:richText/>
                        </w:sdtPr>
                        <w:sdtContent>
                          <w:r>
                            <w:rPr>
                              <w:szCs w:val="24"/>
                              <w:lang w:eastAsia="lt-LT"/>
                            </w:rPr>
                            <w:t>1.1</w:t>
                          </w:r>
                        </w:sdtContent>
                      </w:sdt>
                      <w:r>
                        <w:rPr>
                          <w:szCs w:val="24"/>
                          <w:lang w:eastAsia="lt-LT"/>
                        </w:rPr>
                        <w:t>. visą parą teikiamos paslaugos:</w:t>
                      </w:r>
                    </w:p>
                    <w:sdt>
                      <w:sdtPr>
                        <w:alias w:val="pr. 1.1.1 pp."/>
                        <w:tag w:val="part_3f2dcbf0aa964b7eaa2ffe7149a021e7"/>
                        <w:lock w:val="sdtLocked"/>
                        <w:richText/>
                      </w:sdtPr>
                      <w:sdtContent>
                        <w:p>
                          <w:pPr>
                            <w:widowControl w:val="0"/>
                            <w:tabs>
                              <w:tab w:val="left" w:pos="1418"/>
                            </w:tabs>
                            <w:ind w:firstLine="709"/>
                            <w:jc w:val="both"/>
                            <w:rPr>
                              <w:szCs w:val="24"/>
                              <w:lang w:eastAsia="lt-LT"/>
                            </w:rPr>
                          </w:pPr>
                          <w:sdt>
                            <w:sdtPr>
                              <w:alias w:val="Numeris"/>
                              <w:tag w:val="nr_3f2dcbf0aa964b7eaa2ffe7149a021e7"/>
                              <w:lock w:val="sdtLocked"/>
                              <w:richText/>
                            </w:sdtPr>
                            <w:sdtContent>
                              <w:r>
                                <w:rPr>
                                  <w:szCs w:val="24"/>
                                  <w:lang w:eastAsia="lt-LT"/>
                                </w:rPr>
                                <w:t>1.1.1</w:t>
                              </w:r>
                            </w:sdtContent>
                          </w:sdt>
                          <w:r>
                            <w:rPr>
                              <w:szCs w:val="24"/>
                              <w:lang w:eastAsia="lt-LT"/>
                            </w:rPr>
                            <w:t>. esant indikacijų: bendrosios intensyviosios priežiūros paslaugos, nustatytos Intensyviosios priežiūros asmens sveikatos priežiūros paslaugų teikimo suaugusiesiems reikalavimų apraše, patvirtintame Lietuvos Respublikos sveikatos apsaugos ministro 2002 m. kovo 2 d. įsakymu Nr. V-465 „Dėl Intensyviosios terapijos asmens sveikatos priežiūros paslaugų teikimo suaugusiesiems reikalavimų ir Intensyviosios priežiūros asmens sveikatos priežiūros paslaugų teikimo suaugusiesiems reikalavimų aprašų patvirtinimo“, arba užtikrinamas šių paslaugų teikimas pagal sutartis su kitomis asmens sveikatos priežiūros įstaigomis taip, kad paciento transportavimo laikas būtų ne ilgesnis kaip 60 minučių;</w:t>
                          </w:r>
                        </w:p>
                      </w:sdtContent>
                    </w:sdt>
                    <w:sdt>
                      <w:sdtPr>
                        <w:alias w:val="pr. 1.1.2 pp."/>
                        <w:tag w:val="part_d34048de9a3843c98ca8716a4d51ab05"/>
                        <w:lock w:val="sdtLocked"/>
                        <w:richText/>
                      </w:sdtPr>
                      <w:sdtContent>
                        <w:p>
                          <w:pPr>
                            <w:widowControl w:val="0"/>
                            <w:tabs>
                              <w:tab w:val="left" w:pos="1300"/>
                            </w:tabs>
                            <w:ind w:firstLine="709"/>
                            <w:jc w:val="both"/>
                            <w:rPr>
                              <w:szCs w:val="24"/>
                              <w:lang w:eastAsia="lt-LT"/>
                            </w:rPr>
                          </w:pPr>
                          <w:sdt>
                            <w:sdtPr>
                              <w:alias w:val="Numeris"/>
                              <w:tag w:val="nr_d34048de9a3843c98ca8716a4d51ab05"/>
                              <w:lock w:val="sdtLocked"/>
                              <w:richText/>
                            </w:sdtPr>
                            <w:sdtContent>
                              <w:r>
                                <w:rPr>
                                  <w:szCs w:val="24"/>
                                  <w:lang w:eastAsia="lt-LT"/>
                                </w:rPr>
                                <w:t>1.1.2</w:t>
                              </w:r>
                            </w:sdtContent>
                          </w:sdt>
                          <w:r>
                            <w:rPr>
                              <w:szCs w:val="24"/>
                              <w:lang w:eastAsia="lt-LT"/>
                            </w:rPr>
                            <w:t>. bendrosios praktikos slaugytojo ir gydytojo;</w:t>
                          </w:r>
                        </w:p>
                      </w:sdtContent>
                    </w:sdt>
                  </w:sdtContent>
                </w:sdt>
                <w:sdt>
                  <w:sdtPr>
                    <w:alias w:val="pr. 1.2 pp."/>
                    <w:tag w:val="part_6053fbb5f2574f01b5b6c89975fad08b"/>
                    <w:lock w:val="sdtLocked"/>
                    <w:richText/>
                  </w:sdtPr>
                  <w:sdtContent>
                    <w:p>
                      <w:pPr>
                        <w:widowControl w:val="0"/>
                        <w:tabs>
                          <w:tab w:val="left" w:pos="1300"/>
                        </w:tabs>
                        <w:ind w:firstLine="709"/>
                        <w:jc w:val="both"/>
                        <w:rPr>
                          <w:szCs w:val="24"/>
                          <w:lang w:eastAsia="lt-LT"/>
                        </w:rPr>
                      </w:pPr>
                      <w:sdt>
                        <w:sdtPr>
                          <w:alias w:val="Numeris"/>
                          <w:tag w:val="nr_6053fbb5f2574f01b5b6c89975fad08b"/>
                          <w:lock w:val="sdtLocked"/>
                          <w:richText/>
                        </w:sdtPr>
                        <w:sdtContent>
                          <w:r>
                            <w:rPr>
                              <w:szCs w:val="24"/>
                              <w:lang w:eastAsia="lt-LT"/>
                            </w:rPr>
                            <w:t>1.2</w:t>
                          </w:r>
                        </w:sdtContent>
                      </w:sdt>
                      <w:r>
                        <w:rPr>
                          <w:szCs w:val="24"/>
                          <w:lang w:eastAsia="lt-LT"/>
                        </w:rPr>
                        <w:t>. ne visą parą teikiamos paslaugos:</w:t>
                      </w:r>
                    </w:p>
                    <w:sdt>
                      <w:sdtPr>
                        <w:alias w:val="pr. 1.2.1 pp."/>
                        <w:tag w:val="part_015097115deb41f09e583d1b3a32310d"/>
                        <w:lock w:val="sdtLocked"/>
                        <w:richText/>
                      </w:sdtPr>
                      <w:sdtContent>
                        <w:p>
                          <w:pPr>
                            <w:widowControl w:val="0"/>
                            <w:tabs>
                              <w:tab w:val="left" w:pos="1300"/>
                            </w:tabs>
                            <w:ind w:firstLine="709"/>
                            <w:jc w:val="both"/>
                            <w:rPr>
                              <w:szCs w:val="24"/>
                              <w:lang w:eastAsia="lt-LT"/>
                            </w:rPr>
                          </w:pPr>
                          <w:sdt>
                            <w:sdtPr>
                              <w:alias w:val="Numeris"/>
                              <w:tag w:val="nr_015097115deb41f09e583d1b3a32310d"/>
                              <w:lock w:val="sdtLocked"/>
                              <w:richText/>
                            </w:sdtPr>
                            <w:sdtContent>
                              <w:r>
                                <w:rPr>
                                  <w:szCs w:val="24"/>
                                  <w:lang w:eastAsia="lt-LT"/>
                                </w:rPr>
                                <w:t>1.2.1</w:t>
                              </w:r>
                            </w:sdtContent>
                          </w:sdt>
                          <w:r>
                            <w:rPr>
                              <w:szCs w:val="24"/>
                              <w:lang w:eastAsia="lt-LT"/>
                            </w:rPr>
                            <w:t>. fizinės medicinos ir reabilitacijos gydytojo;</w:t>
                          </w:r>
                        </w:p>
                      </w:sdtContent>
                    </w:sdt>
                    <w:sdt>
                      <w:sdtPr>
                        <w:alias w:val="pr. 1.2.2 pp."/>
                        <w:tag w:val="part_97add5ecb0a9494aa31dceb57a32c7ef"/>
                        <w:lock w:val="sdtLocked"/>
                        <w:richText/>
                      </w:sdtPr>
                      <w:sdtContent>
                        <w:p>
                          <w:pPr>
                            <w:widowControl w:val="0"/>
                            <w:tabs>
                              <w:tab w:val="left" w:pos="1300"/>
                            </w:tabs>
                            <w:ind w:firstLine="709"/>
                            <w:jc w:val="both"/>
                            <w:rPr>
                              <w:szCs w:val="24"/>
                              <w:lang w:eastAsia="lt-LT"/>
                            </w:rPr>
                          </w:pPr>
                          <w:sdt>
                            <w:sdtPr>
                              <w:alias w:val="Numeris"/>
                              <w:tag w:val="nr_97add5ecb0a9494aa31dceb57a32c7ef"/>
                              <w:lock w:val="sdtLocked"/>
                              <w:richText/>
                            </w:sdtPr>
                            <w:sdtContent>
                              <w:r>
                                <w:rPr>
                                  <w:szCs w:val="24"/>
                                  <w:lang w:eastAsia="lt-LT"/>
                                </w:rPr>
                                <w:t>1.2.2</w:t>
                              </w:r>
                            </w:sdtContent>
                          </w:sdt>
                          <w:r>
                            <w:rPr>
                              <w:szCs w:val="24"/>
                              <w:lang w:eastAsia="lt-LT"/>
                            </w:rPr>
                            <w:t>. kineziterapijos;</w:t>
                          </w:r>
                        </w:p>
                      </w:sdtContent>
                    </w:sdt>
                    <w:sdt>
                      <w:sdtPr>
                        <w:alias w:val="pr. 1.2.3 pp."/>
                        <w:tag w:val="part_3c80afb7b32f48db8751d54822c55ed0"/>
                        <w:lock w:val="sdtLocked"/>
                        <w:richText/>
                      </w:sdtPr>
                      <w:sdtContent>
                        <w:p>
                          <w:pPr>
                            <w:widowControl w:val="0"/>
                            <w:tabs>
                              <w:tab w:val="left" w:pos="1300"/>
                            </w:tabs>
                            <w:ind w:firstLine="709"/>
                            <w:jc w:val="both"/>
                            <w:rPr>
                              <w:szCs w:val="24"/>
                              <w:lang w:eastAsia="lt-LT"/>
                            </w:rPr>
                          </w:pPr>
                          <w:sdt>
                            <w:sdtPr>
                              <w:alias w:val="Numeris"/>
                              <w:tag w:val="nr_3c80afb7b32f48db8751d54822c55ed0"/>
                              <w:lock w:val="sdtLocked"/>
                              <w:richText/>
                            </w:sdtPr>
                            <w:sdtContent>
                              <w:r>
                                <w:rPr>
                                  <w:szCs w:val="24"/>
                                  <w:lang w:eastAsia="lt-LT"/>
                                </w:rPr>
                                <w:t>1.2.3</w:t>
                              </w:r>
                            </w:sdtContent>
                          </w:sdt>
                          <w:r>
                            <w:rPr>
                              <w:szCs w:val="24"/>
                              <w:lang w:eastAsia="lt-LT"/>
                            </w:rPr>
                            <w:t>. ergoterapijos;</w:t>
                          </w:r>
                        </w:p>
                      </w:sdtContent>
                    </w:sdt>
                    <w:sdt>
                      <w:sdtPr>
                        <w:alias w:val="pr. 1.2.4 pp."/>
                        <w:tag w:val="part_24d61f917e2c4669b8f8ab56594c2766"/>
                        <w:lock w:val="sdtLocked"/>
                        <w:richText/>
                      </w:sdtPr>
                      <w:sdtContent>
                        <w:p>
                          <w:pPr>
                            <w:widowControl w:val="0"/>
                            <w:tabs>
                              <w:tab w:val="left" w:pos="1300"/>
                            </w:tabs>
                            <w:ind w:firstLine="709"/>
                            <w:jc w:val="both"/>
                            <w:rPr>
                              <w:szCs w:val="24"/>
                              <w:lang w:eastAsia="lt-LT"/>
                            </w:rPr>
                          </w:pPr>
                          <w:sdt>
                            <w:sdtPr>
                              <w:alias w:val="Numeris"/>
                              <w:tag w:val="nr_24d61f917e2c4669b8f8ab56594c2766"/>
                              <w:lock w:val="sdtLocked"/>
                              <w:richText/>
                            </w:sdtPr>
                            <w:sdtContent>
                              <w:r>
                                <w:rPr>
                                  <w:szCs w:val="24"/>
                                  <w:lang w:eastAsia="lt-LT"/>
                                </w:rPr>
                                <w:t>1.2.4</w:t>
                              </w:r>
                            </w:sdtContent>
                          </w:sdt>
                          <w:r>
                            <w:rPr>
                              <w:szCs w:val="24"/>
                              <w:lang w:eastAsia="lt-LT"/>
                            </w:rPr>
                            <w:t>. fizioterapijos;</w:t>
                          </w:r>
                        </w:p>
                      </w:sdtContent>
                    </w:sdt>
                    <w:sdt>
                      <w:sdtPr>
                        <w:alias w:val="pr. 1.2.5 pp."/>
                        <w:tag w:val="part_f77a300664924b90b21ed392514cfd10"/>
                        <w:lock w:val="sdtLocked"/>
                        <w:richText/>
                      </w:sdtPr>
                      <w:sdtContent>
                        <w:p>
                          <w:pPr>
                            <w:widowControl w:val="0"/>
                            <w:tabs>
                              <w:tab w:val="left" w:pos="1300"/>
                            </w:tabs>
                            <w:ind w:firstLine="709"/>
                            <w:jc w:val="both"/>
                            <w:rPr>
                              <w:szCs w:val="24"/>
                              <w:lang w:eastAsia="lt-LT"/>
                            </w:rPr>
                          </w:pPr>
                          <w:sdt>
                            <w:sdtPr>
                              <w:alias w:val="Numeris"/>
                              <w:tag w:val="nr_f77a300664924b90b21ed392514cfd10"/>
                              <w:lock w:val="sdtLocked"/>
                              <w:richText/>
                            </w:sdtPr>
                            <w:sdtContent>
                              <w:r>
                                <w:rPr>
                                  <w:szCs w:val="24"/>
                                  <w:lang w:eastAsia="lt-LT"/>
                                </w:rPr>
                                <w:t>1.2.5</w:t>
                              </w:r>
                            </w:sdtContent>
                          </w:sdt>
                          <w:r>
                            <w:rPr>
                              <w:szCs w:val="24"/>
                              <w:lang w:eastAsia="lt-LT"/>
                            </w:rPr>
                            <w:t>. gydomojo masažo specialisto;</w:t>
                          </w:r>
                        </w:p>
                      </w:sdtContent>
                    </w:sdt>
                    <w:sdt>
                      <w:sdtPr>
                        <w:alias w:val="pr. 1.2.6 pp."/>
                        <w:tag w:val="part_101870b9b7ef4a0fbc1c9d5c1b035ed4"/>
                        <w:lock w:val="sdtLocked"/>
                        <w:richText/>
                      </w:sdtPr>
                      <w:sdtContent>
                        <w:p>
                          <w:pPr>
                            <w:widowControl w:val="0"/>
                            <w:tabs>
                              <w:tab w:val="left" w:pos="1300"/>
                            </w:tabs>
                            <w:ind w:firstLine="709"/>
                            <w:jc w:val="both"/>
                            <w:rPr>
                              <w:szCs w:val="24"/>
                              <w:lang w:eastAsia="lt-LT"/>
                            </w:rPr>
                          </w:pPr>
                          <w:sdt>
                            <w:sdtPr>
                              <w:alias w:val="Numeris"/>
                              <w:tag w:val="nr_101870b9b7ef4a0fbc1c9d5c1b035ed4"/>
                              <w:lock w:val="sdtLocked"/>
                              <w:richText/>
                            </w:sdtPr>
                            <w:sdtContent>
                              <w:r>
                                <w:rPr>
                                  <w:szCs w:val="24"/>
                                  <w:lang w:eastAsia="lt-LT"/>
                                </w:rPr>
                                <w:t>1.2.6</w:t>
                              </w:r>
                            </w:sdtContent>
                          </w:sdt>
                          <w:r>
                            <w:rPr>
                              <w:szCs w:val="24"/>
                              <w:lang w:eastAsia="lt-LT"/>
                            </w:rPr>
                            <w:t>. socialinio darbuotojo;</w:t>
                          </w:r>
                        </w:p>
                      </w:sdtContent>
                    </w:sdt>
                    <w:sdt>
                      <w:sdtPr>
                        <w:alias w:val="pr. 1.2.7 pp."/>
                        <w:tag w:val="part_fe6e0925da5d464eb087e20277764beb"/>
                        <w:lock w:val="sdtLocked"/>
                        <w:richText/>
                      </w:sdtPr>
                      <w:sdtContent>
                        <w:p>
                          <w:pPr>
                            <w:widowControl w:val="0"/>
                            <w:tabs>
                              <w:tab w:val="left" w:pos="1300"/>
                            </w:tabs>
                            <w:ind w:firstLine="709"/>
                            <w:jc w:val="both"/>
                            <w:rPr>
                              <w:szCs w:val="24"/>
                              <w:lang w:eastAsia="lt-LT"/>
                            </w:rPr>
                          </w:pPr>
                          <w:sdt>
                            <w:sdtPr>
                              <w:alias w:val="Numeris"/>
                              <w:tag w:val="nr_fe6e0925da5d464eb087e20277764beb"/>
                              <w:lock w:val="sdtLocked"/>
                              <w:richText/>
                            </w:sdtPr>
                            <w:sdtContent>
                              <w:r>
                                <w:rPr>
                                  <w:szCs w:val="24"/>
                                  <w:lang w:eastAsia="lt-LT"/>
                                </w:rPr>
                                <w:t>1.2.7</w:t>
                              </w:r>
                            </w:sdtContent>
                          </w:sdt>
                          <w:r>
                            <w:rPr>
                              <w:szCs w:val="24"/>
                              <w:lang w:eastAsia="lt-LT"/>
                            </w:rPr>
                            <w:t>. medicinos psichologo;</w:t>
                          </w:r>
                        </w:p>
                      </w:sdtContent>
                    </w:sdt>
                    <w:sdt>
                      <w:sdtPr>
                        <w:alias w:val="pr. 1.2.8 pp."/>
                        <w:tag w:val="part_fea5c2c6d8be456683e48d3f6c684251"/>
                        <w:lock w:val="sdtLocked"/>
                        <w:richText/>
                      </w:sdtPr>
                      <w:sdtContent>
                        <w:p>
                          <w:pPr>
                            <w:widowControl w:val="0"/>
                            <w:tabs>
                              <w:tab w:val="left" w:pos="1300"/>
                            </w:tabs>
                            <w:ind w:firstLine="709"/>
                            <w:jc w:val="both"/>
                            <w:rPr>
                              <w:szCs w:val="24"/>
                              <w:lang w:eastAsia="lt-LT"/>
                            </w:rPr>
                          </w:pPr>
                          <w:sdt>
                            <w:sdtPr>
                              <w:alias w:val="Numeris"/>
                              <w:tag w:val="nr_fea5c2c6d8be456683e48d3f6c684251"/>
                              <w:lock w:val="sdtLocked"/>
                              <w:richText/>
                            </w:sdtPr>
                            <w:sdtContent>
                              <w:r>
                                <w:rPr>
                                  <w:szCs w:val="24"/>
                                  <w:lang w:eastAsia="lt-LT"/>
                                </w:rPr>
                                <w:t>1.2.8</w:t>
                              </w:r>
                            </w:sdtContent>
                          </w:sdt>
                          <w:r>
                            <w:rPr>
                              <w:szCs w:val="24"/>
                              <w:lang w:eastAsia="lt-LT"/>
                            </w:rPr>
                            <w:t>. laboratorijos (klinikinės, biochemijos) arba turi būti sudaryta sutartis su šias paslaugas teikiančia asmens sveikatos priežiūros įstaiga, užtikrinant tyrimo atlikimą per vieną parą;</w:t>
                          </w:r>
                        </w:p>
                      </w:sdtContent>
                    </w:sdt>
                    <w:sdt>
                      <w:sdtPr>
                        <w:alias w:val="pr. 1.2.9 pp."/>
                        <w:tag w:val="part_a003c9bf2d6047c9a57708185e97a901"/>
                        <w:lock w:val="sdtLocked"/>
                        <w:richText/>
                      </w:sdtPr>
                      <w:sdtContent>
                        <w:p>
                          <w:pPr>
                            <w:widowControl w:val="0"/>
                            <w:tabs>
                              <w:tab w:val="left" w:pos="1300"/>
                            </w:tabs>
                            <w:ind w:firstLine="709"/>
                            <w:jc w:val="both"/>
                            <w:rPr>
                              <w:szCs w:val="24"/>
                              <w:lang w:eastAsia="lt-LT"/>
                            </w:rPr>
                          </w:pPr>
                          <w:sdt>
                            <w:sdtPr>
                              <w:alias w:val="Numeris"/>
                              <w:tag w:val="nr_a003c9bf2d6047c9a57708185e97a901"/>
                              <w:lock w:val="sdtLocked"/>
                              <w:richText/>
                            </w:sdtPr>
                            <w:sdtContent>
                              <w:r>
                                <w:rPr>
                                  <w:szCs w:val="24"/>
                                  <w:lang w:eastAsia="lt-LT"/>
                                </w:rPr>
                                <w:t>1.2.9</w:t>
                              </w:r>
                            </w:sdtContent>
                          </w:sdt>
                          <w:r>
                            <w:rPr>
                              <w:szCs w:val="24"/>
                              <w:lang w:eastAsia="lt-LT"/>
                            </w:rPr>
                            <w:t>. dietinio gydymo;</w:t>
                          </w:r>
                        </w:p>
                      </w:sdtContent>
                    </w:sdt>
                    <w:sdt>
                      <w:sdtPr>
                        <w:alias w:val="pr. 1.2.10 pp."/>
                        <w:tag w:val="part_2d5aa9bdac92492e8c63af72161af6ed"/>
                        <w:lock w:val="sdtLocked"/>
                        <w:richText/>
                      </w:sdtPr>
                      <w:sdtContent>
                        <w:p>
                          <w:pPr>
                            <w:widowControl w:val="0"/>
                            <w:tabs>
                              <w:tab w:val="left" w:pos="1300"/>
                            </w:tabs>
                            <w:ind w:firstLine="709"/>
                            <w:jc w:val="both"/>
                            <w:rPr>
                              <w:szCs w:val="24"/>
                              <w:lang w:eastAsia="lt-LT"/>
                            </w:rPr>
                          </w:pPr>
                          <w:sdt>
                            <w:sdtPr>
                              <w:alias w:val="Numeris"/>
                              <w:tag w:val="nr_2d5aa9bdac92492e8c63af72161af6ed"/>
                              <w:lock w:val="sdtLocked"/>
                              <w:richText/>
                            </w:sdtPr>
                            <w:sdtContent>
                              <w:r>
                                <w:rPr>
                                  <w:szCs w:val="24"/>
                                  <w:lang w:eastAsia="lt-LT"/>
                                </w:rPr>
                                <w:t>1.2.10</w:t>
                              </w:r>
                            </w:sdtContent>
                          </w:sdt>
                          <w:r>
                            <w:rPr>
                              <w:szCs w:val="24"/>
                              <w:lang w:eastAsia="lt-LT"/>
                            </w:rPr>
                            <w:t>. paciento ir (ar) jo atstovo mokymo;</w:t>
                          </w:r>
                        </w:p>
                      </w:sdtContent>
                    </w:sdt>
                    <w:sdt>
                      <w:sdtPr>
                        <w:alias w:val="pr. 1.2.11 pp."/>
                        <w:tag w:val="part_7a21490218d24609a8f05754a76222b2"/>
                        <w:lock w:val="sdtLocked"/>
                        <w:richText/>
                      </w:sdtPr>
                      <w:sdtContent>
                        <w:p>
                          <w:pPr>
                            <w:widowControl w:val="0"/>
                            <w:tabs>
                              <w:tab w:val="left" w:pos="1300"/>
                            </w:tabs>
                            <w:ind w:firstLine="709"/>
                            <w:jc w:val="both"/>
                            <w:rPr>
                              <w:szCs w:val="24"/>
                              <w:lang w:eastAsia="lt-LT"/>
                            </w:rPr>
                          </w:pPr>
                          <w:sdt>
                            <w:sdtPr>
                              <w:alias w:val="Numeris"/>
                              <w:tag w:val="nr_7a21490218d24609a8f05754a76222b2"/>
                              <w:lock w:val="sdtLocked"/>
                              <w:richText/>
                            </w:sdtPr>
                            <w:sdtContent>
                              <w:r>
                                <w:rPr>
                                  <w:szCs w:val="24"/>
                                  <w:lang w:eastAsia="lt-LT"/>
                                </w:rPr>
                                <w:t>1.2.11</w:t>
                              </w:r>
                            </w:sdtContent>
                          </w:sdt>
                          <w:r>
                            <w:rPr>
                              <w:szCs w:val="24"/>
                              <w:lang w:eastAsia="lt-LT"/>
                            </w:rPr>
                            <w:t>. klinikinio logopedo (pagal poreikį);</w:t>
                          </w:r>
                        </w:p>
                      </w:sdtContent>
                    </w:sdt>
                    <w:sdt>
                      <w:sdtPr>
                        <w:alias w:val="pr. 1.2.12 pp."/>
                        <w:tag w:val="part_ef33dd85414f44f2beb275c8d945c101"/>
                        <w:lock w:val="sdtLocked"/>
                        <w:richText/>
                      </w:sdtPr>
                      <w:sdtContent>
                        <w:p>
                          <w:pPr>
                            <w:widowControl w:val="0"/>
                            <w:tabs>
                              <w:tab w:val="left" w:pos="1300"/>
                            </w:tabs>
                            <w:ind w:firstLine="709"/>
                            <w:jc w:val="both"/>
                            <w:rPr>
                              <w:szCs w:val="24"/>
                              <w:lang w:eastAsia="lt-LT"/>
                            </w:rPr>
                          </w:pPr>
                          <w:sdt>
                            <w:sdtPr>
                              <w:alias w:val="Numeris"/>
                              <w:tag w:val="nr_ef33dd85414f44f2beb275c8d945c101"/>
                              <w:lock w:val="sdtLocked"/>
                              <w:richText/>
                            </w:sdtPr>
                            <w:sdtContent>
                              <w:r>
                                <w:rPr>
                                  <w:szCs w:val="24"/>
                                  <w:lang w:eastAsia="lt-LT"/>
                                </w:rPr>
                                <w:t>1.2.12</w:t>
                              </w:r>
                            </w:sdtContent>
                          </w:sdt>
                          <w:r>
                            <w:rPr>
                              <w:szCs w:val="24"/>
                              <w:lang w:eastAsia="lt-LT"/>
                            </w:rPr>
                            <w:t>. radiologijos ir sudėtingos klinikinės fiziologijos tyrimai, ortopedinės ir kompensacinės technikos pritaikymo paslaugos bei atitinkamų gydytojų specialistų konsultacijos gali būti užtikrinamos pagal sutartis su kitomis asmens sveikatos priežiūros įstaigomis.</w:t>
                          </w:r>
                        </w:p>
                      </w:sdtContent>
                    </w:sdt>
                  </w:sdtContent>
                </w:sdt>
              </w:sdtContent>
            </w:sdt>
            <w:sdt>
              <w:sdtPr>
                <w:alias w:val="pr. 2 p."/>
                <w:tag w:val="part_21b80bf8c2e843168420c429a832b379"/>
                <w:lock w:val="sdtLocked"/>
                <w:richText/>
              </w:sdtPr>
              <w:sdtContent>
                <w:p>
                  <w:pPr>
                    <w:widowControl w:val="0"/>
                    <w:tabs>
                      <w:tab w:val="left" w:pos="1316"/>
                    </w:tabs>
                    <w:ind w:firstLine="709"/>
                    <w:jc w:val="both"/>
                    <w:rPr>
                      <w:szCs w:val="24"/>
                      <w:lang w:eastAsia="lt-LT"/>
                    </w:rPr>
                  </w:pPr>
                  <w:sdt>
                    <w:sdtPr>
                      <w:alias w:val="Numeris"/>
                      <w:tag w:val="nr_21b80bf8c2e843168420c429a832b379"/>
                      <w:lock w:val="sdtLocked"/>
                      <w:richText/>
                    </w:sdtPr>
                    <w:sdtContent>
                      <w:r>
                        <w:rPr>
                          <w:szCs w:val="24"/>
                          <w:lang w:eastAsia="lt-LT"/>
                        </w:rPr>
                        <w:t>2</w:t>
                      </w:r>
                    </w:sdtContent>
                  </w:sdt>
                  <w:r>
                    <w:rPr>
                      <w:szCs w:val="24"/>
                      <w:lang w:eastAsia="lt-LT"/>
                    </w:rPr>
                    <w:t>. Stacionarinės medicininės reabilitacijos, sveikatos grąžinamojo ir antirecidyvinio gydymo, prevencinės ir postvencinės medicininės psichologinės reabilitacijos paslaugas teikia šie specialistai:</w:t>
                  </w:r>
                </w:p>
                <w:sdt>
                  <w:sdtPr>
                    <w:alias w:val="pr. 2.1 pp."/>
                    <w:tag w:val="part_64577b3064f6432691212ed724ac5468"/>
                    <w:lock w:val="sdtLocked"/>
                    <w:richText/>
                  </w:sdtPr>
                  <w:sdtContent>
                    <w:p>
                      <w:pPr>
                        <w:widowControl w:val="0"/>
                        <w:tabs>
                          <w:tab w:val="left" w:pos="1316"/>
                        </w:tabs>
                        <w:ind w:firstLine="709"/>
                        <w:jc w:val="both"/>
                        <w:rPr>
                          <w:szCs w:val="24"/>
                          <w:lang w:eastAsia="lt-LT"/>
                        </w:rPr>
                      </w:pPr>
                      <w:sdt>
                        <w:sdtPr>
                          <w:alias w:val="Numeris"/>
                          <w:tag w:val="nr_64577b3064f6432691212ed724ac5468"/>
                          <w:lock w:val="sdtLocked"/>
                          <w:richText/>
                        </w:sdtPr>
                        <w:sdtContent>
                          <w:r>
                            <w:rPr>
                              <w:szCs w:val="24"/>
                              <w:lang w:eastAsia="lt-LT"/>
                            </w:rPr>
                            <w:t>2.1</w:t>
                          </w:r>
                        </w:sdtContent>
                      </w:sdt>
                      <w:r>
                        <w:rPr>
                          <w:szCs w:val="24"/>
                          <w:lang w:eastAsia="lt-LT"/>
                        </w:rPr>
                        <w:t>. fizinės medicinos ir reabilitacijos gydytojas;</w:t>
                      </w:r>
                    </w:p>
                  </w:sdtContent>
                </w:sdt>
                <w:sdt>
                  <w:sdtPr>
                    <w:alias w:val="pr. 2.2 pp."/>
                    <w:tag w:val="part_3f009cf0cadf4336ad2a843c1dadc1e4"/>
                    <w:lock w:val="sdtLocked"/>
                    <w:richText/>
                  </w:sdtPr>
                  <w:sdtContent>
                    <w:p>
                      <w:pPr>
                        <w:widowControl w:val="0"/>
                        <w:tabs>
                          <w:tab w:val="left" w:pos="1321"/>
                        </w:tabs>
                        <w:ind w:firstLine="709"/>
                        <w:jc w:val="both"/>
                        <w:rPr>
                          <w:szCs w:val="24"/>
                          <w:lang w:eastAsia="lt-LT"/>
                        </w:rPr>
                      </w:pPr>
                      <w:sdt>
                        <w:sdtPr>
                          <w:alias w:val="Numeris"/>
                          <w:tag w:val="nr_3f009cf0cadf4336ad2a843c1dadc1e4"/>
                          <w:lock w:val="sdtLocked"/>
                          <w:richText/>
                        </w:sdtPr>
                        <w:sdtContent>
                          <w:r>
                            <w:rPr>
                              <w:szCs w:val="24"/>
                              <w:lang w:eastAsia="lt-LT"/>
                            </w:rPr>
                            <w:t>2.2</w:t>
                          </w:r>
                        </w:sdtContent>
                      </w:sdt>
                      <w:r>
                        <w:rPr>
                          <w:szCs w:val="24"/>
                          <w:lang w:eastAsia="lt-LT"/>
                        </w:rPr>
                        <w:t>. medicinos psichologas;</w:t>
                      </w:r>
                    </w:p>
                  </w:sdtContent>
                </w:sdt>
                <w:sdt>
                  <w:sdtPr>
                    <w:alias w:val="pr. 2.3 pp."/>
                    <w:tag w:val="part_0bf6d695934142afad41ad1a10edbf9c"/>
                    <w:lock w:val="sdtLocked"/>
                    <w:richText/>
                  </w:sdtPr>
                  <w:sdtContent>
                    <w:p>
                      <w:pPr>
                        <w:widowControl w:val="0"/>
                        <w:tabs>
                          <w:tab w:val="left" w:pos="1321"/>
                        </w:tabs>
                        <w:ind w:firstLine="709"/>
                        <w:jc w:val="both"/>
                        <w:rPr>
                          <w:szCs w:val="24"/>
                          <w:lang w:eastAsia="lt-LT"/>
                        </w:rPr>
                      </w:pPr>
                      <w:sdt>
                        <w:sdtPr>
                          <w:alias w:val="Numeris"/>
                          <w:tag w:val="nr_0bf6d695934142afad41ad1a10edbf9c"/>
                          <w:lock w:val="sdtLocked"/>
                          <w:richText/>
                        </w:sdtPr>
                        <w:sdtContent>
                          <w:r>
                            <w:rPr>
                              <w:szCs w:val="24"/>
                              <w:lang w:eastAsia="lt-LT"/>
                            </w:rPr>
                            <w:t>2.3</w:t>
                          </w:r>
                        </w:sdtContent>
                      </w:sdt>
                      <w:r>
                        <w:rPr>
                          <w:szCs w:val="24"/>
                          <w:lang w:eastAsia="lt-LT"/>
                        </w:rPr>
                        <w:t>. kineziterapeutas;</w:t>
                      </w:r>
                    </w:p>
                  </w:sdtContent>
                </w:sdt>
                <w:sdt>
                  <w:sdtPr>
                    <w:alias w:val="pr. 2.4 pp."/>
                    <w:tag w:val="part_f1ecb132d4934b9c82116788a9836123"/>
                    <w:lock w:val="sdtLocked"/>
                    <w:richText/>
                  </w:sdtPr>
                  <w:sdtContent>
                    <w:p>
                      <w:pPr>
                        <w:widowControl w:val="0"/>
                        <w:tabs>
                          <w:tab w:val="left" w:pos="1321"/>
                        </w:tabs>
                        <w:ind w:firstLine="709"/>
                        <w:jc w:val="both"/>
                        <w:rPr>
                          <w:szCs w:val="24"/>
                          <w:lang w:eastAsia="lt-LT"/>
                        </w:rPr>
                      </w:pPr>
                      <w:sdt>
                        <w:sdtPr>
                          <w:alias w:val="Numeris"/>
                          <w:tag w:val="nr_f1ecb132d4934b9c82116788a9836123"/>
                          <w:lock w:val="sdtLocked"/>
                          <w:richText/>
                        </w:sdtPr>
                        <w:sdtContent>
                          <w:r>
                            <w:rPr>
                              <w:szCs w:val="24"/>
                              <w:lang w:eastAsia="lt-LT"/>
                            </w:rPr>
                            <w:t>2.4</w:t>
                          </w:r>
                        </w:sdtContent>
                      </w:sdt>
                      <w:r>
                        <w:rPr>
                          <w:szCs w:val="24"/>
                          <w:lang w:eastAsia="lt-LT"/>
                        </w:rPr>
                        <w:t>. ergoterapeutas;</w:t>
                      </w:r>
                    </w:p>
                  </w:sdtContent>
                </w:sdt>
                <w:sdt>
                  <w:sdtPr>
                    <w:alias w:val="pr. 2.5 pp."/>
                    <w:tag w:val="part_a23f5d3c8685490db51d55e3a4f801d2"/>
                    <w:lock w:val="sdtLocked"/>
                    <w:richText/>
                  </w:sdtPr>
                  <w:sdtContent>
                    <w:p>
                      <w:pPr>
                        <w:widowControl w:val="0"/>
                        <w:tabs>
                          <w:tab w:val="left" w:pos="1321"/>
                        </w:tabs>
                        <w:ind w:firstLine="709"/>
                        <w:jc w:val="both"/>
                        <w:rPr>
                          <w:szCs w:val="24"/>
                          <w:lang w:eastAsia="lt-LT"/>
                        </w:rPr>
                      </w:pPr>
                      <w:sdt>
                        <w:sdtPr>
                          <w:alias w:val="Numeris"/>
                          <w:tag w:val="nr_a23f5d3c8685490db51d55e3a4f801d2"/>
                          <w:lock w:val="sdtLocked"/>
                          <w:richText/>
                        </w:sdtPr>
                        <w:sdtContent>
                          <w:r>
                            <w:rPr>
                              <w:szCs w:val="24"/>
                              <w:lang w:eastAsia="lt-LT"/>
                            </w:rPr>
                            <w:t>2.5</w:t>
                          </w:r>
                        </w:sdtContent>
                      </w:sdt>
                      <w:r>
                        <w:rPr>
                          <w:szCs w:val="24"/>
                          <w:lang w:eastAsia="lt-LT"/>
                        </w:rPr>
                        <w:t>. gydomojo masažo specialistas;</w:t>
                      </w:r>
                    </w:p>
                  </w:sdtContent>
                </w:sdt>
                <w:sdt>
                  <w:sdtPr>
                    <w:alias w:val="pr. 2.6 pp."/>
                    <w:tag w:val="part_d093f50b3525425bb51b0ed92644747f"/>
                    <w:lock w:val="sdtLocked"/>
                    <w:richText/>
                  </w:sdtPr>
                  <w:sdtContent>
                    <w:p>
                      <w:pPr>
                        <w:widowControl w:val="0"/>
                        <w:tabs>
                          <w:tab w:val="left" w:pos="1321"/>
                        </w:tabs>
                        <w:ind w:firstLine="709"/>
                        <w:jc w:val="both"/>
                        <w:rPr>
                          <w:szCs w:val="24"/>
                          <w:lang w:eastAsia="lt-LT"/>
                        </w:rPr>
                      </w:pPr>
                      <w:sdt>
                        <w:sdtPr>
                          <w:alias w:val="Numeris"/>
                          <w:tag w:val="nr_d093f50b3525425bb51b0ed92644747f"/>
                          <w:lock w:val="sdtLocked"/>
                          <w:richText/>
                        </w:sdtPr>
                        <w:sdtContent>
                          <w:r>
                            <w:rPr>
                              <w:szCs w:val="24"/>
                              <w:lang w:eastAsia="lt-LT"/>
                            </w:rPr>
                            <w:t>2.6</w:t>
                          </w:r>
                        </w:sdtContent>
                      </w:sdt>
                      <w:r>
                        <w:rPr>
                          <w:szCs w:val="24"/>
                          <w:lang w:eastAsia="lt-LT"/>
                        </w:rPr>
                        <w:t>. bendrosios praktikos slaugytojas;</w:t>
                      </w:r>
                    </w:p>
                  </w:sdtContent>
                </w:sdt>
                <w:sdt>
                  <w:sdtPr>
                    <w:alias w:val="pr. 2.7 pp."/>
                    <w:tag w:val="part_d4d7e3ada96f4db7b8f8e9d30f8fce44"/>
                    <w:lock w:val="sdtLocked"/>
                    <w:richText/>
                  </w:sdtPr>
                  <w:sdtContent>
                    <w:p>
                      <w:pPr>
                        <w:widowControl w:val="0"/>
                        <w:tabs>
                          <w:tab w:val="left" w:pos="1321"/>
                        </w:tabs>
                        <w:ind w:firstLine="709"/>
                        <w:jc w:val="both"/>
                        <w:rPr>
                          <w:szCs w:val="24"/>
                          <w:lang w:eastAsia="lt-LT"/>
                        </w:rPr>
                      </w:pPr>
                      <w:sdt>
                        <w:sdtPr>
                          <w:alias w:val="Numeris"/>
                          <w:tag w:val="nr_d4d7e3ada96f4db7b8f8e9d30f8fce44"/>
                          <w:lock w:val="sdtLocked"/>
                          <w:richText/>
                        </w:sdtPr>
                        <w:sdtContent>
                          <w:r>
                            <w:rPr>
                              <w:szCs w:val="24"/>
                              <w:lang w:eastAsia="lt-LT"/>
                            </w:rPr>
                            <w:t>2.7</w:t>
                          </w:r>
                        </w:sdtContent>
                      </w:sdt>
                      <w:r>
                        <w:rPr>
                          <w:szCs w:val="24"/>
                          <w:lang w:eastAsia="lt-LT"/>
                        </w:rPr>
                        <w:t>. socialinis darbuotojas;</w:t>
                      </w:r>
                    </w:p>
                  </w:sdtContent>
                </w:sdt>
                <w:sdt>
                  <w:sdtPr>
                    <w:alias w:val="pr. 2.8 pp."/>
                    <w:tag w:val="part_621fa7bb45794599b83bb31e4774bcef"/>
                    <w:lock w:val="sdtLocked"/>
                    <w:richText/>
                  </w:sdtPr>
                  <w:sdtContent>
                    <w:p>
                      <w:pPr>
                        <w:widowControl w:val="0"/>
                        <w:tabs>
                          <w:tab w:val="left" w:pos="1321"/>
                        </w:tabs>
                        <w:ind w:firstLine="709"/>
                        <w:jc w:val="both"/>
                        <w:rPr>
                          <w:szCs w:val="24"/>
                          <w:lang w:eastAsia="lt-LT"/>
                        </w:rPr>
                      </w:pPr>
                      <w:sdt>
                        <w:sdtPr>
                          <w:alias w:val="Numeris"/>
                          <w:tag w:val="nr_621fa7bb45794599b83bb31e4774bcef"/>
                          <w:lock w:val="sdtLocked"/>
                          <w:richText/>
                        </w:sdtPr>
                        <w:sdtContent>
                          <w:r>
                            <w:rPr>
                              <w:szCs w:val="24"/>
                              <w:lang w:eastAsia="lt-LT"/>
                            </w:rPr>
                            <w:t>2.8</w:t>
                          </w:r>
                        </w:sdtContent>
                      </w:sdt>
                      <w:r>
                        <w:rPr>
                          <w:szCs w:val="24"/>
                          <w:lang w:eastAsia="lt-LT"/>
                        </w:rPr>
                        <w:t>. klinikinis logopedas (esant indikacijų);</w:t>
                      </w:r>
                    </w:p>
                  </w:sdtContent>
                </w:sdt>
                <w:sdt>
                  <w:sdtPr>
                    <w:alias w:val="pr. 2.9 pp."/>
                    <w:tag w:val="part_92dcbca0a1284949b3b66e97b0c0b651"/>
                    <w:lock w:val="sdtLocked"/>
                    <w:richText/>
                  </w:sdtPr>
                  <w:sdtContent>
                    <w:p>
                      <w:pPr>
                        <w:widowControl w:val="0"/>
                        <w:tabs>
                          <w:tab w:val="left" w:pos="1321"/>
                        </w:tabs>
                        <w:ind w:firstLine="709"/>
                        <w:jc w:val="both"/>
                        <w:rPr>
                          <w:szCs w:val="24"/>
                        </w:rPr>
                      </w:pPr>
                      <w:sdt>
                        <w:sdtPr>
                          <w:alias w:val="Numeris"/>
                          <w:tag w:val="nr_92dcbca0a1284949b3b66e97b0c0b651"/>
                          <w:lock w:val="sdtLocked"/>
                          <w:richText/>
                        </w:sdtPr>
                        <w:sdtContent>
                          <w:r>
                            <w:rPr>
                              <w:szCs w:val="24"/>
                            </w:rPr>
                            <w:t>2.9</w:t>
                          </w:r>
                        </w:sdtContent>
                      </w:sdt>
                      <w:r>
                        <w:rPr>
                          <w:szCs w:val="24"/>
                        </w:rPr>
                        <w:t>. gydytojas dietologas (esant indikacijų).</w:t>
                      </w:r>
                    </w:p>
                  </w:sdtContent>
                </w:sdt>
              </w:sdtContent>
            </w:sdt>
            <w:sdt>
              <w:sdtPr>
                <w:alias w:val="pr. 3 p."/>
                <w:tag w:val="part_e20d19db96e846fcac9fe578e8ed4d87"/>
                <w:lock w:val="sdtLocked"/>
                <w:richText/>
              </w:sdtPr>
              <w:sdtContent>
                <w:p>
                  <w:pPr>
                    <w:ind w:firstLine="709"/>
                    <w:jc w:val="both"/>
                    <w:rPr>
                      <w:szCs w:val="24"/>
                    </w:rPr>
                  </w:pPr>
                  <w:sdt>
                    <w:sdtPr>
                      <w:alias w:val="Numeris"/>
                      <w:tag w:val="nr_e20d19db96e846fcac9fe578e8ed4d87"/>
                      <w:lock w:val="sdtLocked"/>
                      <w:richText/>
                    </w:sdtPr>
                    <w:sdtContent>
                      <w:r>
                        <w:rPr>
                          <w:szCs w:val="24"/>
                        </w:rPr>
                        <w:t>3</w:t>
                      </w:r>
                    </w:sdtContent>
                  </w:sdt>
                  <w:r>
                    <w:rPr>
                      <w:szCs w:val="24"/>
                    </w:rPr>
                    <w:t>. Ambulatorinės medicininės reabilitacijos įstaigose:</w:t>
                  </w:r>
                </w:p>
                <w:sdt>
                  <w:sdtPr>
                    <w:alias w:val="pr. 3.1 pp."/>
                    <w:tag w:val="part_ff8e6ab0d4a748c59a8049aed68ae833"/>
                    <w:lock w:val="sdtLocked"/>
                    <w:richText/>
                  </w:sdtPr>
                  <w:sdtContent>
                    <w:p>
                      <w:pPr>
                        <w:ind w:firstLine="709"/>
                        <w:jc w:val="both"/>
                        <w:rPr>
                          <w:szCs w:val="24"/>
                        </w:rPr>
                      </w:pPr>
                      <w:sdt>
                        <w:sdtPr>
                          <w:alias w:val="Numeris"/>
                          <w:tag w:val="nr_ff8e6ab0d4a748c59a8049aed68ae833"/>
                          <w:lock w:val="sdtLocked"/>
                          <w:richText/>
                        </w:sdtPr>
                        <w:sdtContent>
                          <w:r>
                            <w:rPr>
                              <w:szCs w:val="24"/>
                            </w:rPr>
                            <w:t>3.1</w:t>
                          </w:r>
                        </w:sdtContent>
                      </w:sdt>
                      <w:r>
                        <w:rPr>
                          <w:szCs w:val="24"/>
                        </w:rPr>
                        <w:t>. teikiamos šios paslaugos:</w:t>
                      </w:r>
                    </w:p>
                    <w:sdt>
                      <w:sdtPr>
                        <w:alias w:val="pr. 3.1.1 pp."/>
                        <w:tag w:val="part_33c0c080f2c24a83bdd203dd62b7ca5e"/>
                        <w:lock w:val="sdtLocked"/>
                        <w:richText/>
                      </w:sdtPr>
                      <w:sdtContent>
                        <w:p>
                          <w:pPr>
                            <w:ind w:firstLine="709"/>
                            <w:jc w:val="both"/>
                            <w:rPr>
                              <w:szCs w:val="24"/>
                            </w:rPr>
                          </w:pPr>
                          <w:sdt>
                            <w:sdtPr>
                              <w:alias w:val="Numeris"/>
                              <w:tag w:val="nr_33c0c080f2c24a83bdd203dd62b7ca5e"/>
                              <w:lock w:val="sdtLocked"/>
                              <w:richText/>
                            </w:sdtPr>
                            <w:sdtContent>
                              <w:r>
                                <w:rPr>
                                  <w:szCs w:val="24"/>
                                </w:rPr>
                                <w:t>3.1.1</w:t>
                              </w:r>
                            </w:sdtContent>
                          </w:sdt>
                          <w:r>
                            <w:rPr>
                              <w:szCs w:val="24"/>
                            </w:rPr>
                            <w:t>. būtinosios medicinos pagalbos;</w:t>
                          </w:r>
                        </w:p>
                      </w:sdtContent>
                    </w:sdt>
                    <w:sdt>
                      <w:sdtPr>
                        <w:alias w:val="pr. 3.1.2 pp."/>
                        <w:tag w:val="part_d398595aad554d9da3c978d2a0069f2f"/>
                        <w:lock w:val="sdtLocked"/>
                        <w:richText/>
                      </w:sdtPr>
                      <w:sdtContent>
                        <w:p>
                          <w:pPr>
                            <w:ind w:firstLine="709"/>
                            <w:jc w:val="both"/>
                            <w:rPr>
                              <w:szCs w:val="24"/>
                            </w:rPr>
                          </w:pPr>
                          <w:sdt>
                            <w:sdtPr>
                              <w:alias w:val="Numeris"/>
                              <w:tag w:val="nr_d398595aad554d9da3c978d2a0069f2f"/>
                              <w:lock w:val="sdtLocked"/>
                              <w:richText/>
                            </w:sdtPr>
                            <w:sdtContent>
                              <w:r>
                                <w:rPr>
                                  <w:szCs w:val="24"/>
                                </w:rPr>
                                <w:t>3.1.2</w:t>
                              </w:r>
                            </w:sdtContent>
                          </w:sdt>
                          <w:r>
                            <w:rPr>
                              <w:szCs w:val="24"/>
                            </w:rPr>
                            <w:t>. fizinės medicinos ir reabilitacijos gydytojo;</w:t>
                          </w:r>
                        </w:p>
                      </w:sdtContent>
                    </w:sdt>
                    <w:sdt>
                      <w:sdtPr>
                        <w:alias w:val="pr. 3.1.3 pp."/>
                        <w:tag w:val="part_752d295551ec4a79828dc433b87bf1ff"/>
                        <w:lock w:val="sdtLocked"/>
                        <w:richText/>
                      </w:sdtPr>
                      <w:sdtContent>
                        <w:p>
                          <w:pPr>
                            <w:ind w:firstLine="709"/>
                            <w:jc w:val="both"/>
                            <w:rPr>
                              <w:szCs w:val="24"/>
                            </w:rPr>
                          </w:pPr>
                          <w:sdt>
                            <w:sdtPr>
                              <w:alias w:val="Numeris"/>
                              <w:tag w:val="nr_752d295551ec4a79828dc433b87bf1ff"/>
                              <w:lock w:val="sdtLocked"/>
                              <w:richText/>
                            </w:sdtPr>
                            <w:sdtContent>
                              <w:r>
                                <w:rPr>
                                  <w:szCs w:val="24"/>
                                </w:rPr>
                                <w:t>3.1.3</w:t>
                              </w:r>
                            </w:sdtContent>
                          </w:sdt>
                          <w:r>
                            <w:rPr>
                              <w:szCs w:val="24"/>
                            </w:rPr>
                            <w:t>. kineziterapijos;</w:t>
                          </w:r>
                        </w:p>
                      </w:sdtContent>
                    </w:sdt>
                    <w:sdt>
                      <w:sdtPr>
                        <w:alias w:val="pr. 3.1.4 pp."/>
                        <w:tag w:val="part_b50ff0f73ae44bdeaa09a1dd2208b2ad"/>
                        <w:lock w:val="sdtLocked"/>
                        <w:richText/>
                      </w:sdtPr>
                      <w:sdtContent>
                        <w:p>
                          <w:pPr>
                            <w:ind w:firstLine="709"/>
                            <w:jc w:val="both"/>
                            <w:rPr>
                              <w:szCs w:val="24"/>
                            </w:rPr>
                          </w:pPr>
                          <w:sdt>
                            <w:sdtPr>
                              <w:alias w:val="Numeris"/>
                              <w:tag w:val="nr_b50ff0f73ae44bdeaa09a1dd2208b2ad"/>
                              <w:lock w:val="sdtLocked"/>
                              <w:richText/>
                            </w:sdtPr>
                            <w:sdtContent>
                              <w:r>
                                <w:rPr>
                                  <w:szCs w:val="24"/>
                                </w:rPr>
                                <w:t>3.1.4</w:t>
                              </w:r>
                            </w:sdtContent>
                          </w:sdt>
                          <w:r>
                            <w:rPr>
                              <w:szCs w:val="24"/>
                            </w:rPr>
                            <w:t>. gydomojo masažo;</w:t>
                          </w:r>
                        </w:p>
                      </w:sdtContent>
                    </w:sdt>
                    <w:sdt>
                      <w:sdtPr>
                        <w:alias w:val="pr. 3.1.5 pp."/>
                        <w:tag w:val="part_967802078397457fb9347ac987007d3e"/>
                        <w:lock w:val="sdtLocked"/>
                        <w:richText/>
                      </w:sdtPr>
                      <w:sdtContent>
                        <w:p>
                          <w:pPr>
                            <w:ind w:firstLine="709"/>
                            <w:jc w:val="both"/>
                            <w:rPr>
                              <w:szCs w:val="24"/>
                            </w:rPr>
                          </w:pPr>
                          <w:sdt>
                            <w:sdtPr>
                              <w:alias w:val="Numeris"/>
                              <w:tag w:val="nr_967802078397457fb9347ac987007d3e"/>
                              <w:lock w:val="sdtLocked"/>
                              <w:richText/>
                            </w:sdtPr>
                            <w:sdtContent>
                              <w:r>
                                <w:rPr>
                                  <w:szCs w:val="24"/>
                                </w:rPr>
                                <w:t>3.1.5</w:t>
                              </w:r>
                            </w:sdtContent>
                          </w:sdt>
                          <w:r>
                            <w:rPr>
                              <w:szCs w:val="24"/>
                            </w:rPr>
                            <w:t>. ergoterapijos;</w:t>
                          </w:r>
                        </w:p>
                      </w:sdtContent>
                    </w:sdt>
                    <w:sdt>
                      <w:sdtPr>
                        <w:alias w:val="pr. 3.1.6 pp."/>
                        <w:tag w:val="part_459f0e0bb8b94b0b8eb68d5fb530609a"/>
                        <w:lock w:val="sdtLocked"/>
                        <w:richText/>
                      </w:sdtPr>
                      <w:sdtContent>
                        <w:p>
                          <w:pPr>
                            <w:ind w:firstLine="709"/>
                            <w:jc w:val="both"/>
                            <w:rPr>
                              <w:szCs w:val="24"/>
                            </w:rPr>
                          </w:pPr>
                          <w:sdt>
                            <w:sdtPr>
                              <w:alias w:val="Numeris"/>
                              <w:tag w:val="nr_459f0e0bb8b94b0b8eb68d5fb530609a"/>
                              <w:lock w:val="sdtLocked"/>
                              <w:richText/>
                            </w:sdtPr>
                            <w:sdtContent>
                              <w:r>
                                <w:rPr>
                                  <w:szCs w:val="24"/>
                                </w:rPr>
                                <w:t>3.1.6</w:t>
                              </w:r>
                            </w:sdtContent>
                          </w:sdt>
                          <w:r>
                            <w:rPr>
                              <w:szCs w:val="24"/>
                            </w:rPr>
                            <w:t>. fizioterapijos;</w:t>
                          </w:r>
                        </w:p>
                      </w:sdtContent>
                    </w:sdt>
                    <w:sdt>
                      <w:sdtPr>
                        <w:alias w:val="pr. 3.1.7 pp."/>
                        <w:tag w:val="part_0dc9a06be85340269b00c4402e044ea6"/>
                        <w:lock w:val="sdtLocked"/>
                        <w:richText/>
                      </w:sdtPr>
                      <w:sdtContent>
                        <w:p>
                          <w:pPr>
                            <w:ind w:firstLine="709"/>
                            <w:jc w:val="both"/>
                            <w:rPr>
                              <w:szCs w:val="24"/>
                            </w:rPr>
                          </w:pPr>
                          <w:sdt>
                            <w:sdtPr>
                              <w:alias w:val="Numeris"/>
                              <w:tag w:val="nr_0dc9a06be85340269b00c4402e044ea6"/>
                              <w:lock w:val="sdtLocked"/>
                              <w:richText/>
                            </w:sdtPr>
                            <w:sdtContent>
                              <w:r>
                                <w:rPr>
                                  <w:szCs w:val="24"/>
                                </w:rPr>
                                <w:t>3.1.7</w:t>
                              </w:r>
                            </w:sdtContent>
                          </w:sdt>
                          <w:r>
                            <w:rPr>
                              <w:szCs w:val="24"/>
                            </w:rPr>
                            <w:t>. socialinio darbuotojo;</w:t>
                          </w:r>
                        </w:p>
                      </w:sdtContent>
                    </w:sdt>
                    <w:sdt>
                      <w:sdtPr>
                        <w:alias w:val="pr. 3.1.8 pp."/>
                        <w:tag w:val="part_262a4d3f3e374ab0afb38bbd531410ed"/>
                        <w:lock w:val="sdtLocked"/>
                        <w:richText/>
                      </w:sdtPr>
                      <w:sdtContent>
                        <w:p>
                          <w:pPr>
                            <w:ind w:firstLine="709"/>
                            <w:jc w:val="both"/>
                            <w:rPr>
                              <w:szCs w:val="24"/>
                            </w:rPr>
                          </w:pPr>
                          <w:sdt>
                            <w:sdtPr>
                              <w:alias w:val="Numeris"/>
                              <w:tag w:val="nr_262a4d3f3e374ab0afb38bbd531410ed"/>
                              <w:lock w:val="sdtLocked"/>
                              <w:richText/>
                            </w:sdtPr>
                            <w:sdtContent>
                              <w:r>
                                <w:rPr>
                                  <w:szCs w:val="24"/>
                                </w:rPr>
                                <w:t>3.1.8</w:t>
                              </w:r>
                            </w:sdtContent>
                          </w:sdt>
                          <w:r>
                            <w:rPr>
                              <w:szCs w:val="24"/>
                            </w:rPr>
                            <w:t>. medicinos psichologo;</w:t>
                          </w:r>
                        </w:p>
                      </w:sdtContent>
                    </w:sdt>
                    <w:sdt>
                      <w:sdtPr>
                        <w:alias w:val="pr. 3.1.9 pp."/>
                        <w:tag w:val="part_1c77156089674bc6ac16bad408a0e7ed"/>
                        <w:lock w:val="sdtLocked"/>
                        <w:richText/>
                      </w:sdtPr>
                      <w:sdtContent>
                        <w:p>
                          <w:pPr>
                            <w:ind w:firstLine="709"/>
                            <w:jc w:val="both"/>
                            <w:rPr>
                              <w:szCs w:val="24"/>
                            </w:rPr>
                          </w:pPr>
                          <w:sdt>
                            <w:sdtPr>
                              <w:alias w:val="Numeris"/>
                              <w:tag w:val="nr_1c77156089674bc6ac16bad408a0e7ed"/>
                              <w:lock w:val="sdtLocked"/>
                              <w:richText/>
                            </w:sdtPr>
                            <w:sdtContent>
                              <w:r>
                                <w:rPr>
                                  <w:szCs w:val="24"/>
                                </w:rPr>
                                <w:t>3.1.9</w:t>
                              </w:r>
                            </w:sdtContent>
                          </w:sdt>
                          <w:r>
                            <w:rPr>
                              <w:szCs w:val="24"/>
                            </w:rPr>
                            <w:t xml:space="preserve">. laboratorijos (klinikinės, biochemijos) arba turi būti sudaryta sutartis su šias paslaugas teikiančia </w:t>
                          </w:r>
                          <w:r>
                            <w:rPr>
                              <w:szCs w:val="24"/>
                              <w:lang w:eastAsia="lt-LT"/>
                            </w:rPr>
                            <w:t xml:space="preserve"> asmens sveikatos priežiūros</w:t>
                          </w:r>
                          <w:r>
                            <w:rPr>
                              <w:szCs w:val="24"/>
                            </w:rPr>
                            <w:t xml:space="preserve"> įstaiga, užtikrinant tyrimo atlikimą per vieną parą;</w:t>
                          </w:r>
                        </w:p>
                      </w:sdtContent>
                    </w:sdt>
                    <w:sdt>
                      <w:sdtPr>
                        <w:alias w:val="pr. 3.1.10 pp."/>
                        <w:tag w:val="part_f547808fe9e74ed2aa14056734a43a4a"/>
                        <w:lock w:val="sdtLocked"/>
                        <w:richText/>
                      </w:sdtPr>
                      <w:sdtContent>
                        <w:p>
                          <w:pPr>
                            <w:ind w:firstLine="709"/>
                            <w:jc w:val="both"/>
                            <w:rPr>
                              <w:szCs w:val="24"/>
                            </w:rPr>
                          </w:pPr>
                          <w:sdt>
                            <w:sdtPr>
                              <w:alias w:val="Numeris"/>
                              <w:tag w:val="nr_f547808fe9e74ed2aa14056734a43a4a"/>
                              <w:lock w:val="sdtLocked"/>
                              <w:richText/>
                            </w:sdtPr>
                            <w:sdtContent>
                              <w:r>
                                <w:rPr>
                                  <w:szCs w:val="24"/>
                                </w:rPr>
                                <w:t>3.1.10</w:t>
                              </w:r>
                            </w:sdtContent>
                          </w:sdt>
                          <w:r>
                            <w:rPr>
                              <w:szCs w:val="24"/>
                            </w:rPr>
                            <w:t>. paciento bei jo artimųjų mokymo;</w:t>
                          </w:r>
                        </w:p>
                      </w:sdtContent>
                    </w:sdt>
                    <w:sdt>
                      <w:sdtPr>
                        <w:alias w:val="pr. 3.1.11 pp."/>
                        <w:tag w:val="part_fb7c9968c6834ac6af6e7c77fddf89d5"/>
                        <w:lock w:val="sdtLocked"/>
                        <w:richText/>
                      </w:sdtPr>
                      <w:sdtContent>
                        <w:p>
                          <w:pPr>
                            <w:ind w:firstLine="709"/>
                            <w:jc w:val="both"/>
                            <w:rPr>
                              <w:szCs w:val="24"/>
                            </w:rPr>
                          </w:pPr>
                          <w:sdt>
                            <w:sdtPr>
                              <w:alias w:val="Numeris"/>
                              <w:tag w:val="nr_fb7c9968c6834ac6af6e7c77fddf89d5"/>
                              <w:lock w:val="sdtLocked"/>
                              <w:richText/>
                            </w:sdtPr>
                            <w:sdtContent>
                              <w:r>
                                <w:rPr>
                                  <w:szCs w:val="24"/>
                                </w:rPr>
                                <w:t>3.1.11</w:t>
                              </w:r>
                            </w:sdtContent>
                          </w:sdt>
                          <w:r>
                            <w:rPr>
                              <w:szCs w:val="24"/>
                            </w:rPr>
                            <w:t>. klinikinio logopedo (suaugusiesiems ir vaikams, sergantiems nervų sistemos ir ausų, nosies, gerklės ligomis, ir vaikams, kuriems taikomos paslaugos dėl psichikos ir elgesio sutrikimų, kitų profilių ligomis sergantiems pacientams – pagal poreikį);</w:t>
                          </w:r>
                        </w:p>
                      </w:sdtContent>
                    </w:sdt>
                    <w:sdt>
                      <w:sdtPr>
                        <w:alias w:val="pr. 3.1.12 pp."/>
                        <w:tag w:val="part_a75e15ff0db34dd68761bf44843257c7"/>
                        <w:lock w:val="sdtLocked"/>
                        <w:richText/>
                      </w:sdtPr>
                      <w:sdtContent>
                        <w:p>
                          <w:pPr>
                            <w:ind w:firstLine="709"/>
                            <w:jc w:val="both"/>
                            <w:rPr>
                              <w:szCs w:val="24"/>
                            </w:rPr>
                          </w:pPr>
                          <w:sdt>
                            <w:sdtPr>
                              <w:alias w:val="Numeris"/>
                              <w:tag w:val="nr_a75e15ff0db34dd68761bf44843257c7"/>
                              <w:lock w:val="sdtLocked"/>
                              <w:richText/>
                            </w:sdtPr>
                            <w:sdtContent>
                              <w:r>
                                <w:rPr>
                                  <w:szCs w:val="24"/>
                                </w:rPr>
                                <w:t>3.1.12</w:t>
                              </w:r>
                            </w:sdtContent>
                          </w:sdt>
                          <w:r>
                            <w:rPr>
                              <w:szCs w:val="24"/>
                            </w:rPr>
                            <w:t xml:space="preserve">. radiologijos ir sudėtingos klinikinės fiziologijos tyrimai, ortopedinės ir kompensacinės technikos pritaikymo paslaugos bei atitinkamų gydytojų specialistų konsultacijos gali būti užtikrinamos pagal sutartis su kitomis </w:t>
                          </w:r>
                          <w:r>
                            <w:rPr>
                              <w:szCs w:val="24"/>
                              <w:lang w:eastAsia="lt-LT"/>
                            </w:rPr>
                            <w:t>asmens sveikatos priežiūros</w:t>
                          </w:r>
                          <w:r>
                            <w:rPr>
                              <w:szCs w:val="24"/>
                            </w:rPr>
                            <w:t xml:space="preserve"> įstaigomis;</w:t>
                          </w:r>
                        </w:p>
                      </w:sdtContent>
                    </w:sdt>
                  </w:sdtContent>
                </w:sdt>
                <w:sdt>
                  <w:sdtPr>
                    <w:alias w:val="pr. 3.2 pp."/>
                    <w:tag w:val="part_1d50a901f530453594e42f36519d19a3"/>
                    <w:lock w:val="sdtLocked"/>
                    <w:richText/>
                  </w:sdtPr>
                  <w:sdtContent>
                    <w:p>
                      <w:pPr>
                        <w:ind w:firstLine="709"/>
                        <w:jc w:val="both"/>
                        <w:rPr>
                          <w:szCs w:val="24"/>
                        </w:rPr>
                      </w:pPr>
                      <w:sdt>
                        <w:sdtPr>
                          <w:alias w:val="Numeris"/>
                          <w:tag w:val="nr_1d50a901f530453594e42f36519d19a3"/>
                          <w:lock w:val="sdtLocked"/>
                          <w:richText/>
                        </w:sdtPr>
                        <w:sdtContent>
                          <w:r>
                            <w:rPr>
                              <w:szCs w:val="24"/>
                            </w:rPr>
                            <w:t>3.2</w:t>
                          </w:r>
                        </w:sdtContent>
                      </w:sdt>
                      <w:r>
                        <w:rPr>
                          <w:szCs w:val="24"/>
                        </w:rPr>
                        <w:t>. ambulatorinės medicininės reabilitacijos paslaugas teikia šie specialistai:</w:t>
                      </w:r>
                    </w:p>
                    <w:sdt>
                      <w:sdtPr>
                        <w:alias w:val="pr. 3.2.1 pp."/>
                        <w:tag w:val="part_82f1c452ceb445d6bb87061de9362b6a"/>
                        <w:lock w:val="sdtLocked"/>
                        <w:richText/>
                      </w:sdtPr>
                      <w:sdtContent>
                        <w:p>
                          <w:pPr>
                            <w:ind w:firstLine="709"/>
                            <w:jc w:val="both"/>
                            <w:rPr>
                              <w:szCs w:val="24"/>
                            </w:rPr>
                          </w:pPr>
                          <w:sdt>
                            <w:sdtPr>
                              <w:alias w:val="Numeris"/>
                              <w:tag w:val="nr_82f1c452ceb445d6bb87061de9362b6a"/>
                              <w:lock w:val="sdtLocked"/>
                              <w:richText/>
                            </w:sdtPr>
                            <w:sdtContent>
                              <w:r>
                                <w:rPr>
                                  <w:szCs w:val="24"/>
                                </w:rPr>
                                <w:t>3.2.1</w:t>
                              </w:r>
                            </w:sdtContent>
                          </w:sdt>
                          <w:r>
                            <w:rPr>
                              <w:szCs w:val="24"/>
                            </w:rPr>
                            <w:t>. fizinės medicinos ir reabilitacijos gydytojas;</w:t>
                          </w:r>
                        </w:p>
                      </w:sdtContent>
                    </w:sdt>
                    <w:sdt>
                      <w:sdtPr>
                        <w:alias w:val="pr. 3.2.2 pp."/>
                        <w:tag w:val="part_f938cf0cabf34f0ba38e63c10434956c"/>
                        <w:lock w:val="sdtLocked"/>
                        <w:richText/>
                      </w:sdtPr>
                      <w:sdtContent>
                        <w:p>
                          <w:pPr>
                            <w:ind w:firstLine="709"/>
                            <w:jc w:val="both"/>
                            <w:rPr>
                              <w:szCs w:val="24"/>
                            </w:rPr>
                          </w:pPr>
                          <w:sdt>
                            <w:sdtPr>
                              <w:alias w:val="Numeris"/>
                              <w:tag w:val="nr_f938cf0cabf34f0ba38e63c10434956c"/>
                              <w:lock w:val="sdtLocked"/>
                              <w:richText/>
                            </w:sdtPr>
                            <w:sdtContent>
                              <w:r>
                                <w:rPr>
                                  <w:szCs w:val="24"/>
                                </w:rPr>
                                <w:t>3.2.2</w:t>
                              </w:r>
                            </w:sdtContent>
                          </w:sdt>
                          <w:r>
                            <w:rPr>
                              <w:szCs w:val="24"/>
                            </w:rPr>
                            <w:t>. bendrosios praktikos slaugytojas;</w:t>
                          </w:r>
                        </w:p>
                      </w:sdtContent>
                    </w:sdt>
                    <w:sdt>
                      <w:sdtPr>
                        <w:alias w:val="pr. 3.2.3 pp."/>
                        <w:tag w:val="part_9678d52aeeb0428ca69f6f93285538db"/>
                        <w:lock w:val="sdtLocked"/>
                        <w:richText/>
                      </w:sdtPr>
                      <w:sdtContent>
                        <w:p>
                          <w:pPr>
                            <w:ind w:firstLine="709"/>
                            <w:jc w:val="both"/>
                            <w:rPr>
                              <w:szCs w:val="24"/>
                            </w:rPr>
                          </w:pPr>
                          <w:sdt>
                            <w:sdtPr>
                              <w:alias w:val="Numeris"/>
                              <w:tag w:val="nr_9678d52aeeb0428ca69f6f93285538db"/>
                              <w:lock w:val="sdtLocked"/>
                              <w:richText/>
                            </w:sdtPr>
                            <w:sdtContent>
                              <w:r>
                                <w:rPr>
                                  <w:szCs w:val="24"/>
                                </w:rPr>
                                <w:t>3.2.3</w:t>
                              </w:r>
                            </w:sdtContent>
                          </w:sdt>
                          <w:r>
                            <w:rPr>
                              <w:szCs w:val="24"/>
                            </w:rPr>
                            <w:t>. kineziterapeutas;</w:t>
                          </w:r>
                        </w:p>
                      </w:sdtContent>
                    </w:sdt>
                    <w:sdt>
                      <w:sdtPr>
                        <w:alias w:val="pr. 3.2.4 pp."/>
                        <w:tag w:val="part_b1001b5c5aff4ea5bef8a946245a3d0a"/>
                        <w:lock w:val="sdtLocked"/>
                        <w:richText/>
                      </w:sdtPr>
                      <w:sdtContent>
                        <w:p>
                          <w:pPr>
                            <w:ind w:firstLine="709"/>
                            <w:jc w:val="both"/>
                            <w:rPr>
                              <w:szCs w:val="24"/>
                            </w:rPr>
                          </w:pPr>
                          <w:sdt>
                            <w:sdtPr>
                              <w:alias w:val="Numeris"/>
                              <w:tag w:val="nr_b1001b5c5aff4ea5bef8a946245a3d0a"/>
                              <w:lock w:val="sdtLocked"/>
                              <w:richText/>
                            </w:sdtPr>
                            <w:sdtContent>
                              <w:r>
                                <w:rPr>
                                  <w:szCs w:val="24"/>
                                </w:rPr>
                                <w:t>3.2.4</w:t>
                              </w:r>
                            </w:sdtContent>
                          </w:sdt>
                          <w:r>
                            <w:rPr>
                              <w:szCs w:val="24"/>
                            </w:rPr>
                            <w:t>. ergoterapeutas;</w:t>
                          </w:r>
                        </w:p>
                      </w:sdtContent>
                    </w:sdt>
                    <w:sdt>
                      <w:sdtPr>
                        <w:alias w:val="pr. 3.2.5 pp."/>
                        <w:tag w:val="part_ec9e5bd568274fe487fb8b743e35d92f"/>
                        <w:lock w:val="sdtLocked"/>
                        <w:richText/>
                      </w:sdtPr>
                      <w:sdtContent>
                        <w:p>
                          <w:pPr>
                            <w:ind w:firstLine="709"/>
                            <w:jc w:val="both"/>
                            <w:rPr>
                              <w:szCs w:val="24"/>
                            </w:rPr>
                          </w:pPr>
                          <w:sdt>
                            <w:sdtPr>
                              <w:alias w:val="Numeris"/>
                              <w:tag w:val="nr_ec9e5bd568274fe487fb8b743e35d92f"/>
                              <w:lock w:val="sdtLocked"/>
                              <w:richText/>
                            </w:sdtPr>
                            <w:sdtContent>
                              <w:r>
                                <w:rPr>
                                  <w:szCs w:val="24"/>
                                </w:rPr>
                                <w:t>3.2.5</w:t>
                              </w:r>
                            </w:sdtContent>
                          </w:sdt>
                          <w:r>
                            <w:rPr>
                              <w:szCs w:val="24"/>
                            </w:rPr>
                            <w:t>. gydomojo masažo specialistas;</w:t>
                          </w:r>
                        </w:p>
                      </w:sdtContent>
                    </w:sdt>
                    <w:sdt>
                      <w:sdtPr>
                        <w:alias w:val="pr. 3.2.6 pp."/>
                        <w:tag w:val="part_36b7decffc9c493ab5193ae19231ebec"/>
                        <w:lock w:val="sdtLocked"/>
                        <w:richText/>
                      </w:sdtPr>
                      <w:sdtContent>
                        <w:p>
                          <w:pPr>
                            <w:ind w:firstLine="709"/>
                            <w:jc w:val="both"/>
                            <w:rPr>
                              <w:szCs w:val="24"/>
                            </w:rPr>
                          </w:pPr>
                          <w:sdt>
                            <w:sdtPr>
                              <w:alias w:val="Numeris"/>
                              <w:tag w:val="nr_36b7decffc9c493ab5193ae19231ebec"/>
                              <w:lock w:val="sdtLocked"/>
                              <w:richText/>
                            </w:sdtPr>
                            <w:sdtContent>
                              <w:r>
                                <w:rPr>
                                  <w:szCs w:val="24"/>
                                </w:rPr>
                                <w:t>3.2.6</w:t>
                              </w:r>
                            </w:sdtContent>
                          </w:sdt>
                          <w:r>
                            <w:rPr>
                              <w:szCs w:val="24"/>
                            </w:rPr>
                            <w:t>. medicinos psichologas;</w:t>
                          </w:r>
                        </w:p>
                      </w:sdtContent>
                    </w:sdt>
                    <w:sdt>
                      <w:sdtPr>
                        <w:alias w:val="pr. 3.2.7 pp."/>
                        <w:tag w:val="part_27e7cef2b96d47ecb38b1e1d24f64cb6"/>
                        <w:lock w:val="sdtLocked"/>
                        <w:richText/>
                      </w:sdtPr>
                      <w:sdtContent>
                        <w:p>
                          <w:pPr>
                            <w:ind w:firstLine="709"/>
                            <w:jc w:val="both"/>
                            <w:rPr>
                              <w:szCs w:val="24"/>
                            </w:rPr>
                          </w:pPr>
                          <w:sdt>
                            <w:sdtPr>
                              <w:alias w:val="Numeris"/>
                              <w:tag w:val="nr_27e7cef2b96d47ecb38b1e1d24f64cb6"/>
                              <w:lock w:val="sdtLocked"/>
                              <w:richText/>
                            </w:sdtPr>
                            <w:sdtContent>
                              <w:r>
                                <w:rPr>
                                  <w:szCs w:val="24"/>
                                </w:rPr>
                                <w:t>3.2.7</w:t>
                              </w:r>
                            </w:sdtContent>
                          </w:sdt>
                          <w:r>
                            <w:rPr>
                              <w:szCs w:val="24"/>
                            </w:rPr>
                            <w:t>. socialinis darbuotojas;</w:t>
                          </w:r>
                        </w:p>
                      </w:sdtContent>
                    </w:sdt>
                    <w:sdt>
                      <w:sdtPr>
                        <w:alias w:val="pr. 3.2.8 pp."/>
                        <w:tag w:val="part_1a6c7a1d42d84dcf99d62c6a479864fb"/>
                        <w:lock w:val="sdtLocked"/>
                        <w:richText/>
                      </w:sdtPr>
                      <w:sdtContent>
                        <w:p>
                          <w:pPr>
                            <w:ind w:firstLine="709"/>
                            <w:jc w:val="both"/>
                            <w:rPr>
                              <w:szCs w:val="24"/>
                            </w:rPr>
                          </w:pPr>
                          <w:sdt>
                            <w:sdtPr>
                              <w:alias w:val="Numeris"/>
                              <w:tag w:val="nr_1a6c7a1d42d84dcf99d62c6a479864fb"/>
                              <w:lock w:val="sdtLocked"/>
                              <w:richText/>
                            </w:sdtPr>
                            <w:sdtContent>
                              <w:r>
                                <w:rPr>
                                  <w:szCs w:val="24"/>
                                </w:rPr>
                                <w:t>3.2.8</w:t>
                              </w:r>
                            </w:sdtContent>
                          </w:sdt>
                          <w:r>
                            <w:rPr>
                              <w:szCs w:val="24"/>
                            </w:rPr>
                            <w:t>. klinikinis logopedas (esant indikacijų).</w:t>
                          </w:r>
                        </w:p>
                        <w:p>
                          <w:pPr>
                            <w:jc w:val="center"/>
                            <w:rPr>
                              <w:b/>
                              <w:szCs w:val="24"/>
                            </w:rPr>
                          </w:pPr>
                        </w:p>
                      </w:sdtContent>
                    </w:sdt>
                  </w:sdtContent>
                </w:sdt>
              </w:sdtContent>
            </w:sdt>
          </w:sdtContent>
        </w:sdt>
        <w:sdt>
          <w:sdtPr>
            <w:alias w:val="skyrius"/>
            <w:tag w:val="part_d36e2acd366e402cbe744651b763a047"/>
            <w:lock w:val="sdtLocked"/>
            <w:richText/>
          </w:sdtPr>
          <w:sdtContent>
            <w:p>
              <w:pPr>
                <w:jc w:val="center"/>
                <w:rPr>
                  <w:b/>
                  <w:szCs w:val="24"/>
                </w:rPr>
              </w:pPr>
              <w:sdt>
                <w:sdtPr>
                  <w:alias w:val="Numeris"/>
                  <w:tag w:val="nr_d36e2acd366e402cbe744651b763a047"/>
                  <w:lock w:val="sdtLocked"/>
                  <w:richText/>
                </w:sdtPr>
                <w:sdtContent>
                  <w:r>
                    <w:rPr>
                      <w:b/>
                      <w:szCs w:val="24"/>
                    </w:rPr>
                    <w:t>II</w:t>
                  </w:r>
                </w:sdtContent>
              </w:sdt>
              <w:r>
                <w:rPr>
                  <w:b/>
                  <w:szCs w:val="24"/>
                </w:rPr>
                <w:t xml:space="preserve"> SKYRIUS</w:t>
              </w:r>
            </w:p>
            <w:p>
              <w:pPr>
                <w:jc w:val="center"/>
                <w:rPr>
                  <w:b/>
                  <w:szCs w:val="24"/>
                </w:rPr>
              </w:pPr>
              <w:sdt>
                <w:sdtPr>
                  <w:alias w:val="Pavadinimas"/>
                  <w:tag w:val="title_d36e2acd366e402cbe744651b763a047"/>
                  <w:lock w:val="sdtLocked"/>
                  <w:richText/>
                </w:sdtPr>
                <w:sdtContent>
                  <w:r>
                    <w:rPr>
                      <w:b/>
                      <w:szCs w:val="24"/>
                    </w:rPr>
                    <w:t>BENDROS SIUNTIMO M</w:t>
                  </w:r>
                  <w:r>
                    <w:rPr>
                      <w:b/>
                      <w:iCs/>
                      <w:szCs w:val="24"/>
                    </w:rPr>
                    <w:t>EDICININEI REABILITACIJAI</w:t>
                  </w:r>
                  <w:r>
                    <w:rPr>
                      <w:b/>
                      <w:szCs w:val="24"/>
                    </w:rPr>
                    <w:t>, SVEIKATOS GRĄŽINAMAJAM GYDYMUI, ANTIRECIDYVINIAM GYDYMUI, PREVENCINEI MEDICININEI PSICHOLOGINEI REABILITACIJAI KONTRAINDIKACIJOS</w:t>
                  </w:r>
                </w:sdtContent>
              </w:sdt>
            </w:p>
            <w:p>
              <w:pPr>
                <w:ind w:firstLine="709"/>
                <w:jc w:val="both"/>
                <w:rPr>
                  <w:szCs w:val="24"/>
                </w:rPr>
              </w:pPr>
            </w:p>
            <w:sdt>
              <w:sdtPr>
                <w:alias w:val="pr. 4 p."/>
                <w:tag w:val="part_6c473d65dcd1480cb28a6bb16101d916"/>
                <w:lock w:val="sdtLocked"/>
                <w:richText/>
              </w:sdtPr>
              <w:sdtContent>
                <w:p>
                  <w:pPr>
                    <w:ind w:firstLine="709"/>
                    <w:jc w:val="both"/>
                    <w:rPr>
                      <w:szCs w:val="24"/>
                    </w:rPr>
                  </w:pPr>
                  <w:sdt>
                    <w:sdtPr>
                      <w:alias w:val="Numeris"/>
                      <w:tag w:val="nr_6c473d65dcd1480cb28a6bb16101d916"/>
                      <w:lock w:val="sdtLocked"/>
                      <w:richText/>
                    </w:sdtPr>
                    <w:sdtContent>
                      <w:r>
                        <w:rPr>
                          <w:szCs w:val="24"/>
                        </w:rPr>
                        <w:t>4</w:t>
                      </w:r>
                    </w:sdtContent>
                  </w:sdt>
                  <w:r>
                    <w:rPr>
                      <w:szCs w:val="24"/>
                    </w:rPr>
                    <w:t>. Didelė anemija su ryškiais klinikiniais požymiais, kai indikuotinos hemotransfuzijos; ūmios anemijos atveju, kai Hb yra mažiau nei 80g/l ir yra klinikinių jos simptomų, o kitais anemijų atvejais, kai Hb yra mažiau nei 80g/l, sprendžiama individualiai dėl reabilitacijos skyrimo.</w:t>
                  </w:r>
                </w:p>
              </w:sdtContent>
            </w:sdt>
            <w:sdt>
              <w:sdtPr>
                <w:alias w:val="pr. 5 p."/>
                <w:tag w:val="part_5118c67bc4bc413b8c949d14a7643ee7"/>
                <w:lock w:val="sdtLocked"/>
                <w:richText/>
              </w:sdtPr>
              <w:sdtContent>
                <w:p>
                  <w:pPr>
                    <w:ind w:firstLine="709"/>
                    <w:jc w:val="both"/>
                    <w:rPr>
                      <w:szCs w:val="24"/>
                    </w:rPr>
                  </w:pPr>
                  <w:sdt>
                    <w:sdtPr>
                      <w:alias w:val="Numeris"/>
                      <w:tag w:val="nr_5118c67bc4bc413b8c949d14a7643ee7"/>
                      <w:lock w:val="sdtLocked"/>
                      <w:richText/>
                    </w:sdtPr>
                    <w:sdtContent>
                      <w:r>
                        <w:rPr>
                          <w:szCs w:val="24"/>
                        </w:rPr>
                        <w:t>5</w:t>
                      </w:r>
                    </w:sdtContent>
                  </w:sdt>
                  <w:r>
                    <w:rPr>
                      <w:szCs w:val="24"/>
                    </w:rPr>
                    <w:t>. Ūmi infekcinė liga, trikdanti paciento kokybišką įsitraukimą 2–3 val. per dieną į teikiamų reabilitacijos paslaugų procesą.</w:t>
                  </w:r>
                </w:p>
              </w:sdtContent>
            </w:sdt>
            <w:sdt>
              <w:sdtPr>
                <w:alias w:val="pr. 6 p."/>
                <w:tag w:val="part_e3a510f4eeba4ab7a4e39fd47c63c8a1"/>
                <w:lock w:val="sdtLocked"/>
                <w:richText/>
              </w:sdtPr>
              <w:sdtContent>
                <w:p>
                  <w:pPr>
                    <w:ind w:firstLine="709"/>
                    <w:jc w:val="both"/>
                    <w:rPr>
                      <w:szCs w:val="24"/>
                    </w:rPr>
                  </w:pPr>
                  <w:sdt>
                    <w:sdtPr>
                      <w:alias w:val="Numeris"/>
                      <w:tag w:val="nr_e3a510f4eeba4ab7a4e39fd47c63c8a1"/>
                      <w:lock w:val="sdtLocked"/>
                      <w:richText/>
                    </w:sdtPr>
                    <w:sdtContent>
                      <w:r>
                        <w:rPr>
                          <w:szCs w:val="24"/>
                        </w:rPr>
                        <w:t>6</w:t>
                      </w:r>
                    </w:sdtContent>
                  </w:sdt>
                  <w:r>
                    <w:rPr>
                      <w:szCs w:val="24"/>
                    </w:rPr>
                    <w:t>. Ūmi plaučių arterijos tromboembolija, ūmi giliųjų venų trombozė.</w:t>
                  </w:r>
                </w:p>
              </w:sdtContent>
            </w:sdt>
            <w:sdt>
              <w:sdtPr>
                <w:alias w:val="pr. 7 p."/>
                <w:tag w:val="part_a5532116b367499da5ca89eea7071aec"/>
                <w:lock w:val="sdtLocked"/>
                <w:richText/>
              </w:sdtPr>
              <w:sdtContent>
                <w:p>
                  <w:pPr>
                    <w:ind w:firstLine="709"/>
                    <w:jc w:val="both"/>
                    <w:rPr>
                      <w:szCs w:val="24"/>
                    </w:rPr>
                  </w:pPr>
                  <w:sdt>
                    <w:sdtPr>
                      <w:alias w:val="Numeris"/>
                      <w:tag w:val="nr_a5532116b367499da5ca89eea7071aec"/>
                      <w:lock w:val="sdtLocked"/>
                      <w:richText/>
                    </w:sdtPr>
                    <w:sdtContent>
                      <w:r>
                        <w:rPr>
                          <w:szCs w:val="24"/>
                        </w:rPr>
                        <w:t>7</w:t>
                      </w:r>
                    </w:sdtContent>
                  </w:sdt>
                  <w:r>
                    <w:rPr>
                      <w:szCs w:val="24"/>
                    </w:rPr>
                    <w:t>. Visų tuberkuliozės formų aktyvioji stadija.</w:t>
                  </w:r>
                </w:p>
              </w:sdtContent>
            </w:sdt>
            <w:sdt>
              <w:sdtPr>
                <w:alias w:val="pr. 8 p."/>
                <w:tag w:val="part_5a1e38ae6f8f48de94e6188f5393db77"/>
                <w:lock w:val="sdtLocked"/>
                <w:richText/>
              </w:sdtPr>
              <w:sdtContent>
                <w:p>
                  <w:pPr>
                    <w:ind w:firstLine="709"/>
                    <w:jc w:val="both"/>
                    <w:rPr>
                      <w:szCs w:val="24"/>
                    </w:rPr>
                  </w:pPr>
                  <w:sdt>
                    <w:sdtPr>
                      <w:alias w:val="Numeris"/>
                      <w:tag w:val="nr_5a1e38ae6f8f48de94e6188f5393db77"/>
                      <w:lock w:val="sdtLocked"/>
                      <w:richText/>
                    </w:sdtPr>
                    <w:sdtContent>
                      <w:r>
                        <w:rPr>
                          <w:szCs w:val="24"/>
                        </w:rPr>
                        <w:t>8</w:t>
                      </w:r>
                    </w:sdtContent>
                  </w:sdt>
                  <w:r>
                    <w:rPr>
                      <w:szCs w:val="24"/>
                    </w:rPr>
                    <w:t>. Ūmi psichozė.</w:t>
                  </w:r>
                </w:p>
              </w:sdtContent>
            </w:sdt>
            <w:sdt>
              <w:sdtPr>
                <w:alias w:val="pr. 9 p."/>
                <w:tag w:val="part_2af67792e3bc469099cd64ca6b7a8ff2"/>
                <w:lock w:val="sdtLocked"/>
                <w:richText/>
              </w:sdtPr>
              <w:sdtContent>
                <w:p>
                  <w:pPr>
                    <w:ind w:firstLine="709"/>
                    <w:jc w:val="both"/>
                    <w:rPr>
                      <w:szCs w:val="24"/>
                    </w:rPr>
                  </w:pPr>
                  <w:sdt>
                    <w:sdtPr>
                      <w:alias w:val="Numeris"/>
                      <w:tag w:val="nr_2af67792e3bc469099cd64ca6b7a8ff2"/>
                      <w:lock w:val="sdtLocked"/>
                      <w:richText/>
                    </w:sdtPr>
                    <w:sdtContent>
                      <w:r>
                        <w:rPr>
                          <w:szCs w:val="24"/>
                        </w:rPr>
                        <w:t>9</w:t>
                      </w:r>
                    </w:sdtContent>
                  </w:sdt>
                  <w:r>
                    <w:rPr>
                      <w:szCs w:val="24"/>
                    </w:rPr>
                    <w:t>. Febrilus karščiavimas arba neaiškios kilmės subfebrilus karščiavimas.</w:t>
                  </w:r>
                </w:p>
              </w:sdtContent>
            </w:sdt>
            <w:sdt>
              <w:sdtPr>
                <w:alias w:val="pr. 10 p."/>
                <w:tag w:val="part_ac19fcecd09e4a54a7ece21aee89c7e1"/>
                <w:lock w:val="sdtLocked"/>
                <w:richText/>
              </w:sdtPr>
              <w:sdtContent>
                <w:p>
                  <w:pPr>
                    <w:ind w:firstLine="709"/>
                    <w:jc w:val="both"/>
                    <w:rPr>
                      <w:szCs w:val="24"/>
                    </w:rPr>
                  </w:pPr>
                  <w:sdt>
                    <w:sdtPr>
                      <w:alias w:val="Numeris"/>
                      <w:tag w:val="nr_ac19fcecd09e4a54a7ece21aee89c7e1"/>
                      <w:lock w:val="sdtLocked"/>
                      <w:richText/>
                    </w:sdtPr>
                    <w:sdtContent>
                      <w:r>
                        <w:rPr>
                          <w:szCs w:val="24"/>
                        </w:rPr>
                        <w:t>10</w:t>
                      </w:r>
                    </w:sdtContent>
                  </w:sdt>
                  <w:r>
                    <w:rPr>
                      <w:szCs w:val="24"/>
                    </w:rPr>
                    <w:t>. Dekompensuota būklė arba sunki gretutinė liga, trukdanti aktyviai dalyvauti reabilitacijos programoje.</w:t>
                  </w:r>
                </w:p>
              </w:sdtContent>
            </w:sdt>
            <w:sdt>
              <w:sdtPr>
                <w:alias w:val="pr. 11 p."/>
                <w:tag w:val="part_510b0841eb154dafb38f95e078b3bf5d"/>
                <w:lock w:val="sdtLocked"/>
                <w:richText/>
              </w:sdtPr>
              <w:sdtContent>
                <w:p>
                  <w:pPr>
                    <w:ind w:firstLine="709"/>
                    <w:jc w:val="both"/>
                    <w:rPr>
                      <w:szCs w:val="24"/>
                    </w:rPr>
                  </w:pPr>
                  <w:sdt>
                    <w:sdtPr>
                      <w:alias w:val="Numeris"/>
                      <w:tag w:val="nr_510b0841eb154dafb38f95e078b3bf5d"/>
                      <w:lock w:val="sdtLocked"/>
                      <w:richText/>
                    </w:sdtPr>
                    <w:sdtContent>
                      <w:r>
                        <w:rPr>
                          <w:szCs w:val="24"/>
                        </w:rPr>
                        <w:t>11</w:t>
                      </w:r>
                    </w:sdtContent>
                  </w:sdt>
                  <w:r>
                    <w:rPr>
                      <w:szCs w:val="24"/>
                    </w:rPr>
                    <w:t>. Vegetacinė būklė ir kitos slaugos bei paliatyvaus gydymo reikalaujančios būklės.</w:t>
                  </w:r>
                </w:p>
              </w:sdtContent>
            </w:sdt>
            <w:sdt>
              <w:sdtPr>
                <w:alias w:val="pr. 12 p."/>
                <w:tag w:val="part_511bd7f5b9434d43913d2cd719d92904"/>
                <w:lock w:val="sdtLocked"/>
                <w:richText/>
              </w:sdtPr>
              <w:sdtContent>
                <w:p>
                  <w:pPr>
                    <w:ind w:firstLine="709"/>
                    <w:jc w:val="both"/>
                    <w:rPr>
                      <w:szCs w:val="24"/>
                    </w:rPr>
                  </w:pPr>
                  <w:sdt>
                    <w:sdtPr>
                      <w:alias w:val="Numeris"/>
                      <w:tag w:val="nr_511bd7f5b9434d43913d2cd719d92904"/>
                      <w:lock w:val="sdtLocked"/>
                      <w:richText/>
                    </w:sdtPr>
                    <w:sdtContent>
                      <w:r>
                        <w:rPr>
                          <w:szCs w:val="24"/>
                        </w:rPr>
                        <w:t>12</w:t>
                      </w:r>
                    </w:sdtContent>
                  </w:sdt>
                  <w:r>
                    <w:rPr>
                      <w:szCs w:val="24"/>
                    </w:rPr>
                    <w:t xml:space="preserve">. Pacientas stokoja motyvacijos arba dėl suvokimo sutrikimo (kognityvinių funkcijų sutrikimas, kai trumpas protinės būklės tyrimo (MMSE – </w:t>
                  </w:r>
                  <w:r>
                    <w:rPr>
                      <w:i/>
                      <w:iCs/>
                      <w:szCs w:val="24"/>
                    </w:rPr>
                    <w:t>Mini mental state examination</w:t>
                  </w:r>
                  <w:r>
                    <w:rPr>
                      <w:szCs w:val="24"/>
                    </w:rPr>
                    <w:t>) testo rezultatas yra mažiau kaip 11 balų) bei dėl kitų priežasčių negali aktyviai dalyvauti reabilitacijos procese.</w:t>
                  </w:r>
                </w:p>
              </w:sdtContent>
            </w:sdt>
            <w:sdt>
              <w:sdtPr>
                <w:alias w:val="pr. 13 p."/>
                <w:tag w:val="part_f1203f79f58746d1aa4e2929fc70763f"/>
                <w:lock w:val="sdtLocked"/>
                <w:richText/>
              </w:sdtPr>
              <w:sdtContent>
                <w:p>
                  <w:pPr>
                    <w:ind w:firstLine="709"/>
                    <w:jc w:val="both"/>
                    <w:rPr>
                      <w:szCs w:val="24"/>
                    </w:rPr>
                  </w:pPr>
                  <w:sdt>
                    <w:sdtPr>
                      <w:alias w:val="Numeris"/>
                      <w:tag w:val="nr_f1203f79f58746d1aa4e2929fc70763f"/>
                      <w:lock w:val="sdtLocked"/>
                      <w:richText/>
                    </w:sdtPr>
                    <w:sdtContent>
                      <w:r>
                        <w:rPr>
                          <w:szCs w:val="24"/>
                        </w:rPr>
                        <w:t>13</w:t>
                      </w:r>
                    </w:sdtContent>
                  </w:sdt>
                  <w:r>
                    <w:rPr>
                      <w:szCs w:val="24"/>
                    </w:rPr>
                    <w:t>. Pacientas nebendradarbiauja su medicininės reabilitacijos specialistų komandos nariais, pasireiškia asmenybės desocializacijos reiškiniai (agresyvus elgesys savo ar aplinkinių atžvilgiu, savęs žalojimas, gydymo įstaigos elgesio taisyklių tyčinis pažeidinėjimas).</w:t>
                  </w:r>
                </w:p>
              </w:sdtContent>
            </w:sdt>
            <w:sdt>
              <w:sdtPr>
                <w:alias w:val="pr. 14 p."/>
                <w:tag w:val="part_c97e17d740f44c628ae4a99185604d83"/>
                <w:lock w:val="sdtLocked"/>
                <w:richText/>
              </w:sdtPr>
              <w:sdtContent>
                <w:p>
                  <w:pPr>
                    <w:ind w:firstLine="709"/>
                    <w:jc w:val="both"/>
                    <w:rPr>
                      <w:szCs w:val="24"/>
                    </w:rPr>
                  </w:pPr>
                  <w:sdt>
                    <w:sdtPr>
                      <w:alias w:val="Numeris"/>
                      <w:tag w:val="nr_c97e17d740f44c628ae4a99185604d83"/>
                      <w:lock w:val="sdtLocked"/>
                      <w:richText/>
                    </w:sdtPr>
                    <w:sdtContent>
                      <w:r>
                        <w:rPr>
                          <w:szCs w:val="24"/>
                        </w:rPr>
                        <w:t>14</w:t>
                      </w:r>
                    </w:sdtContent>
                  </w:sdt>
                  <w:r>
                    <w:rPr>
                      <w:szCs w:val="24"/>
                    </w:rPr>
                    <w:t>. Onkologinė liga, po specifinio gydymo, kai Karnofskio indeksas mažesnis kaip 50 procentų arba kai teikiama paliatyvioji pagalba.</w:t>
                  </w:r>
                </w:p>
              </w:sdtContent>
            </w:sdt>
            <w:sdt>
              <w:sdtPr>
                <w:alias w:val="pr. 15 p."/>
                <w:tag w:val="part_b692c4261cbc46d28b45bf55e59c4d89"/>
                <w:lock w:val="sdtLocked"/>
                <w:richText/>
              </w:sdtPr>
              <w:sdtContent>
                <w:p>
                  <w:pPr>
                    <w:ind w:firstLine="709"/>
                    <w:jc w:val="both"/>
                    <w:rPr>
                      <w:szCs w:val="24"/>
                    </w:rPr>
                  </w:pPr>
                  <w:sdt>
                    <w:sdtPr>
                      <w:alias w:val="Numeris"/>
                      <w:tag w:val="nr_b692c4261cbc46d28b45bf55e59c4d89"/>
                      <w:lock w:val="sdtLocked"/>
                      <w:richText/>
                    </w:sdtPr>
                    <w:sdtContent>
                      <w:r>
                        <w:rPr>
                          <w:szCs w:val="24"/>
                        </w:rPr>
                        <w:t>15</w:t>
                      </w:r>
                    </w:sdtContent>
                  </w:sdt>
                  <w:r>
                    <w:rPr>
                      <w:szCs w:val="24"/>
                    </w:rPr>
                    <w:t>. Kritinė aortos vožtuvo stenozė, kai netaikytas operacinis gydymas.</w:t>
                  </w:r>
                </w:p>
                <w:p>
                  <w:pPr>
                    <w:rPr>
                      <w:b/>
                      <w:bCs/>
                      <w:caps/>
                      <w:szCs w:val="24"/>
                    </w:rPr>
                  </w:pPr>
                </w:p>
              </w:sdtContent>
            </w:sdt>
          </w:sdtContent>
        </w:sdt>
        <w:sdt>
          <w:sdtPr>
            <w:alias w:val="skyrius"/>
            <w:tag w:val="part_ce0d8ec2cea64964af060c15b4f4ca82"/>
            <w:lock w:val="sdtLocked"/>
            <w:richText/>
          </w:sdtPr>
          <w:sdtContent>
            <w:p>
              <w:pPr>
                <w:jc w:val="center"/>
                <w:rPr>
                  <w:szCs w:val="24"/>
                </w:rPr>
              </w:pPr>
              <w:sdt>
                <w:sdtPr>
                  <w:alias w:val="Numeris"/>
                  <w:tag w:val="nr_ce0d8ec2cea64964af060c15b4f4ca82"/>
                  <w:lock w:val="sdtLocked"/>
                  <w:richText/>
                </w:sdtPr>
                <w:sdtContent>
                  <w:r>
                    <w:rPr>
                      <w:b/>
                      <w:bCs/>
                      <w:caps/>
                      <w:szCs w:val="24"/>
                    </w:rPr>
                    <w:t>iii</w:t>
                  </w:r>
                </w:sdtContent>
              </w:sdt>
              <w:r>
                <w:rPr>
                  <w:b/>
                  <w:bCs/>
                  <w:caps/>
                  <w:szCs w:val="24"/>
                </w:rPr>
                <w:t xml:space="preserve"> SKYRIUS</w:t>
              </w:r>
            </w:p>
            <w:p>
              <w:pPr>
                <w:tabs>
                  <w:tab w:val="left" w:pos="397"/>
                </w:tabs>
                <w:jc w:val="center"/>
                <w:rPr>
                  <w:b/>
                  <w:szCs w:val="24"/>
                </w:rPr>
              </w:pPr>
              <w:sdt>
                <w:sdtPr>
                  <w:alias w:val="Pavadinimas"/>
                  <w:tag w:val="title_ce0d8ec2cea64964af060c15b4f4ca82"/>
                  <w:lock w:val="sdtLocked"/>
                  <w:richText/>
                </w:sdtPr>
                <w:sdtContent>
                  <w:r>
                    <w:rPr>
                      <w:b/>
                      <w:bCs/>
                      <w:caps/>
                      <w:szCs w:val="24"/>
                    </w:rPr>
                    <w:t xml:space="preserve">Stacionarinės ir ambulatorinės </w:t>
                  </w:r>
                  <w:r>
                    <w:rPr>
                      <w:b/>
                      <w:szCs w:val="24"/>
                    </w:rPr>
                    <w:t>M</w:t>
                  </w:r>
                  <w:r>
                    <w:rPr>
                      <w:b/>
                      <w:iCs/>
                      <w:szCs w:val="24"/>
                    </w:rPr>
                    <w:t>EDICININĖS REABILITACIJOS</w:t>
                  </w:r>
                  <w:r>
                    <w:rPr>
                      <w:b/>
                      <w:szCs w:val="24"/>
                    </w:rPr>
                    <w:t xml:space="preserve">, SVEIKATOS GRĄŽINAMOJO GYDYMO </w:t>
                  </w:r>
                  <w:r>
                    <w:rPr>
                      <w:b/>
                      <w:iCs/>
                      <w:szCs w:val="24"/>
                    </w:rPr>
                    <w:t>PASLAUGŲ TEIKIMO SPECIALIEJI REIKALAVIMAI IR INDIKACIJOS</w:t>
                  </w:r>
                </w:sdtContent>
              </w:sdt>
            </w:p>
            <w:p>
              <w:pPr>
                <w:jc w:val="center"/>
                <w:rPr>
                  <w:szCs w:val="24"/>
                </w:rPr>
              </w:pPr>
            </w:p>
            <w:p>
              <w:pPr>
                <w:jc w:val="center"/>
                <w:rPr>
                  <w:b/>
                  <w:iCs/>
                  <w:szCs w:val="24"/>
                </w:rPr>
              </w:pPr>
              <w:r>
                <w:rPr>
                  <w:b/>
                  <w:iCs/>
                  <w:szCs w:val="24"/>
                </w:rPr>
                <w:t>Endokrininės ligos</w:t>
              </w:r>
            </w:p>
            <w:p>
              <w:pPr>
                <w:jc w:val="center"/>
                <w:rPr>
                  <w:iCs/>
                  <w:szCs w:val="24"/>
                </w:rPr>
              </w:pPr>
            </w:p>
            <w:tbl>
              <w:tblPr>
                <w:tblW w:w="5006"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927"/>
                <w:gridCol w:w="3400"/>
                <w:gridCol w:w="1539"/>
              </w:tblGrid>
              <w:tr>
                <w:trPr>
                  <w:cantSplit/>
                  <w:trHeight w:val="1073"/>
                  <w:tblHeader/>
                </w:trPr>
                <w:tc>
                  <w:tcPr>
                    <w:tcW w:w="2497" w:type="pct"/>
                    <w:vAlign w:val="center"/>
                  </w:tcPr>
                  <w:p>
                    <w:pPr>
                      <w:jc w:val="center"/>
                      <w:rPr>
                        <w:szCs w:val="24"/>
                      </w:rPr>
                    </w:pPr>
                    <w:r>
                      <w:rPr>
                        <w:szCs w:val="24"/>
                      </w:rPr>
                      <w:t>Diagnozės</w:t>
                    </w:r>
                  </w:p>
                </w:tc>
                <w:tc>
                  <w:tcPr>
                    <w:tcW w:w="1723" w:type="pct"/>
                    <w:vAlign w:val="center"/>
                  </w:tcPr>
                  <w:p>
                    <w:pPr>
                      <w:jc w:val="center"/>
                      <w:rPr>
                        <w:szCs w:val="24"/>
                      </w:rPr>
                    </w:pPr>
                    <w:r>
                      <w:rPr>
                        <w:szCs w:val="24"/>
                      </w:rPr>
                      <w:t>Biopsichosocialinių funkcijų sutrikimo</w:t>
                    </w:r>
                  </w:p>
                  <w:p>
                    <w:pPr>
                      <w:jc w:val="center"/>
                      <w:rPr>
                        <w:szCs w:val="24"/>
                      </w:rPr>
                    </w:pPr>
                    <w:r>
                      <w:rPr>
                        <w:szCs w:val="24"/>
                      </w:rPr>
                      <w:t>ir (ar) ligos sunkumo laipsnis</w:t>
                    </w:r>
                  </w:p>
                </w:tc>
                <w:tc>
                  <w:tcPr>
                    <w:tcW w:w="780" w:type="pct"/>
                    <w:vAlign w:val="center"/>
                  </w:tcPr>
                  <w:p>
                    <w:pPr>
                      <w:keepNext/>
                      <w:jc w:val="center"/>
                      <w:outlineLvl w:val="3"/>
                      <w:rPr>
                        <w:bCs/>
                        <w:szCs w:val="24"/>
                      </w:rPr>
                    </w:pPr>
                    <w:r>
                      <w:rPr>
                        <w:bCs/>
                        <w:szCs w:val="24"/>
                      </w:rPr>
                      <w:t>Reabilitacijos trukmė</w:t>
                    </w:r>
                  </w:p>
                  <w:p>
                    <w:pPr>
                      <w:jc w:val="center"/>
                      <w:rPr>
                        <w:szCs w:val="24"/>
                      </w:rPr>
                    </w:pPr>
                    <w:r>
                      <w:rPr>
                        <w:szCs w:val="24"/>
                      </w:rPr>
                      <w:t>(kalendorinė-mis dienomis)</w:t>
                    </w:r>
                  </w:p>
                </w:tc>
              </w:tr>
              <w:tr>
                <w:trPr>
                  <w:cantSplit/>
                  <w:trHeight w:val="272"/>
                </w:trPr>
                <w:tc>
                  <w:tcPr>
                    <w:tcW w:w="5000" w:type="pct"/>
                    <w:gridSpan w:val="3"/>
                  </w:tcPr>
                  <w:p>
                    <w:pPr>
                      <w:keepNext/>
                      <w:jc w:val="both"/>
                      <w:outlineLvl w:val="1"/>
                      <w:rPr>
                        <w:bCs/>
                        <w:iCs/>
                        <w:szCs w:val="24"/>
                      </w:rPr>
                    </w:pPr>
                    <w:r>
                      <w:rPr>
                        <w:bCs/>
                        <w:iCs/>
                        <w:szCs w:val="24"/>
                      </w:rPr>
                      <w:t>Stacionarinė reabilitacija</w:t>
                    </w:r>
                  </w:p>
                  <w:p>
                    <w:pPr>
                      <w:jc w:val="both"/>
                      <w:rPr>
                        <w:szCs w:val="24"/>
                      </w:rPr>
                    </w:pPr>
                    <w:r>
                      <w:rPr>
                        <w:szCs w:val="24"/>
                      </w:rPr>
                      <w:t xml:space="preserve">Paslaugos vienam pacientui per 10 darbo dienų: kineziterapija – 15 procedūrų, ergoterapija – 6 procedūros, gydomasis masažas – 6 procedūros, fizioterapija – 7 procedūros, 2 medicinos psichologo konsultacijos, 1 socialinio darbuotojo konsultacija, dietoterapija. Paslaugos, teikiamos pagal indikacijas: medikamentinis gydymas, paciento mokymas ir kitos paslaugos. </w:t>
                    </w:r>
                  </w:p>
                  <w:p>
                    <w:pPr>
                      <w:jc w:val="both"/>
                      <w:rPr>
                        <w:szCs w:val="24"/>
                      </w:rPr>
                    </w:pPr>
                    <w:r>
                      <w:rPr>
                        <w:szCs w:val="24"/>
                      </w:rPr>
                      <w:t>Stacionarinės medicininės reabilitacijos metu pacientui atliekami klinikiniai fiziologiniai, radiologiniai, laboratoriniai tyrimai pagal indikacijas, teikiamos gydytojų specialistų konsultacijos bei ortopedinės ir kompensacinės technikos pritaikymo paslaugos.</w:t>
                    </w:r>
                  </w:p>
                  <w:p>
                    <w:pPr>
                      <w:jc w:val="both"/>
                      <w:rPr>
                        <w:szCs w:val="24"/>
                      </w:rPr>
                    </w:pPr>
                  </w:p>
                  <w:p>
                    <w:pPr>
                      <w:jc w:val="both"/>
                      <w:rPr>
                        <w:szCs w:val="24"/>
                      </w:rPr>
                    </w:pPr>
                    <w:r>
                      <w:rPr>
                        <w:szCs w:val="24"/>
                      </w:rPr>
                      <w:t>Pastaba. Paslaugų skaičius vienam pacientui, nustatytas šiuose reikalavimuose, gali būti didinamas arba mažinamas, atsižvelgiant į paciento būklę ir indikacijas. Mažinant ar didinant paslaugų arba tyrimų skaičių tai būtina pagrįsti ir padaryti atitinkamus įrašus Gydymo stacionare ligos istorijoje (forma Nr. 003/a), nurodytoje Privalomų sveikatos statistikos apskaitos ir kitų tipinių formų, pildomų sveikatos pr</w:t>
                    </w:r>
                    <w:r>
                      <w:rPr>
                        <w:iCs/>
                        <w:szCs w:val="24"/>
                      </w:rPr>
                      <w:t>iežiūros įstaigose, sąra</w:t>
                    </w:r>
                    <w:r>
                      <w:rPr>
                        <w:szCs w:val="24"/>
                      </w:rPr>
                      <w:t>še, patvirtintame Lietuvos Respublikos sveikatos apsaugos ministro 1999 m. lapkričio 29 d. įsakymu Nr. 515 „Dėl Sveikatos priežiūros įstaigų veiklos apskaitos ir atskaitomybės tvarkos“ (toliau – gydymo stacionare ligos istorija (forma Nr. 003/a)</w:t>
                    </w:r>
                  </w:p>
                </w:tc>
              </w:tr>
            </w:tbl>
            <w:p>
              <w:pPr>
                <w:jc w:val="center"/>
                <w:rPr>
                  <w:iCs/>
                  <w:szCs w:val="24"/>
                </w:rPr>
              </w:pPr>
            </w:p>
            <w:tbl>
              <w:tblPr>
                <w:tblW w:w="5006"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911"/>
                <w:gridCol w:w="3384"/>
                <w:gridCol w:w="1571"/>
              </w:tblGrid>
              <w:tr>
                <w:trPr>
                  <w:cantSplit/>
                  <w:trHeight w:val="1073"/>
                  <w:tblHeader/>
                </w:trPr>
                <w:tc>
                  <w:tcPr>
                    <w:tcW w:w="2489" w:type="pct"/>
                    <w:vAlign w:val="center"/>
                  </w:tcPr>
                  <w:p>
                    <w:pPr>
                      <w:jc w:val="center"/>
                      <w:rPr>
                        <w:szCs w:val="24"/>
                      </w:rPr>
                    </w:pPr>
                    <w:r>
                      <w:rPr>
                        <w:szCs w:val="24"/>
                      </w:rPr>
                      <w:t>Diagnozės</w:t>
                    </w:r>
                  </w:p>
                </w:tc>
                <w:tc>
                  <w:tcPr>
                    <w:tcW w:w="1715" w:type="pct"/>
                    <w:vAlign w:val="center"/>
                  </w:tcPr>
                  <w:p>
                    <w:pPr>
                      <w:jc w:val="center"/>
                      <w:rPr>
                        <w:szCs w:val="24"/>
                      </w:rPr>
                    </w:pPr>
                    <w:r>
                      <w:rPr>
                        <w:szCs w:val="24"/>
                      </w:rPr>
                      <w:t>Biopsichosocialinių funkcijų sutrikimo</w:t>
                    </w:r>
                  </w:p>
                  <w:p>
                    <w:pPr>
                      <w:jc w:val="center"/>
                      <w:rPr>
                        <w:szCs w:val="24"/>
                      </w:rPr>
                    </w:pPr>
                    <w:r>
                      <w:rPr>
                        <w:szCs w:val="24"/>
                      </w:rPr>
                      <w:t>ir (ar) ligos sunkumo laipsnis</w:t>
                    </w:r>
                  </w:p>
                </w:tc>
                <w:tc>
                  <w:tcPr>
                    <w:tcW w:w="797" w:type="pct"/>
                    <w:vAlign w:val="center"/>
                  </w:tcPr>
                  <w:p>
                    <w:pPr>
                      <w:keepNext/>
                      <w:jc w:val="center"/>
                      <w:outlineLvl w:val="3"/>
                      <w:rPr>
                        <w:bCs/>
                        <w:szCs w:val="24"/>
                      </w:rPr>
                    </w:pPr>
                    <w:r>
                      <w:rPr>
                        <w:bCs/>
                        <w:szCs w:val="24"/>
                      </w:rPr>
                      <w:t>Reabilitacijos trukmė</w:t>
                    </w:r>
                  </w:p>
                  <w:p>
                    <w:pPr>
                      <w:jc w:val="center"/>
                      <w:rPr>
                        <w:szCs w:val="24"/>
                      </w:rPr>
                    </w:pPr>
                    <w:r>
                      <w:rPr>
                        <w:szCs w:val="24"/>
                      </w:rPr>
                      <w:t>(kalendorinė-mis dienomis)</w:t>
                    </w:r>
                  </w:p>
                </w:tc>
              </w:tr>
              <w:tr>
                <w:trPr>
                  <w:cantSplit/>
                  <w:trHeight w:val="272"/>
                </w:trPr>
                <w:tc>
                  <w:tcPr>
                    <w:tcW w:w="2489" w:type="pct"/>
                    <w:vAlign w:val="center"/>
                  </w:tcPr>
                  <w:p>
                    <w:pPr>
                      <w:rPr>
                        <w:szCs w:val="24"/>
                      </w:rPr>
                    </w:pPr>
                    <w:r>
                      <w:rPr>
                        <w:szCs w:val="24"/>
                      </w:rPr>
                      <w:t>Cukrinis diabetas E10.4–7; E11.4–7; E12.4–7</w:t>
                    </w:r>
                  </w:p>
                </w:tc>
                <w:tc>
                  <w:tcPr>
                    <w:tcW w:w="1715" w:type="pct"/>
                  </w:tcPr>
                  <w:p>
                    <w:pPr>
                      <w:rPr>
                        <w:szCs w:val="24"/>
                      </w:rPr>
                    </w:pPr>
                    <w:r>
                      <w:rPr>
                        <w:szCs w:val="24"/>
                      </w:rPr>
                      <w:t>Vidutinė CD forma, subkompensacijos stadija, esant diabetinei polineuropatijai ar (ir) retinopatijai, ar (ir) nefropatijai</w:t>
                    </w:r>
                  </w:p>
                </w:tc>
                <w:tc>
                  <w:tcPr>
                    <w:tcW w:w="797" w:type="pct"/>
                  </w:tcPr>
                  <w:p>
                    <w:pPr>
                      <w:jc w:val="center"/>
                      <w:rPr>
                        <w:szCs w:val="24"/>
                      </w:rPr>
                    </w:pPr>
                    <w:r>
                      <w:rPr>
                        <w:szCs w:val="24"/>
                      </w:rPr>
                      <w:t>18</w:t>
                    </w:r>
                  </w:p>
                </w:tc>
              </w:tr>
              <w:tr>
                <w:trPr>
                  <w:cantSplit/>
                  <w:trHeight w:val="384"/>
                </w:trPr>
                <w:tc>
                  <w:tcPr>
                    <w:tcW w:w="5000" w:type="pct"/>
                    <w:gridSpan w:val="3"/>
                    <w:tcBorders>
                      <w:bottom w:val="nil"/>
                    </w:tcBorders>
                    <w:shd w:val="clear" w:color="auto" w:fill="FFFFFF"/>
                  </w:tcPr>
                  <w:p>
                    <w:pPr>
                      <w:jc w:val="both"/>
                      <w:rPr>
                        <w:bCs/>
                        <w:kern w:val="36"/>
                        <w:szCs w:val="24"/>
                        <w:lang w:eastAsia="lt-LT"/>
                      </w:rPr>
                    </w:pPr>
                    <w:r>
                      <w:rPr>
                        <w:bCs/>
                        <w:kern w:val="36"/>
                        <w:szCs w:val="24"/>
                        <w:lang w:eastAsia="lt-LT"/>
                      </w:rPr>
                      <w:t>Sveikatos grąžinamasis gydymas</w:t>
                    </w:r>
                  </w:p>
                  <w:p>
                    <w:pPr>
                      <w:jc w:val="both"/>
                      <w:rPr>
                        <w:szCs w:val="24"/>
                      </w:rPr>
                    </w:pPr>
                    <w:r>
                      <w:rPr>
                        <w:szCs w:val="24"/>
                      </w:rPr>
                      <w:t>Paslaugos vienam pacientui per 10 darbo dienų: kineziterapija – 10 procedūrų, ergoterapija – 4 procedūros, gydomasis masažas – 6 procedūros, fizioterapija – 10 procedūrų, 2 medicinos psichologo konsultacijos, dietoterapija. Paslaugos, teikiamos pagal indikacijas: medikamentinis gydymas, paciento mokymas ir kitos paslaugos.</w:t>
                    </w:r>
                  </w:p>
                  <w:p>
                    <w:pPr>
                      <w:jc w:val="both"/>
                      <w:rPr>
                        <w:szCs w:val="24"/>
                      </w:rPr>
                    </w:pPr>
                    <w:r>
                      <w:rPr>
                        <w:szCs w:val="24"/>
                      </w:rPr>
                      <w:t>Stacionarinės medicininės reabilitacijos metu pacientui atliekami klinikiniai fiziologiniai, radiologiniai, laboratoriniai tyrimai pagal indikacijas, teikiamos gydytojų specialistų konsultacijos bei ortopedinės ir kompensacinės technikos pritaikymo paslaugos.</w:t>
                    </w:r>
                  </w:p>
                  <w:p>
                    <w:pPr>
                      <w:jc w:val="both"/>
                      <w:rPr>
                        <w:strike/>
                        <w:szCs w:val="24"/>
                      </w:rPr>
                    </w:pPr>
                  </w:p>
                  <w:p>
                    <w:pPr>
                      <w:jc w:val="both"/>
                      <w:rPr>
                        <w:szCs w:val="24"/>
                      </w:rPr>
                    </w:pPr>
                    <w:r>
                      <w:rPr>
                        <w:szCs w:val="24"/>
                      </w:rPr>
                      <w:t xml:space="preserve">Pastaba. Paslaugų skaičius pacientui, nustatytas šiuose reikalavimuose, gali būti didinamas arba mažinamas, atsižvelgiant į paciento būklę bei indikacijas, tai pagrindžiant ir padarius atitinkamus įrašus gydymo stacionare ligos istorijoje (forma Nr. 003/a). </w:t>
                    </w:r>
                  </w:p>
                </w:tc>
              </w:tr>
              <w:tr>
                <w:trPr>
                  <w:cantSplit/>
                  <w:trHeight w:val="384"/>
                </w:trPr>
                <w:tc>
                  <w:tcPr>
                    <w:tcW w:w="2489" w:type="pct"/>
                    <w:tcBorders>
                      <w:bottom w:val="nil"/>
                    </w:tcBorders>
                    <w:shd w:val="clear" w:color="auto" w:fill="FFFFFF"/>
                    <w:vAlign w:val="center"/>
                  </w:tcPr>
                  <w:p>
                    <w:pPr>
                      <w:rPr>
                        <w:szCs w:val="24"/>
                      </w:rPr>
                    </w:pPr>
                    <w:r>
                      <w:rPr>
                        <w:szCs w:val="24"/>
                      </w:rPr>
                      <w:t>Cukrinis diabetas E10.4–7; E11.4–7; E12.4–7</w:t>
                    </w:r>
                  </w:p>
                </w:tc>
                <w:tc>
                  <w:tcPr>
                    <w:tcW w:w="1715" w:type="pct"/>
                    <w:tcBorders>
                      <w:bottom w:val="nil"/>
                    </w:tcBorders>
                    <w:shd w:val="clear" w:color="auto" w:fill="FFFFFF"/>
                  </w:tcPr>
                  <w:p>
                    <w:pPr>
                      <w:rPr>
                        <w:szCs w:val="24"/>
                      </w:rPr>
                    </w:pPr>
                    <w:r>
                      <w:rPr>
                        <w:szCs w:val="24"/>
                      </w:rPr>
                      <w:t>Vidutinė CD forma, subkompensacijos stadija</w:t>
                    </w:r>
                  </w:p>
                </w:tc>
                <w:tc>
                  <w:tcPr>
                    <w:tcW w:w="797" w:type="pct"/>
                    <w:tcBorders>
                      <w:bottom w:val="nil"/>
                    </w:tcBorders>
                    <w:shd w:val="clear" w:color="auto" w:fill="FFFFFF"/>
                  </w:tcPr>
                  <w:p>
                    <w:pPr>
                      <w:jc w:val="center"/>
                      <w:rPr>
                        <w:bCs/>
                        <w:kern w:val="36"/>
                        <w:szCs w:val="24"/>
                        <w:lang w:eastAsia="lt-LT"/>
                      </w:rPr>
                    </w:pPr>
                    <w:r>
                      <w:rPr>
                        <w:szCs w:val="24"/>
                      </w:rPr>
                      <w:t>14</w:t>
                    </w:r>
                  </w:p>
                </w:tc>
              </w:tr>
              <w:tr>
                <w:trPr>
                  <w:cantSplit/>
                  <w:trHeight w:val="826"/>
                </w:trPr>
                <w:tc>
                  <w:tcPr>
                    <w:tcW w:w="2489" w:type="pct"/>
                    <w:shd w:val="clear" w:color="auto" w:fill="FFFFFF"/>
                    <w:vAlign w:val="center"/>
                  </w:tcPr>
                  <w:p>
                    <w:pPr>
                      <w:ind w:hanging="54"/>
                      <w:rPr>
                        <w:szCs w:val="24"/>
                      </w:rPr>
                    </w:pPr>
                    <w:r>
                      <w:rPr>
                        <w:szCs w:val="24"/>
                      </w:rPr>
                      <w:t>Skydliaukės ligos:</w:t>
                    </w:r>
                  </w:p>
                  <w:p>
                    <w:pPr>
                      <w:ind w:hanging="54"/>
                      <w:rPr>
                        <w:szCs w:val="24"/>
                      </w:rPr>
                    </w:pPr>
                    <w:r>
                      <w:rPr>
                        <w:szCs w:val="24"/>
                      </w:rPr>
                      <w:t xml:space="preserve">tirotoksikozė arba po jos radikalaus gydymo D44.0, E03, E05 </w:t>
                    </w:r>
                  </w:p>
                  <w:p>
                    <w:pPr>
                      <w:ind w:hanging="54"/>
                      <w:rPr>
                        <w:szCs w:val="24"/>
                      </w:rPr>
                    </w:pPr>
                    <w:r>
                      <w:rPr>
                        <w:szCs w:val="24"/>
                      </w:rPr>
                      <w:t>Tiroiditai E06</w:t>
                    </w:r>
                  </w:p>
                  <w:p>
                    <w:pPr>
                      <w:ind w:hanging="54"/>
                      <w:rPr>
                        <w:szCs w:val="24"/>
                      </w:rPr>
                    </w:pPr>
                    <w:r>
                      <w:rPr>
                        <w:szCs w:val="24"/>
                      </w:rPr>
                      <w:t>Hipotirozė E89.0</w:t>
                    </w:r>
                  </w:p>
                </w:tc>
                <w:tc>
                  <w:tcPr>
                    <w:tcW w:w="1715" w:type="pct"/>
                    <w:shd w:val="clear" w:color="auto" w:fill="FFFFFF"/>
                  </w:tcPr>
                  <w:p>
                    <w:pPr>
                      <w:ind w:hanging="54"/>
                      <w:rPr>
                        <w:szCs w:val="24"/>
                      </w:rPr>
                    </w:pPr>
                    <w:r>
                      <w:rPr>
                        <w:szCs w:val="24"/>
                      </w:rPr>
                      <w:t>Esant sumažėjusiai fizinio krūvio tolerancijai dėl širdies metabolinio pakenkimo ar nervų sistemos pakenkimo</w:t>
                    </w:r>
                  </w:p>
                </w:tc>
                <w:tc>
                  <w:tcPr>
                    <w:tcW w:w="797" w:type="pct"/>
                    <w:tcBorders>
                      <w:left w:val="nil"/>
                    </w:tcBorders>
                    <w:shd w:val="clear" w:color="auto" w:fill="FFFFFF"/>
                  </w:tcPr>
                  <w:p>
                    <w:pPr>
                      <w:jc w:val="center"/>
                      <w:rPr>
                        <w:szCs w:val="24"/>
                      </w:rPr>
                    </w:pPr>
                    <w:r>
                      <w:rPr>
                        <w:szCs w:val="24"/>
                      </w:rPr>
                      <w:t>14</w:t>
                    </w:r>
                  </w:p>
                </w:tc>
              </w:tr>
              <w:tr>
                <w:trPr>
                  <w:cantSplit/>
                  <w:trHeight w:val="826"/>
                </w:trPr>
                <w:tc>
                  <w:tcPr>
                    <w:tcW w:w="5000" w:type="pct"/>
                    <w:gridSpan w:val="3"/>
                    <w:shd w:val="clear" w:color="auto" w:fill="FFFFFF"/>
                    <w:vAlign w:val="center"/>
                  </w:tcPr>
                  <w:p>
                    <w:pPr>
                      <w:ind w:firstLine="33"/>
                      <w:jc w:val="both"/>
                      <w:rPr>
                        <w:bCs/>
                        <w:kern w:val="36"/>
                        <w:szCs w:val="24"/>
                        <w:lang w:eastAsia="lt-LT"/>
                      </w:rPr>
                    </w:pPr>
                    <w:r>
                      <w:rPr>
                        <w:bCs/>
                        <w:kern w:val="36"/>
                        <w:szCs w:val="24"/>
                        <w:lang w:eastAsia="lt-LT"/>
                      </w:rPr>
                      <w:t>Ambulatorinė reabilitacija</w:t>
                    </w:r>
                  </w:p>
                  <w:p>
                    <w:pPr>
                      <w:ind w:firstLine="33"/>
                      <w:jc w:val="both"/>
                      <w:rPr>
                        <w:szCs w:val="24"/>
                      </w:rPr>
                    </w:pPr>
                    <w:r>
                      <w:rPr>
                        <w:szCs w:val="24"/>
                      </w:rPr>
                      <w:t>Paslaugos vienam pacientui per 10 darbo dienų: kineziterapija – 10 procedūrų, ergoterapija – 2 procedūros, gydomasis masažas – 5 procedūros, fizioterapija – 10 procedūrų, 2 medicinos psichologo konsultacijos, 1 socialinio darbuotojo konsultacija. Paslaugos, teikiamos pagal indikacijas: paciento mokymas ir kitos paslaugos. Tyrimų mastas vienam pacientui per 10 darbo dienų: tyrimai pagal indikacijas.</w:t>
                    </w:r>
                  </w:p>
                  <w:p>
                    <w:pPr>
                      <w:ind w:firstLine="33"/>
                      <w:jc w:val="both"/>
                      <w:rPr>
                        <w:szCs w:val="24"/>
                      </w:rPr>
                    </w:pPr>
                  </w:p>
                  <w:p>
                    <w:pPr>
                      <w:ind w:firstLine="33"/>
                      <w:jc w:val="both"/>
                      <w:rPr>
                        <w:szCs w:val="24"/>
                      </w:rPr>
                    </w:pPr>
                    <w:r>
                      <w:rPr>
                        <w:szCs w:val="24"/>
                      </w:rPr>
                      <w:t>Pastaba. Paslaugų skaičius vienam pacientui, nustatytas šiuose reikalavimuose, gali būti didinamas arba mažinamas, atsižvelgiant į paciento būklę ir indikacijas, tai pagrindžiant ir padarius atitinkamus įrašus Ambulatorinėje asmens sveikatos istorijoje (forma 025/a), nurodytoje Privalomų sveikatos statistikos apskaitos ir kitų tipinių formų, pildomų sveikatos pr</w:t>
                    </w:r>
                    <w:r>
                      <w:rPr>
                        <w:iCs/>
                        <w:szCs w:val="24"/>
                      </w:rPr>
                      <w:t>iežiūros įstaigose, sąra</w:t>
                    </w:r>
                    <w:r>
                      <w:rPr>
                        <w:szCs w:val="24"/>
                      </w:rPr>
                      <w:t>še (toliau – ambulatorinė asmens sveikatos istorija (forma 025/a).</w:t>
                    </w:r>
                  </w:p>
                </w:tc>
              </w:tr>
              <w:tr>
                <w:trPr>
                  <w:cantSplit/>
                  <w:trHeight w:val="826"/>
                </w:trPr>
                <w:tc>
                  <w:tcPr>
                    <w:tcW w:w="2489" w:type="pct"/>
                    <w:shd w:val="clear" w:color="auto" w:fill="FFFFFF"/>
                    <w:vAlign w:val="center"/>
                  </w:tcPr>
                  <w:p>
                    <w:pPr>
                      <w:rPr>
                        <w:szCs w:val="24"/>
                      </w:rPr>
                    </w:pPr>
                    <w:r>
                      <w:rPr>
                        <w:szCs w:val="24"/>
                      </w:rPr>
                      <w:t>Cukrinis diabetas E10.4–7; E11.4–7; E12.4–7</w:t>
                    </w:r>
                  </w:p>
                </w:tc>
                <w:tc>
                  <w:tcPr>
                    <w:tcW w:w="1715" w:type="pct"/>
                    <w:shd w:val="clear" w:color="auto" w:fill="FFFFFF"/>
                    <w:vAlign w:val="center"/>
                  </w:tcPr>
                  <w:p>
                    <w:pPr>
                      <w:rPr>
                        <w:szCs w:val="24"/>
                      </w:rPr>
                    </w:pPr>
                    <w:r>
                      <w:rPr>
                        <w:szCs w:val="24"/>
                      </w:rPr>
                      <w:t>CD forma esant diabetinei polineuropatijai</w:t>
                    </w:r>
                  </w:p>
                </w:tc>
                <w:tc>
                  <w:tcPr>
                    <w:tcW w:w="797" w:type="pct"/>
                    <w:shd w:val="clear" w:color="auto" w:fill="FFFFFF"/>
                    <w:vAlign w:val="center"/>
                  </w:tcPr>
                  <w:p>
                    <w:pPr>
                      <w:jc w:val="center"/>
                      <w:rPr>
                        <w:szCs w:val="24"/>
                      </w:rPr>
                    </w:pPr>
                    <w:r>
                      <w:rPr>
                        <w:szCs w:val="24"/>
                      </w:rPr>
                      <w:t>12</w:t>
                    </w:r>
                  </w:p>
                </w:tc>
              </w:tr>
              <w:tr>
                <w:trPr>
                  <w:cantSplit/>
                  <w:trHeight w:val="826"/>
                </w:trPr>
                <w:tc>
                  <w:tcPr>
                    <w:tcW w:w="2489" w:type="pct"/>
                    <w:shd w:val="clear" w:color="auto" w:fill="FFFFFF"/>
                    <w:vAlign w:val="center"/>
                  </w:tcPr>
                  <w:p>
                    <w:pPr>
                      <w:rPr>
                        <w:szCs w:val="24"/>
                      </w:rPr>
                    </w:pPr>
                    <w:r>
                      <w:rPr>
                        <w:szCs w:val="24"/>
                      </w:rPr>
                      <w:t>Skydliaukės ligos:</w:t>
                    </w:r>
                  </w:p>
                  <w:p>
                    <w:pPr>
                      <w:rPr>
                        <w:szCs w:val="24"/>
                      </w:rPr>
                    </w:pPr>
                    <w:r>
                      <w:rPr>
                        <w:szCs w:val="24"/>
                      </w:rPr>
                      <w:t xml:space="preserve">tirotoksikozė arba po jos radikalaus gydymo, D44.0; E03; E05 </w:t>
                    </w:r>
                  </w:p>
                  <w:p>
                    <w:pPr>
                      <w:rPr>
                        <w:szCs w:val="24"/>
                      </w:rPr>
                    </w:pPr>
                  </w:p>
                  <w:p>
                    <w:pPr>
                      <w:rPr>
                        <w:szCs w:val="24"/>
                      </w:rPr>
                    </w:pPr>
                    <w:r>
                      <w:rPr>
                        <w:szCs w:val="24"/>
                      </w:rPr>
                      <w:t xml:space="preserve">Tiroiditai E06 </w:t>
                    </w:r>
                  </w:p>
                  <w:p>
                    <w:pPr>
                      <w:rPr>
                        <w:szCs w:val="24"/>
                      </w:rPr>
                    </w:pPr>
                  </w:p>
                  <w:p>
                    <w:pPr>
                      <w:rPr>
                        <w:szCs w:val="24"/>
                      </w:rPr>
                    </w:pPr>
                    <w:r>
                      <w:rPr>
                        <w:szCs w:val="24"/>
                      </w:rPr>
                      <w:t>Hipotireozė D44.0; E89.0</w:t>
                    </w:r>
                  </w:p>
                </w:tc>
                <w:tc>
                  <w:tcPr>
                    <w:tcW w:w="1715" w:type="pct"/>
                    <w:shd w:val="clear" w:color="auto" w:fill="FFFFFF"/>
                  </w:tcPr>
                  <w:p>
                    <w:pPr>
                      <w:rPr>
                        <w:szCs w:val="24"/>
                      </w:rPr>
                    </w:pPr>
                  </w:p>
                </w:tc>
                <w:tc>
                  <w:tcPr>
                    <w:tcW w:w="797" w:type="pct"/>
                    <w:shd w:val="clear" w:color="auto" w:fill="FFFFFF"/>
                    <w:vAlign w:val="center"/>
                  </w:tcPr>
                  <w:p>
                    <w:pPr>
                      <w:jc w:val="center"/>
                      <w:rPr>
                        <w:szCs w:val="24"/>
                      </w:rPr>
                    </w:pPr>
                    <w:r>
                      <w:rPr>
                        <w:szCs w:val="24"/>
                      </w:rPr>
                      <w:t>12</w:t>
                    </w:r>
                  </w:p>
                </w:tc>
              </w:tr>
            </w:tbl>
            <w:p>
              <w:pPr>
                <w:rPr>
                  <w:b/>
                  <w:strike/>
                </w:rPr>
              </w:pPr>
              <w:r>
                <w:rPr>
                  <w:b/>
                  <w:strike/>
                </w:rPr>
                <w:br w:type="page"/>
              </w:r>
            </w:p>
            <w:p>
              <w:pPr>
                <w:jc w:val="center"/>
                <w:rPr>
                  <w:b/>
                  <w:bCs/>
                  <w:szCs w:val="24"/>
                </w:rPr>
              </w:pPr>
              <w:r>
                <w:rPr>
                  <w:b/>
                  <w:bCs/>
                  <w:szCs w:val="24"/>
                </w:rPr>
                <w:t>Nervų sistemos ligos</w:t>
              </w:r>
            </w:p>
            <w:p>
              <w:pPr>
                <w:jc w:val="center"/>
                <w:rPr>
                  <w:b/>
                  <w:bCs/>
                  <w:szCs w:val="24"/>
                </w:rPr>
              </w:pPr>
            </w:p>
            <w:tbl>
              <w:tblPr>
                <w:tblW w:w="5018"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926"/>
                <w:gridCol w:w="2692"/>
                <w:gridCol w:w="2271"/>
              </w:tblGrid>
              <w:tr>
                <w:trPr>
                  <w:cantSplit/>
                  <w:trHeight w:val="990"/>
                  <w:tblHeader/>
                </w:trPr>
                <w:tc>
                  <w:tcPr>
                    <w:tcW w:w="2491" w:type="pct"/>
                    <w:vAlign w:val="center"/>
                  </w:tcPr>
                  <w:p>
                    <w:pPr>
                      <w:jc w:val="center"/>
                      <w:rPr>
                        <w:szCs w:val="24"/>
                      </w:rPr>
                    </w:pPr>
                    <w:r>
                      <w:rPr>
                        <w:szCs w:val="24"/>
                      </w:rPr>
                      <w:t>Diagnozės</w:t>
                    </w:r>
                  </w:p>
                </w:tc>
                <w:tc>
                  <w:tcPr>
                    <w:tcW w:w="1361" w:type="pct"/>
                    <w:vAlign w:val="center"/>
                  </w:tcPr>
                  <w:p>
                    <w:pPr>
                      <w:jc w:val="center"/>
                      <w:rPr>
                        <w:szCs w:val="24"/>
                      </w:rPr>
                    </w:pPr>
                    <w:r>
                      <w:rPr>
                        <w:szCs w:val="24"/>
                      </w:rPr>
                      <w:t>Biopsichosocialinių funkcijų sutrikimo</w:t>
                    </w:r>
                  </w:p>
                  <w:p>
                    <w:pPr>
                      <w:jc w:val="center"/>
                      <w:rPr>
                        <w:szCs w:val="24"/>
                      </w:rPr>
                    </w:pPr>
                    <w:r>
                      <w:rPr>
                        <w:szCs w:val="24"/>
                      </w:rPr>
                      <w:t>ir (ar) ligos sunkumo laipsnis</w:t>
                    </w:r>
                  </w:p>
                </w:tc>
                <w:tc>
                  <w:tcPr>
                    <w:tcW w:w="1148" w:type="pct"/>
                    <w:vAlign w:val="center"/>
                  </w:tcPr>
                  <w:p>
                    <w:pPr>
                      <w:keepNext/>
                      <w:jc w:val="center"/>
                      <w:outlineLvl w:val="3"/>
                      <w:rPr>
                        <w:bCs/>
                        <w:szCs w:val="24"/>
                      </w:rPr>
                    </w:pPr>
                    <w:r>
                      <w:rPr>
                        <w:bCs/>
                        <w:szCs w:val="24"/>
                      </w:rPr>
                      <w:t>Reabilitacijos trukmė</w:t>
                    </w:r>
                  </w:p>
                  <w:p>
                    <w:pPr>
                      <w:jc w:val="center"/>
                      <w:rPr>
                        <w:szCs w:val="24"/>
                      </w:rPr>
                    </w:pPr>
                    <w:r>
                      <w:rPr>
                        <w:szCs w:val="24"/>
                      </w:rPr>
                      <w:t>(kalendorinėmis dienomis)</w:t>
                    </w:r>
                  </w:p>
                </w:tc>
              </w:tr>
              <w:tr>
                <w:trPr>
                  <w:cantSplit/>
                  <w:trHeight w:val="273"/>
                </w:trPr>
                <w:tc>
                  <w:tcPr>
                    <w:tcW w:w="5000" w:type="pct"/>
                    <w:gridSpan w:val="3"/>
                    <w:vAlign w:val="center"/>
                  </w:tcPr>
                  <w:p>
                    <w:pPr>
                      <w:keepNext/>
                      <w:jc w:val="both"/>
                      <w:outlineLvl w:val="1"/>
                      <w:rPr>
                        <w:bCs/>
                        <w:iCs/>
                        <w:szCs w:val="24"/>
                      </w:rPr>
                    </w:pPr>
                    <w:r>
                      <w:rPr>
                        <w:bCs/>
                        <w:iCs/>
                        <w:szCs w:val="24"/>
                      </w:rPr>
                      <w:t>Stacionarinė reabilitacija</w:t>
                    </w:r>
                  </w:p>
                  <w:p>
                    <w:pPr>
                      <w:jc w:val="both"/>
                      <w:rPr>
                        <w:strike/>
                        <w:szCs w:val="24"/>
                      </w:rPr>
                    </w:pPr>
                    <w:r>
                      <w:rPr>
                        <w:spacing w:val="-4"/>
                        <w:szCs w:val="24"/>
                      </w:rPr>
                      <w:t xml:space="preserve">Paslaugos vienam pacientui per 10 darbo dienų: kineziterapija – 15 procedūrų, ergoterapija – 10 procedūrų, gydomasis masažas – 5 procedūros, fizioterapija </w:t>
                    </w:r>
                    <w:r>
                      <w:rPr>
                        <w:szCs w:val="24"/>
                      </w:rPr>
                      <w:t>– 10 procedūrų, 2 medicinos psichologo konsultacijos, 1 socialinio darbuotojo konsultacija, klinikinio logopedo užsiėmimai – 4 procedūros (esant kalbos sutrikimų).</w:t>
                    </w:r>
                  </w:p>
                  <w:p>
                    <w:pPr>
                      <w:jc w:val="both"/>
                      <w:rPr>
                        <w:szCs w:val="24"/>
                      </w:rPr>
                    </w:pPr>
                    <w:r>
                      <w:rPr>
                        <w:szCs w:val="24"/>
                      </w:rPr>
                      <w:t>Stacionarinės medicininės reabilitacijos metu pacientui atliekami klinikiniai fiziologiniai, radiologiniai, laboratoriniai tyrimai pagal indikacijas, teikiamos gydytojų specialistų konsultacijos bei ortopedinės ir kompensacinės technikos pritaikymo paslaugos.</w:t>
                    </w:r>
                  </w:p>
                  <w:p>
                    <w:pPr>
                      <w:jc w:val="both"/>
                      <w:rPr>
                        <w:szCs w:val="24"/>
                      </w:rPr>
                    </w:pPr>
                  </w:p>
                  <w:p>
                    <w:pPr>
                      <w:jc w:val="both"/>
                      <w:rPr>
                        <w:szCs w:val="24"/>
                      </w:rPr>
                    </w:pPr>
                    <w:r>
                      <w:rPr>
                        <w:szCs w:val="24"/>
                      </w:rPr>
                      <w:t>Pastaba. Paslaugų skaičius vienam pacientui gali būti didinamas arba mažinamas, atsižvelgiant į paciento būklę ir indikacijas, tai pagrindžiant ir padarius atitinkamus įrašus gydymo stacionare ligos istorijoje (forma Nr. 003/a).</w:t>
                    </w:r>
                  </w:p>
                </w:tc>
              </w:tr>
              <w:tr>
                <w:trPr>
                  <w:cantSplit/>
                  <w:trHeight w:val="1970"/>
                </w:trPr>
                <w:tc>
                  <w:tcPr>
                    <w:tcW w:w="2491" w:type="pct"/>
                    <w:vAlign w:val="center"/>
                  </w:tcPr>
                  <w:p>
                    <w:pPr>
                      <w:rPr>
                        <w:szCs w:val="24"/>
                      </w:rPr>
                    </w:pPr>
                    <w:r>
                      <w:rPr>
                        <w:szCs w:val="24"/>
                      </w:rPr>
                      <w:t xml:space="preserve">Po galvos smegenų pažeidimų </w:t>
                    </w:r>
                  </w:p>
                  <w:p>
                    <w:pPr>
                      <w:rPr>
                        <w:szCs w:val="24"/>
                      </w:rPr>
                    </w:pPr>
                    <w:r>
                      <w:rPr>
                        <w:szCs w:val="24"/>
                      </w:rPr>
                      <w:t>I63–I64; I69.0–8; S06; T90.5; G81–83</w:t>
                    </w:r>
                  </w:p>
                </w:tc>
                <w:tc>
                  <w:tcPr>
                    <w:tcW w:w="1361" w:type="pct"/>
                  </w:tcPr>
                  <w:p>
                    <w:pPr>
                      <w:rPr>
                        <w:szCs w:val="24"/>
                      </w:rPr>
                    </w:pPr>
                    <w:r>
                      <w:rPr>
                        <w:szCs w:val="24"/>
                      </w:rPr>
                      <w:t>Bartelio indeksas daugiau kaip 80 balų,</w:t>
                    </w:r>
                  </w:p>
                  <w:p>
                    <w:pPr>
                      <w:rPr>
                        <w:szCs w:val="24"/>
                      </w:rPr>
                    </w:pPr>
                    <w:r>
                      <w:rPr>
                        <w:szCs w:val="24"/>
                      </w:rPr>
                      <w:t>trumpas protinės būklės tyrimo testas (toliau – TPBT) 20–30 (jei TPBT neįmanoma testuoti dėl afazijos, pacientas turi vykdyti nurodymus, aktyviai dalyvauti reabilitacijos procese)</w:t>
                    </w:r>
                  </w:p>
                </w:tc>
                <w:tc>
                  <w:tcPr>
                    <w:tcW w:w="1148" w:type="pct"/>
                  </w:tcPr>
                  <w:p>
                    <w:pPr>
                      <w:jc w:val="center"/>
                      <w:rPr>
                        <w:szCs w:val="24"/>
                      </w:rPr>
                    </w:pPr>
                    <w:r>
                      <w:rPr>
                        <w:szCs w:val="24"/>
                      </w:rPr>
                      <w:t>20</w:t>
                    </w:r>
                  </w:p>
                </w:tc>
              </w:tr>
              <w:tr>
                <w:trPr>
                  <w:cantSplit/>
                  <w:trHeight w:val="380"/>
                </w:trPr>
                <w:tc>
                  <w:tcPr>
                    <w:tcW w:w="2491" w:type="pct"/>
                    <w:vAlign w:val="center"/>
                  </w:tcPr>
                  <w:p>
                    <w:pPr>
                      <w:rPr>
                        <w:szCs w:val="24"/>
                      </w:rPr>
                    </w:pPr>
                    <w:r>
                      <w:rPr>
                        <w:szCs w:val="24"/>
                      </w:rPr>
                      <w:t>Nugaros smegenų pažeidimai ir sisteminiai susirgimai</w:t>
                    </w:r>
                  </w:p>
                  <w:p>
                    <w:pPr>
                      <w:rPr>
                        <w:szCs w:val="24"/>
                      </w:rPr>
                    </w:pPr>
                    <w:r>
                      <w:rPr>
                        <w:szCs w:val="24"/>
                      </w:rPr>
                      <w:t>D16.6; M43.1; M48.0; S34.0-S34.4; S14.0–S14.1; S24.0–S24.3; T09.3; T91.1–T91.3</w:t>
                    </w:r>
                  </w:p>
                </w:tc>
                <w:tc>
                  <w:tcPr>
                    <w:tcW w:w="1361" w:type="pct"/>
                    <w:vAlign w:val="center"/>
                  </w:tcPr>
                  <w:p>
                    <w:pPr>
                      <w:rPr>
                        <w:szCs w:val="24"/>
                      </w:rPr>
                    </w:pPr>
                    <w:r>
                      <w:rPr>
                        <w:szCs w:val="24"/>
                      </w:rPr>
                      <w:t>Kai bent 2-jų raumenų grupių jėga mažesnė nei 4 balai</w:t>
                    </w:r>
                  </w:p>
                </w:tc>
                <w:tc>
                  <w:tcPr>
                    <w:tcW w:w="1148" w:type="pct"/>
                    <w:vAlign w:val="center"/>
                  </w:tcPr>
                  <w:p>
                    <w:pPr>
                      <w:jc w:val="center"/>
                      <w:rPr>
                        <w:szCs w:val="24"/>
                      </w:rPr>
                    </w:pPr>
                    <w:r>
                      <w:rPr>
                        <w:szCs w:val="24"/>
                      </w:rPr>
                      <w:t>18</w:t>
                    </w:r>
                  </w:p>
                </w:tc>
              </w:tr>
              <w:tr>
                <w:trPr>
                  <w:cantSplit/>
                  <w:trHeight w:val="380"/>
                </w:trPr>
                <w:tc>
                  <w:tcPr>
                    <w:tcW w:w="2491" w:type="pct"/>
                    <w:vAlign w:val="center"/>
                  </w:tcPr>
                  <w:p>
                    <w:pPr>
                      <w:rPr>
                        <w:szCs w:val="24"/>
                      </w:rPr>
                    </w:pPr>
                    <w:r>
                      <w:rPr>
                        <w:szCs w:val="24"/>
                      </w:rPr>
                      <w:t>Demielinizuojančios ligos G35; G37</w:t>
                    </w:r>
                  </w:p>
                </w:tc>
                <w:tc>
                  <w:tcPr>
                    <w:tcW w:w="1361" w:type="pct"/>
                  </w:tcPr>
                  <w:p>
                    <w:pPr>
                      <w:rPr>
                        <w:szCs w:val="24"/>
                      </w:rPr>
                    </w:pPr>
                    <w:r>
                      <w:rPr>
                        <w:szCs w:val="24"/>
                      </w:rPr>
                      <w:t>Po paūmėjimo,</w:t>
                    </w:r>
                  </w:p>
                  <w:p>
                    <w:pPr>
                      <w:rPr>
                        <w:szCs w:val="24"/>
                      </w:rPr>
                    </w:pPr>
                    <w:r>
                      <w:rPr>
                        <w:szCs w:val="24"/>
                      </w:rPr>
                      <w:t>Bartelio indeksas daugiau kaip 80 balų</w:t>
                    </w:r>
                  </w:p>
                </w:tc>
                <w:tc>
                  <w:tcPr>
                    <w:tcW w:w="1148" w:type="pct"/>
                  </w:tcPr>
                  <w:p>
                    <w:pPr>
                      <w:jc w:val="center"/>
                      <w:rPr>
                        <w:szCs w:val="24"/>
                      </w:rPr>
                    </w:pPr>
                    <w:r>
                      <w:rPr>
                        <w:szCs w:val="24"/>
                      </w:rPr>
                      <w:t>18</w:t>
                    </w:r>
                  </w:p>
                </w:tc>
              </w:tr>
              <w:tr>
                <w:trPr>
                  <w:cantSplit/>
                  <w:trHeight w:val="318"/>
                </w:trPr>
                <w:tc>
                  <w:tcPr>
                    <w:tcW w:w="2491" w:type="pct"/>
                    <w:vAlign w:val="center"/>
                  </w:tcPr>
                  <w:p>
                    <w:pPr>
                      <w:rPr>
                        <w:szCs w:val="24"/>
                      </w:rPr>
                    </w:pPr>
                    <w:r>
                      <w:rPr>
                        <w:szCs w:val="24"/>
                      </w:rPr>
                      <w:t>Parkinsono liga. Antrinis parkinsonizmas G20–G21</w:t>
                    </w:r>
                  </w:p>
                </w:tc>
                <w:tc>
                  <w:tcPr>
                    <w:tcW w:w="1361" w:type="pct"/>
                  </w:tcPr>
                  <w:p>
                    <w:pPr>
                      <w:rPr>
                        <w:szCs w:val="24"/>
                      </w:rPr>
                    </w:pPr>
                    <w:r>
                      <w:rPr>
                        <w:szCs w:val="24"/>
                      </w:rPr>
                      <w:t>Bartelio indeksas daugiau kaip 80 balų</w:t>
                    </w:r>
                  </w:p>
                </w:tc>
                <w:tc>
                  <w:tcPr>
                    <w:tcW w:w="1148" w:type="pct"/>
                  </w:tcPr>
                  <w:p>
                    <w:pPr>
                      <w:jc w:val="center"/>
                      <w:rPr>
                        <w:szCs w:val="24"/>
                      </w:rPr>
                    </w:pPr>
                    <w:r>
                      <w:rPr>
                        <w:szCs w:val="24"/>
                      </w:rPr>
                      <w:t>18</w:t>
                    </w:r>
                  </w:p>
                </w:tc>
              </w:tr>
              <w:tr>
                <w:trPr>
                  <w:cantSplit/>
                  <w:trHeight w:val="268"/>
                </w:trPr>
                <w:tc>
                  <w:tcPr>
                    <w:tcW w:w="2491" w:type="pct"/>
                    <w:vAlign w:val="center"/>
                  </w:tcPr>
                  <w:p>
                    <w:pPr>
                      <w:rPr>
                        <w:szCs w:val="24"/>
                      </w:rPr>
                    </w:pPr>
                    <w:r>
                      <w:rPr>
                        <w:szCs w:val="24"/>
                      </w:rPr>
                      <w:t xml:space="preserve">Polineuropatija, degeneracinės nervų ir raumenų ligos </w:t>
                    </w:r>
                  </w:p>
                  <w:p>
                    <w:pPr>
                      <w:rPr>
                        <w:szCs w:val="24"/>
                      </w:rPr>
                    </w:pPr>
                    <w:r>
                      <w:rPr>
                        <w:szCs w:val="24"/>
                      </w:rPr>
                      <w:t>G60–G63</w:t>
                    </w:r>
                  </w:p>
                </w:tc>
                <w:tc>
                  <w:tcPr>
                    <w:tcW w:w="1361" w:type="pct"/>
                  </w:tcPr>
                  <w:p>
                    <w:pPr>
                      <w:rPr>
                        <w:szCs w:val="24"/>
                      </w:rPr>
                    </w:pPr>
                    <w:r>
                      <w:rPr>
                        <w:szCs w:val="24"/>
                      </w:rPr>
                      <w:t>Bartelio indeksas daugiau kaip 80 balų</w:t>
                    </w:r>
                  </w:p>
                </w:tc>
                <w:tc>
                  <w:tcPr>
                    <w:tcW w:w="1148" w:type="pct"/>
                  </w:tcPr>
                  <w:p>
                    <w:pPr>
                      <w:jc w:val="center"/>
                      <w:rPr>
                        <w:szCs w:val="24"/>
                      </w:rPr>
                    </w:pPr>
                    <w:r>
                      <w:rPr>
                        <w:szCs w:val="24"/>
                      </w:rPr>
                      <w:t>18</w:t>
                    </w:r>
                  </w:p>
                </w:tc>
              </w:tr>
              <w:tr>
                <w:trPr>
                  <w:cantSplit/>
                  <w:trHeight w:val="565"/>
                </w:trPr>
                <w:tc>
                  <w:tcPr>
                    <w:tcW w:w="2491" w:type="pct"/>
                    <w:vAlign w:val="center"/>
                  </w:tcPr>
                  <w:p>
                    <w:pPr>
                      <w:rPr>
                        <w:szCs w:val="24"/>
                      </w:rPr>
                    </w:pPr>
                    <w:r>
                      <w:rPr>
                        <w:szCs w:val="24"/>
                      </w:rPr>
                      <w:t xml:space="preserve">Po tarpslankstelinių diskų, spondilolitezių, stuburo stenozių operacijų </w:t>
                    </w:r>
                  </w:p>
                  <w:p>
                    <w:pPr>
                      <w:rPr>
                        <w:szCs w:val="24"/>
                      </w:rPr>
                    </w:pPr>
                    <w:r>
                      <w:rPr>
                        <w:szCs w:val="24"/>
                      </w:rPr>
                      <w:t xml:space="preserve">M50–M51; M43.1; M48.0 </w:t>
                    </w:r>
                  </w:p>
                </w:tc>
                <w:tc>
                  <w:tcPr>
                    <w:tcW w:w="1361" w:type="pct"/>
                  </w:tcPr>
                  <w:p>
                    <w:pPr>
                      <w:rPr>
                        <w:szCs w:val="24"/>
                      </w:rPr>
                    </w:pPr>
                    <w:r>
                      <w:rPr>
                        <w:szCs w:val="24"/>
                      </w:rPr>
                      <w:t>Kai bent 2-jų raumenų grupių jėga mažesnė nei 4 balai</w:t>
                    </w:r>
                  </w:p>
                </w:tc>
                <w:tc>
                  <w:tcPr>
                    <w:tcW w:w="1148" w:type="pct"/>
                  </w:tcPr>
                  <w:p>
                    <w:pPr>
                      <w:jc w:val="center"/>
                      <w:rPr>
                        <w:szCs w:val="24"/>
                      </w:rPr>
                    </w:pPr>
                    <w:r>
                      <w:rPr>
                        <w:szCs w:val="24"/>
                      </w:rPr>
                      <w:t>18</w:t>
                    </w:r>
                  </w:p>
                </w:tc>
              </w:tr>
              <w:tr>
                <w:trPr>
                  <w:cantSplit/>
                  <w:trHeight w:val="368"/>
                </w:trPr>
                <w:tc>
                  <w:tcPr>
                    <w:tcW w:w="5000" w:type="pct"/>
                    <w:gridSpan w:val="3"/>
                  </w:tcPr>
                  <w:p>
                    <w:pPr>
                      <w:rPr>
                        <w:bCs/>
                        <w:kern w:val="36"/>
                        <w:szCs w:val="24"/>
                        <w:lang w:eastAsia="lt-LT"/>
                      </w:rPr>
                    </w:pPr>
                    <w:r>
                      <w:rPr>
                        <w:bCs/>
                        <w:kern w:val="36"/>
                        <w:szCs w:val="24"/>
                        <w:lang w:eastAsia="lt-LT"/>
                      </w:rPr>
                      <w:t>Sveikatos grąžinamasis gydymas</w:t>
                    </w:r>
                  </w:p>
                  <w:p>
                    <w:pPr>
                      <w:jc w:val="both"/>
                      <w:rPr>
                        <w:szCs w:val="24"/>
                      </w:rPr>
                    </w:pPr>
                    <w:r>
                      <w:rPr>
                        <w:szCs w:val="24"/>
                      </w:rPr>
                      <w:t>Paslaugos vienam pacientui per 10 darbo dienų: kineziterapija – 10 procedūrų, ergoterapija – 6 procedūros, gydomasis masažas – 4 procedūros, fizioterapija – 10 procedūrų, 2 medicinos psichologo konsultacijos, klinikinio logopedo užsiėmimai – 4 procedūros (esant kalbos sutrikimų). Paslaugos, teikiamos pagal indikacijas: medikamentinis gydymas, paciento mokymas ir kitos paslaugos.</w:t>
                    </w:r>
                  </w:p>
                  <w:p>
                    <w:pPr>
                      <w:jc w:val="both"/>
                      <w:rPr>
                        <w:szCs w:val="24"/>
                      </w:rPr>
                    </w:pPr>
                    <w:r>
                      <w:rPr>
                        <w:szCs w:val="24"/>
                      </w:rPr>
                      <w:t>Sveikatos grąžinamojo gydymo metu pacientui atliekami klinikiniai fiziologiniai, radiologiniai, laboratoriniai tyrimai pagal indikacijas, teikiamos gydytojų specialistų konsultacijos paslaugos (pagal indikacijas).</w:t>
                    </w:r>
                  </w:p>
                  <w:p>
                    <w:pPr>
                      <w:jc w:val="both"/>
                      <w:rPr>
                        <w:strike/>
                        <w:szCs w:val="24"/>
                      </w:rPr>
                    </w:pPr>
                  </w:p>
                  <w:p>
                    <w:pPr>
                      <w:jc w:val="both"/>
                      <w:rPr>
                        <w:szCs w:val="24"/>
                      </w:rPr>
                    </w:pPr>
                    <w:r>
                      <w:rPr>
                        <w:szCs w:val="24"/>
                      </w:rPr>
                      <w:t>Pastaba. Paslaugų skaičius vienam pacientui, nustatytas šiuose reikalavimuose, gali būti didinamas arba mažinamas, atsižvelgiant į paciento būklę bei indikacijas</w:t>
                    </w:r>
                    <w:r>
                      <w:rPr>
                        <w:bCs/>
                        <w:szCs w:val="24"/>
                      </w:rPr>
                      <w:t>,</w:t>
                    </w:r>
                    <w:r>
                      <w:rPr>
                        <w:b/>
                      </w:rPr>
                      <w:t xml:space="preserve"> </w:t>
                    </w:r>
                    <w:r>
                      <w:rPr>
                        <w:szCs w:val="24"/>
                      </w:rPr>
                      <w:t xml:space="preserve">tai pagrindžiant ir padarius atitinkamus įrašus gydymo stacionare ligos istorijoje (forma Nr. 003/a). </w:t>
                    </w:r>
                  </w:p>
                </w:tc>
              </w:tr>
              <w:tr>
                <w:trPr>
                  <w:cantSplit/>
                  <w:trHeight w:val="776"/>
                </w:trPr>
                <w:tc>
                  <w:tcPr>
                    <w:tcW w:w="2491" w:type="pct"/>
                    <w:vAlign w:val="center"/>
                  </w:tcPr>
                  <w:p>
                    <w:pPr>
                      <w:rPr>
                        <w:szCs w:val="24"/>
                      </w:rPr>
                    </w:pPr>
                    <w:r>
                      <w:rPr>
                        <w:szCs w:val="24"/>
                      </w:rPr>
                      <w:t xml:space="preserve">Radikulopatijos ir nervų pažeidimai </w:t>
                    </w:r>
                  </w:p>
                  <w:p>
                    <w:pPr>
                      <w:rPr>
                        <w:szCs w:val="24"/>
                      </w:rPr>
                    </w:pPr>
                    <w:r>
                      <w:rPr>
                        <w:szCs w:val="24"/>
                      </w:rPr>
                      <w:t>G50; G51; G54; G55.1–G55.3; G56–G57; M43.1; M47; M48.0; M50–M51; M53.0–1</w:t>
                    </w:r>
                  </w:p>
                </w:tc>
                <w:tc>
                  <w:tcPr>
                    <w:tcW w:w="1361" w:type="pct"/>
                    <w:vAlign w:val="center"/>
                  </w:tcPr>
                  <w:p>
                    <w:pPr>
                      <w:rPr>
                        <w:szCs w:val="24"/>
                      </w:rPr>
                    </w:pPr>
                    <w:r>
                      <w:rPr>
                        <w:szCs w:val="24"/>
                      </w:rPr>
                      <w:t>Poūmiu periodu</w:t>
                    </w:r>
                  </w:p>
                </w:tc>
                <w:tc>
                  <w:tcPr>
                    <w:tcW w:w="1148" w:type="pct"/>
                    <w:vAlign w:val="center"/>
                  </w:tcPr>
                  <w:p>
                    <w:pPr>
                      <w:ind w:hanging="72"/>
                      <w:jc w:val="center"/>
                      <w:rPr>
                        <w:szCs w:val="24"/>
                      </w:rPr>
                    </w:pPr>
                    <w:r>
                      <w:rPr>
                        <w:szCs w:val="24"/>
                      </w:rPr>
                      <w:t>14</w:t>
                    </w:r>
                  </w:p>
                </w:tc>
              </w:tr>
              <w:tr>
                <w:trPr>
                  <w:cantSplit/>
                  <w:trHeight w:val="661"/>
                </w:trPr>
                <w:tc>
                  <w:tcPr>
                    <w:tcW w:w="2491" w:type="pct"/>
                    <w:vAlign w:val="center"/>
                  </w:tcPr>
                  <w:p>
                    <w:pPr>
                      <w:rPr>
                        <w:szCs w:val="24"/>
                      </w:rPr>
                    </w:pPr>
                    <w:r>
                      <w:rPr>
                        <w:szCs w:val="24"/>
                      </w:rPr>
                      <w:t>Dorsalgija M54.0-M54.9</w:t>
                    </w:r>
                  </w:p>
                </w:tc>
                <w:tc>
                  <w:tcPr>
                    <w:tcW w:w="1361" w:type="pct"/>
                    <w:vAlign w:val="center"/>
                  </w:tcPr>
                  <w:p>
                    <w:pPr>
                      <w:rPr>
                        <w:szCs w:val="24"/>
                      </w:rPr>
                    </w:pPr>
                    <w:r>
                      <w:rPr>
                        <w:szCs w:val="24"/>
                      </w:rPr>
                      <w:t>Poūmiu periodu</w:t>
                    </w:r>
                  </w:p>
                </w:tc>
                <w:tc>
                  <w:tcPr>
                    <w:tcW w:w="1148" w:type="pct"/>
                    <w:vAlign w:val="center"/>
                  </w:tcPr>
                  <w:p>
                    <w:pPr>
                      <w:ind w:hanging="72"/>
                      <w:jc w:val="center"/>
                      <w:rPr>
                        <w:szCs w:val="24"/>
                      </w:rPr>
                    </w:pPr>
                    <w:r>
                      <w:rPr>
                        <w:szCs w:val="24"/>
                      </w:rPr>
                      <w:t>14</w:t>
                    </w:r>
                  </w:p>
                </w:tc>
              </w:tr>
              <w:tr>
                <w:trPr>
                  <w:cantSplit/>
                  <w:trHeight w:val="519"/>
                </w:trPr>
                <w:tc>
                  <w:tcPr>
                    <w:tcW w:w="2491" w:type="pct"/>
                    <w:vAlign w:val="center"/>
                  </w:tcPr>
                  <w:p>
                    <w:pPr>
                      <w:rPr>
                        <w:szCs w:val="24"/>
                      </w:rPr>
                    </w:pPr>
                    <w:r>
                      <w:rPr>
                        <w:szCs w:val="24"/>
                      </w:rPr>
                      <w:t>Praeinantys (tranzitoriniai) išemijos priepuoliai ir su jais susiję sindromai G45.0-G45.1; G45.8</w:t>
                    </w:r>
                  </w:p>
                </w:tc>
                <w:tc>
                  <w:tcPr>
                    <w:tcW w:w="1361" w:type="pct"/>
                    <w:vAlign w:val="center"/>
                  </w:tcPr>
                  <w:p>
                    <w:pPr>
                      <w:rPr>
                        <w:szCs w:val="24"/>
                      </w:rPr>
                    </w:pPr>
                    <w:r>
                      <w:rPr>
                        <w:szCs w:val="24"/>
                      </w:rPr>
                      <w:t>Bartelio indeksas daugiau kaip 80 balų</w:t>
                    </w:r>
                  </w:p>
                </w:tc>
                <w:tc>
                  <w:tcPr>
                    <w:tcW w:w="1148" w:type="pct"/>
                    <w:vAlign w:val="center"/>
                  </w:tcPr>
                  <w:p>
                    <w:pPr>
                      <w:ind w:hanging="72"/>
                      <w:jc w:val="center"/>
                      <w:rPr>
                        <w:szCs w:val="24"/>
                      </w:rPr>
                    </w:pPr>
                    <w:r>
                      <w:rPr>
                        <w:szCs w:val="24"/>
                      </w:rPr>
                      <w:t>14</w:t>
                    </w:r>
                  </w:p>
                </w:tc>
              </w:tr>
              <w:tr>
                <w:trPr>
                  <w:cantSplit/>
                  <w:trHeight w:val="655"/>
                </w:trPr>
                <w:tc>
                  <w:tcPr>
                    <w:tcW w:w="2491" w:type="pct"/>
                    <w:vAlign w:val="center"/>
                  </w:tcPr>
                  <w:p>
                    <w:pPr>
                      <w:rPr>
                        <w:szCs w:val="24"/>
                      </w:rPr>
                    </w:pPr>
                    <w:r>
                      <w:rPr>
                        <w:szCs w:val="24"/>
                      </w:rPr>
                      <w:t xml:space="preserve">Migrena </w:t>
                    </w:r>
                  </w:p>
                </w:tc>
                <w:tc>
                  <w:tcPr>
                    <w:tcW w:w="1361" w:type="pct"/>
                    <w:vAlign w:val="center"/>
                  </w:tcPr>
                  <w:p>
                    <w:pPr>
                      <w:rPr>
                        <w:szCs w:val="24"/>
                      </w:rPr>
                    </w:pPr>
                    <w:r>
                      <w:rPr>
                        <w:szCs w:val="24"/>
                      </w:rPr>
                      <w:t>Poūmiu ligos periodu</w:t>
                    </w:r>
                  </w:p>
                </w:tc>
                <w:tc>
                  <w:tcPr>
                    <w:tcW w:w="1148" w:type="pct"/>
                    <w:vAlign w:val="center"/>
                  </w:tcPr>
                  <w:p>
                    <w:pPr>
                      <w:ind w:hanging="72"/>
                      <w:jc w:val="center"/>
                      <w:rPr>
                        <w:szCs w:val="24"/>
                      </w:rPr>
                    </w:pPr>
                    <w:r>
                      <w:rPr>
                        <w:szCs w:val="24"/>
                      </w:rPr>
                      <w:t>14</w:t>
                    </w:r>
                  </w:p>
                </w:tc>
              </w:tr>
              <w:tr>
                <w:trPr>
                  <w:cantSplit/>
                  <w:trHeight w:val="272"/>
                </w:trPr>
                <w:tc>
                  <w:tcPr>
                    <w:tcW w:w="5000" w:type="pct"/>
                    <w:gridSpan w:val="3"/>
                  </w:tcPr>
                  <w:p>
                    <w:pPr>
                      <w:jc w:val="both"/>
                      <w:rPr>
                        <w:bCs/>
                        <w:kern w:val="36"/>
                        <w:szCs w:val="24"/>
                        <w:lang w:eastAsia="lt-LT"/>
                      </w:rPr>
                    </w:pPr>
                    <w:r>
                      <w:rPr>
                        <w:bCs/>
                        <w:kern w:val="36"/>
                        <w:szCs w:val="24"/>
                        <w:lang w:eastAsia="lt-LT"/>
                      </w:rPr>
                      <w:t>Ambulatorinė reabilitacija</w:t>
                    </w:r>
                  </w:p>
                  <w:p>
                    <w:pPr>
                      <w:jc w:val="both"/>
                      <w:rPr>
                        <w:strike/>
                        <w:szCs w:val="24"/>
                      </w:rPr>
                    </w:pPr>
                    <w:r>
                      <w:rPr>
                        <w:szCs w:val="24"/>
                      </w:rPr>
                      <w:t>Paslaugos vienam pacientui per 10 darbo dienų: kineziterapija – 10 procedūrų, ergoterapija – 4 procedūros, gydomasis masažas – 4 procedūros, fizioterapija – 9 procedūros, 2 medicinos psichologo konsultacijos, 1 socialinio darbuotojo konsultacija, klinikinio logopedo užsiėmimai – 2 procedūros (esant kalbos sutrikimų). Paslaugos, teikiamos pagal indikacijas: paciento mokymas ir kitos paslaugos.</w:t>
                    </w:r>
                  </w:p>
                  <w:p>
                    <w:pPr>
                      <w:jc w:val="both"/>
                      <w:rPr>
                        <w:strike/>
                        <w:szCs w:val="24"/>
                      </w:rPr>
                    </w:pPr>
                  </w:p>
                  <w:p>
                    <w:pPr>
                      <w:jc w:val="both"/>
                      <w:rPr>
                        <w:szCs w:val="24"/>
                      </w:rPr>
                    </w:pPr>
                    <w:r>
                      <w:rPr>
                        <w:szCs w:val="24"/>
                      </w:rPr>
                      <w:t>Pastaba. Paslaugų skaičius vienam pacientui, nustatytas šiuose reikalavimuose, gali būti didinamas arba mažinamas, atsižvelgiant į paciento būklę ir indikacijas, tai pagrindžiant ir padarius atitinkamus įrašus.</w:t>
                    </w:r>
                    <w:r>
                      <w:t xml:space="preserve"> Mažinant paslaugų arba tyrimų skaičių tai būtina pagrįsti ir padaryti atitinkamus įrašus </w:t>
                    </w:r>
                    <w:r>
                      <w:rPr>
                        <w:szCs w:val="24"/>
                      </w:rPr>
                      <w:t>ambulatorinėje asmens sveikatos istorijoje (forma Nr. 025/a).</w:t>
                    </w:r>
                  </w:p>
                </w:tc>
              </w:tr>
              <w:tr>
                <w:trPr>
                  <w:cantSplit/>
                  <w:trHeight w:val="272"/>
                </w:trPr>
                <w:tc>
                  <w:tcPr>
                    <w:tcW w:w="2491" w:type="pct"/>
                    <w:vAlign w:val="center"/>
                  </w:tcPr>
                  <w:p>
                    <w:pPr>
                      <w:rPr>
                        <w:szCs w:val="24"/>
                      </w:rPr>
                    </w:pPr>
                    <w:r>
                      <w:rPr>
                        <w:szCs w:val="24"/>
                      </w:rPr>
                      <w:t>Po galvos smegenų pažeidimų B02.2; D32–D33; G93.0; G93.3; I60–I64; I169.0-89; S06; T90.0-T90.9</w:t>
                    </w:r>
                  </w:p>
                </w:tc>
                <w:tc>
                  <w:tcPr>
                    <w:tcW w:w="1360" w:type="pct"/>
                    <w:vAlign w:val="center"/>
                  </w:tcPr>
                  <w:p>
                    <w:pPr>
                      <w:rPr>
                        <w:szCs w:val="24"/>
                      </w:rPr>
                    </w:pPr>
                    <w:r>
                      <w:rPr>
                        <w:szCs w:val="24"/>
                      </w:rPr>
                      <w:t>TPBT – 25–30 balų, Bartelio indeksas daugiau kaip 90 balų</w:t>
                    </w:r>
                  </w:p>
                </w:tc>
                <w:tc>
                  <w:tcPr>
                    <w:tcW w:w="1148" w:type="pct"/>
                  </w:tcPr>
                  <w:p>
                    <w:pPr>
                      <w:jc w:val="center"/>
                      <w:rPr>
                        <w:szCs w:val="24"/>
                      </w:rPr>
                    </w:pPr>
                    <w:r>
                      <w:rPr>
                        <w:szCs w:val="24"/>
                      </w:rPr>
                      <w:t>12</w:t>
                    </w:r>
                  </w:p>
                </w:tc>
              </w:tr>
              <w:tr>
                <w:trPr>
                  <w:cantSplit/>
                  <w:trHeight w:val="272"/>
                </w:trPr>
                <w:tc>
                  <w:tcPr>
                    <w:tcW w:w="2491" w:type="pct"/>
                    <w:vAlign w:val="center"/>
                  </w:tcPr>
                  <w:p>
                    <w:pPr>
                      <w:rPr>
                        <w:szCs w:val="24"/>
                      </w:rPr>
                    </w:pPr>
                    <w:r>
                      <w:rPr>
                        <w:szCs w:val="24"/>
                      </w:rPr>
                      <w:t>Demielinizuojančios ligos G35; G37</w:t>
                    </w:r>
                  </w:p>
                </w:tc>
                <w:tc>
                  <w:tcPr>
                    <w:tcW w:w="1360" w:type="pct"/>
                    <w:vAlign w:val="center"/>
                  </w:tcPr>
                  <w:p>
                    <w:pPr>
                      <w:rPr>
                        <w:szCs w:val="24"/>
                      </w:rPr>
                    </w:pPr>
                    <w:r>
                      <w:rPr>
                        <w:szCs w:val="24"/>
                      </w:rPr>
                      <w:t>Po paūmėjimo</w:t>
                    </w:r>
                  </w:p>
                </w:tc>
                <w:tc>
                  <w:tcPr>
                    <w:tcW w:w="1148" w:type="pct"/>
                  </w:tcPr>
                  <w:p>
                    <w:pPr>
                      <w:jc w:val="center"/>
                      <w:rPr>
                        <w:szCs w:val="24"/>
                      </w:rPr>
                    </w:pPr>
                    <w:r>
                      <w:rPr>
                        <w:szCs w:val="24"/>
                      </w:rPr>
                      <w:t>12</w:t>
                    </w:r>
                  </w:p>
                </w:tc>
              </w:tr>
              <w:tr>
                <w:trPr>
                  <w:cantSplit/>
                  <w:trHeight w:val="272"/>
                </w:trPr>
                <w:tc>
                  <w:tcPr>
                    <w:tcW w:w="2491" w:type="pct"/>
                    <w:vAlign w:val="center"/>
                  </w:tcPr>
                  <w:p>
                    <w:pPr>
                      <w:rPr>
                        <w:szCs w:val="24"/>
                      </w:rPr>
                    </w:pPr>
                    <w:r>
                      <w:rPr>
                        <w:szCs w:val="24"/>
                      </w:rPr>
                      <w:t>Parkinsono liga. Antrinis parkinsonizmas G20–G21</w:t>
                    </w:r>
                  </w:p>
                </w:tc>
                <w:tc>
                  <w:tcPr>
                    <w:tcW w:w="1360" w:type="pct"/>
                    <w:vAlign w:val="center"/>
                  </w:tcPr>
                  <w:p>
                    <w:pPr>
                      <w:rPr>
                        <w:szCs w:val="24"/>
                      </w:rPr>
                    </w:pPr>
                    <w:r>
                      <w:rPr>
                        <w:szCs w:val="24"/>
                      </w:rPr>
                      <w:t>Po paūmėjimo</w:t>
                    </w:r>
                  </w:p>
                </w:tc>
                <w:tc>
                  <w:tcPr>
                    <w:tcW w:w="1148" w:type="pct"/>
                  </w:tcPr>
                  <w:p>
                    <w:pPr>
                      <w:jc w:val="center"/>
                      <w:rPr>
                        <w:szCs w:val="24"/>
                      </w:rPr>
                    </w:pPr>
                    <w:r>
                      <w:rPr>
                        <w:szCs w:val="24"/>
                      </w:rPr>
                      <w:t>12</w:t>
                    </w:r>
                  </w:p>
                </w:tc>
              </w:tr>
              <w:tr>
                <w:trPr>
                  <w:cantSplit/>
                  <w:trHeight w:val="272"/>
                </w:trPr>
                <w:tc>
                  <w:tcPr>
                    <w:tcW w:w="2491" w:type="pct"/>
                    <w:vAlign w:val="center"/>
                  </w:tcPr>
                  <w:p>
                    <w:pPr>
                      <w:rPr>
                        <w:szCs w:val="24"/>
                      </w:rPr>
                    </w:pPr>
                    <w:r>
                      <w:rPr>
                        <w:szCs w:val="24"/>
                      </w:rPr>
                      <w:t>Uždegiminės polineuropatijos, degeneracinės nervų ir raumenų ligos G61.8; G63.2-G63.3</w:t>
                    </w:r>
                  </w:p>
                </w:tc>
                <w:tc>
                  <w:tcPr>
                    <w:tcW w:w="1360" w:type="pct"/>
                  </w:tcPr>
                  <w:p>
                    <w:pPr>
                      <w:rPr>
                        <w:szCs w:val="24"/>
                      </w:rPr>
                    </w:pPr>
                    <w:r>
                      <w:rPr>
                        <w:szCs w:val="24"/>
                      </w:rPr>
                      <w:t xml:space="preserve">Stabili ligos eiga </w:t>
                    </w:r>
                  </w:p>
                  <w:p>
                    <w:pPr>
                      <w:rPr>
                        <w:szCs w:val="24"/>
                      </w:rPr>
                    </w:pPr>
                  </w:p>
                </w:tc>
                <w:tc>
                  <w:tcPr>
                    <w:tcW w:w="1148" w:type="pct"/>
                  </w:tcPr>
                  <w:p>
                    <w:pPr>
                      <w:jc w:val="center"/>
                      <w:rPr>
                        <w:szCs w:val="24"/>
                      </w:rPr>
                    </w:pPr>
                    <w:r>
                      <w:rPr>
                        <w:szCs w:val="24"/>
                      </w:rPr>
                      <w:t>12</w:t>
                    </w:r>
                  </w:p>
                </w:tc>
              </w:tr>
              <w:tr>
                <w:trPr>
                  <w:cantSplit/>
                  <w:trHeight w:val="272"/>
                </w:trPr>
                <w:tc>
                  <w:tcPr>
                    <w:tcW w:w="2491" w:type="pct"/>
                  </w:tcPr>
                  <w:p>
                    <w:pPr>
                      <w:jc w:val="both"/>
                      <w:rPr>
                        <w:bCs/>
                        <w:kern w:val="36"/>
                        <w:szCs w:val="24"/>
                        <w:lang w:eastAsia="lt-LT"/>
                      </w:rPr>
                    </w:pPr>
                    <w:r>
                      <w:rPr>
                        <w:szCs w:val="24"/>
                      </w:rPr>
                      <w:t>Po tarpslankstelinių diskų operacijų M43.1; M48.0; M50–M51</w:t>
                    </w:r>
                  </w:p>
                </w:tc>
                <w:tc>
                  <w:tcPr>
                    <w:tcW w:w="1360" w:type="pct"/>
                    <w:vAlign w:val="center"/>
                  </w:tcPr>
                  <w:p>
                    <w:pPr>
                      <w:rPr>
                        <w:szCs w:val="24"/>
                      </w:rPr>
                    </w:pPr>
                    <w:r>
                      <w:rPr>
                        <w:szCs w:val="24"/>
                      </w:rPr>
                      <w:t>Sutrikusi apsitarnavimo arba judėjimo funkcija</w:t>
                    </w:r>
                  </w:p>
                </w:tc>
                <w:tc>
                  <w:tcPr>
                    <w:tcW w:w="1148" w:type="pct"/>
                  </w:tcPr>
                  <w:p>
                    <w:pPr>
                      <w:jc w:val="center"/>
                      <w:rPr>
                        <w:szCs w:val="24"/>
                      </w:rPr>
                    </w:pPr>
                    <w:r>
                      <w:rPr>
                        <w:szCs w:val="24"/>
                      </w:rPr>
                      <w:t>12</w:t>
                    </w:r>
                  </w:p>
                </w:tc>
              </w:tr>
              <w:tr>
                <w:trPr>
                  <w:cantSplit/>
                  <w:trHeight w:val="304"/>
                </w:trPr>
                <w:tc>
                  <w:tcPr>
                    <w:tcW w:w="2491" w:type="pct"/>
                    <w:vAlign w:val="center"/>
                  </w:tcPr>
                  <w:p>
                    <w:pPr>
                      <w:rPr>
                        <w:szCs w:val="24"/>
                      </w:rPr>
                    </w:pPr>
                    <w:r>
                      <w:rPr>
                        <w:szCs w:val="24"/>
                      </w:rPr>
                      <w:t>Vibracinė liga T75.2; Z57.7</w:t>
                    </w:r>
                  </w:p>
                </w:tc>
                <w:tc>
                  <w:tcPr>
                    <w:tcW w:w="1360" w:type="pct"/>
                    <w:shd w:val="clear" w:color="auto" w:fill="FFFFFF"/>
                    <w:vAlign w:val="center"/>
                  </w:tcPr>
                  <w:p>
                    <w:pPr>
                      <w:rPr>
                        <w:szCs w:val="24"/>
                      </w:rPr>
                    </w:pPr>
                  </w:p>
                </w:tc>
                <w:tc>
                  <w:tcPr>
                    <w:tcW w:w="1148" w:type="pct"/>
                    <w:shd w:val="clear" w:color="auto" w:fill="FFFFFF"/>
                    <w:vAlign w:val="center"/>
                  </w:tcPr>
                  <w:p>
                    <w:pPr>
                      <w:jc w:val="center"/>
                      <w:rPr>
                        <w:szCs w:val="24"/>
                      </w:rPr>
                    </w:pPr>
                    <w:r>
                      <w:rPr>
                        <w:szCs w:val="24"/>
                      </w:rPr>
                      <w:t>12</w:t>
                    </w:r>
                  </w:p>
                </w:tc>
              </w:tr>
              <w:tr>
                <w:trPr>
                  <w:cantSplit/>
                  <w:trHeight w:val="304"/>
                </w:trPr>
                <w:tc>
                  <w:tcPr>
                    <w:tcW w:w="2491" w:type="pct"/>
                    <w:vAlign w:val="center"/>
                  </w:tcPr>
                  <w:p>
                    <w:pPr>
                      <w:rPr>
                        <w:szCs w:val="24"/>
                      </w:rPr>
                    </w:pPr>
                    <w:r>
                      <w:rPr>
                        <w:szCs w:val="24"/>
                      </w:rPr>
                      <w:t>Radikulopatijos ir nervų pažeidimai G51; G54, G55.1–G55.2; G56–G57; M50–M51; M54; S14.3, S44.0–2; S54.0–2; S64.0–S64.2; S74.0–1; S84.0–1</w:t>
                    </w:r>
                  </w:p>
                </w:tc>
                <w:tc>
                  <w:tcPr>
                    <w:tcW w:w="1360" w:type="pct"/>
                    <w:shd w:val="clear" w:color="auto" w:fill="FFFFFF"/>
                  </w:tcPr>
                  <w:p>
                    <w:pPr>
                      <w:rPr>
                        <w:szCs w:val="24"/>
                      </w:rPr>
                    </w:pPr>
                    <w:r>
                      <w:rPr>
                        <w:szCs w:val="24"/>
                      </w:rPr>
                      <w:t>Sutrikusi apsitarnavimo arba judėjimo funkcija</w:t>
                    </w:r>
                  </w:p>
                </w:tc>
                <w:tc>
                  <w:tcPr>
                    <w:tcW w:w="1148" w:type="pct"/>
                    <w:shd w:val="clear" w:color="auto" w:fill="FFFFFF"/>
                  </w:tcPr>
                  <w:p>
                    <w:pPr>
                      <w:jc w:val="center"/>
                      <w:rPr>
                        <w:szCs w:val="24"/>
                      </w:rPr>
                    </w:pPr>
                    <w:r>
                      <w:rPr>
                        <w:szCs w:val="24"/>
                      </w:rPr>
                      <w:t>12</w:t>
                    </w:r>
                  </w:p>
                </w:tc>
              </w:tr>
            </w:tbl>
            <w:p>
              <w:pPr>
                <w:rPr>
                  <w:szCs w:val="24"/>
                </w:rPr>
              </w:pPr>
            </w:p>
            <w:p>
              <w:pPr>
                <w:jc w:val="center"/>
                <w:rPr>
                  <w:b/>
                  <w:bCs/>
                  <w:szCs w:val="24"/>
                </w:rPr>
              </w:pPr>
              <w:r>
                <w:rPr>
                  <w:b/>
                  <w:bCs/>
                  <w:szCs w:val="24"/>
                </w:rPr>
                <w:t>Kraujotakos sistemos ligos</w:t>
              </w:r>
            </w:p>
            <w:p>
              <w:pPr>
                <w:jc w:val="center"/>
                <w:rPr>
                  <w:iCs/>
                  <w:szCs w:val="24"/>
                </w:rPr>
              </w:pPr>
            </w:p>
            <w:tbl>
              <w:tblPr>
                <w:tblW w:w="5017"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349"/>
                <w:gridCol w:w="3338"/>
                <w:gridCol w:w="2201"/>
              </w:tblGrid>
              <w:tr>
                <w:trPr>
                  <w:cantSplit/>
                  <w:trHeight w:val="979"/>
                </w:trPr>
                <w:tc>
                  <w:tcPr>
                    <w:tcW w:w="2199" w:type="pct"/>
                    <w:vAlign w:val="center"/>
                  </w:tcPr>
                  <w:p>
                    <w:pPr>
                      <w:jc w:val="center"/>
                      <w:rPr>
                        <w:szCs w:val="24"/>
                      </w:rPr>
                    </w:pPr>
                    <w:r>
                      <w:rPr>
                        <w:szCs w:val="24"/>
                      </w:rPr>
                      <w:t>Diagnozės</w:t>
                    </w:r>
                  </w:p>
                </w:tc>
                <w:tc>
                  <w:tcPr>
                    <w:tcW w:w="1688" w:type="pct"/>
                    <w:vAlign w:val="center"/>
                  </w:tcPr>
                  <w:p>
                    <w:pPr>
                      <w:jc w:val="center"/>
                      <w:rPr>
                        <w:szCs w:val="24"/>
                      </w:rPr>
                    </w:pPr>
                    <w:r>
                      <w:rPr>
                        <w:szCs w:val="24"/>
                      </w:rPr>
                      <w:t>Biopsichosocialinių funkcijų sutrikimo ir (arba) ligos sunkumo laipsnis</w:t>
                    </w:r>
                  </w:p>
                </w:tc>
                <w:tc>
                  <w:tcPr>
                    <w:tcW w:w="1113" w:type="pct"/>
                    <w:vAlign w:val="center"/>
                  </w:tcPr>
                  <w:p>
                    <w:pPr>
                      <w:keepNext/>
                      <w:jc w:val="center"/>
                      <w:outlineLvl w:val="3"/>
                      <w:rPr>
                        <w:bCs/>
                        <w:szCs w:val="24"/>
                      </w:rPr>
                    </w:pPr>
                    <w:r>
                      <w:rPr>
                        <w:bCs/>
                        <w:szCs w:val="24"/>
                      </w:rPr>
                      <w:t>Reabilitacijos trukmė</w:t>
                    </w:r>
                  </w:p>
                  <w:p>
                    <w:pPr>
                      <w:jc w:val="center"/>
                      <w:rPr>
                        <w:szCs w:val="24"/>
                      </w:rPr>
                    </w:pPr>
                    <w:r>
                      <w:rPr>
                        <w:szCs w:val="24"/>
                      </w:rPr>
                      <w:t>(kalendorinėmis dienomis)</w:t>
                    </w:r>
                  </w:p>
                </w:tc>
              </w:tr>
              <w:tr>
                <w:trPr>
                  <w:cantSplit/>
                  <w:trHeight w:val="272"/>
                </w:trPr>
                <w:tc>
                  <w:tcPr>
                    <w:tcW w:w="5000" w:type="pct"/>
                    <w:gridSpan w:val="3"/>
                  </w:tcPr>
                  <w:p>
                    <w:pPr>
                      <w:keepNext/>
                      <w:jc w:val="both"/>
                      <w:outlineLvl w:val="1"/>
                      <w:rPr>
                        <w:szCs w:val="24"/>
                      </w:rPr>
                    </w:pPr>
                    <w:r>
                      <w:rPr>
                        <w:bCs/>
                        <w:iCs/>
                        <w:szCs w:val="24"/>
                      </w:rPr>
                      <w:t>Stacionarinė reabilitacija</w:t>
                    </w:r>
                  </w:p>
                  <w:p>
                    <w:pPr>
                      <w:jc w:val="both"/>
                      <w:rPr>
                        <w:szCs w:val="24"/>
                      </w:rPr>
                    </w:pPr>
                    <w:r>
                      <w:rPr>
                        <w:szCs w:val="24"/>
                      </w:rPr>
                      <w:t>Paslaugos vienam pacientui per 10 darbo dienų: kineziterapija – 15 procedūrų, gydomasis masažas – 7 procedūros, fizioterapija – 10 procedūrų, 5 medicinos psichologo konsultacijos, 1 socialinio darbuotojo konsultacija, dietoterapija – pagal indikacijas.</w:t>
                    </w:r>
                  </w:p>
                  <w:p>
                    <w:pPr>
                      <w:jc w:val="both"/>
                      <w:rPr>
                        <w:szCs w:val="24"/>
                      </w:rPr>
                    </w:pPr>
                    <w:r>
                      <w:rPr>
                        <w:szCs w:val="24"/>
                      </w:rPr>
                      <w:t>Stacionarinės medicininės reabilitacijos metu pacientui atliekami klinikiniai fiziologiniai, radiologiniai, laboratoriniai tyrimai pagal indikacijas, teikiamos gydytojų specialistų konsultacijos paslaugos (pagal indikacijas).</w:t>
                    </w:r>
                  </w:p>
                  <w:p>
                    <w:pPr>
                      <w:jc w:val="both"/>
                      <w:rPr>
                        <w:szCs w:val="24"/>
                      </w:rPr>
                    </w:pPr>
                  </w:p>
                  <w:p>
                    <w:pPr>
                      <w:jc w:val="both"/>
                      <w:rPr>
                        <w:szCs w:val="24"/>
                      </w:rPr>
                    </w:pPr>
                    <w:r>
                      <w:rPr>
                        <w:szCs w:val="24"/>
                      </w:rPr>
                      <w:t>Pastaba. Paslaugų skaičius vienam pacientui, nustatytas šiuose reikalavimuose, gali būti didinamas arba mažinamas, atsižvelgiant į paciento būklę ir indikacijas,</w:t>
                    </w:r>
                    <w:r>
                      <w:rPr>
                        <w:b/>
                        <w:szCs w:val="24"/>
                      </w:rPr>
                      <w:t xml:space="preserve"> </w:t>
                    </w:r>
                    <w:r>
                      <w:rPr>
                        <w:szCs w:val="24"/>
                      </w:rPr>
                      <w:t>tai pagrindžiant ir padarius atitinkamus įrašus gydymo stacionare ligos istorijoje (forma Nr. 003/a).</w:t>
                    </w:r>
                  </w:p>
                </w:tc>
              </w:tr>
              <w:tr>
                <w:trPr>
                  <w:cantSplit/>
                  <w:trHeight w:val="272"/>
                </w:trPr>
                <w:tc>
                  <w:tcPr>
                    <w:tcW w:w="2199" w:type="pct"/>
                    <w:vAlign w:val="center"/>
                  </w:tcPr>
                  <w:p>
                    <w:pPr>
                      <w:rPr>
                        <w:szCs w:val="24"/>
                      </w:rPr>
                    </w:pPr>
                    <w:r>
                      <w:rPr>
                        <w:szCs w:val="24"/>
                      </w:rPr>
                      <w:t>Miokardo infarktas (po 2 ir daugiau mėnesių) I21–I22</w:t>
                    </w:r>
                  </w:p>
                </w:tc>
                <w:tc>
                  <w:tcPr>
                    <w:tcW w:w="1688" w:type="pct"/>
                  </w:tcPr>
                  <w:p>
                    <w:pPr>
                      <w:rPr>
                        <w:szCs w:val="24"/>
                      </w:rPr>
                    </w:pPr>
                    <w:r>
                      <w:rPr>
                        <w:szCs w:val="24"/>
                      </w:rPr>
                      <w:t>Širdies nepakankamumas (ŠN), I–III funkcinė klasė pagal NYHA, būklė stabilizuota</w:t>
                    </w:r>
                  </w:p>
                </w:tc>
                <w:tc>
                  <w:tcPr>
                    <w:tcW w:w="1113" w:type="pct"/>
                  </w:tcPr>
                  <w:p>
                    <w:pPr>
                      <w:jc w:val="center"/>
                      <w:rPr>
                        <w:szCs w:val="24"/>
                      </w:rPr>
                    </w:pPr>
                    <w:r>
                      <w:rPr>
                        <w:szCs w:val="24"/>
                      </w:rPr>
                      <w:t>18</w:t>
                    </w:r>
                  </w:p>
                </w:tc>
              </w:tr>
              <w:tr>
                <w:trPr>
                  <w:cantSplit/>
                  <w:trHeight w:val="272"/>
                </w:trPr>
                <w:tc>
                  <w:tcPr>
                    <w:tcW w:w="2199" w:type="pct"/>
                    <w:vAlign w:val="center"/>
                  </w:tcPr>
                  <w:p>
                    <w:pPr>
                      <w:rPr>
                        <w:szCs w:val="24"/>
                      </w:rPr>
                    </w:pPr>
                    <w:r>
                      <w:rPr>
                        <w:szCs w:val="24"/>
                      </w:rPr>
                      <w:t>Krūtinės angina I20.0, I20.8</w:t>
                    </w:r>
                  </w:p>
                </w:tc>
                <w:tc>
                  <w:tcPr>
                    <w:tcW w:w="1688" w:type="pct"/>
                    <w:vAlign w:val="center"/>
                  </w:tcPr>
                  <w:p>
                    <w:pPr>
                      <w:rPr>
                        <w:szCs w:val="24"/>
                      </w:rPr>
                    </w:pPr>
                    <w:r>
                      <w:rPr>
                        <w:szCs w:val="24"/>
                      </w:rPr>
                      <w:t>Įtampos krūtinės angina, III funkcinė klasė, būklė stabilizuota</w:t>
                    </w:r>
                  </w:p>
                </w:tc>
                <w:tc>
                  <w:tcPr>
                    <w:tcW w:w="1113" w:type="pct"/>
                    <w:vAlign w:val="center"/>
                  </w:tcPr>
                  <w:p>
                    <w:pPr>
                      <w:jc w:val="center"/>
                      <w:rPr>
                        <w:szCs w:val="24"/>
                      </w:rPr>
                    </w:pPr>
                    <w:r>
                      <w:rPr>
                        <w:szCs w:val="24"/>
                      </w:rPr>
                      <w:t>16</w:t>
                    </w:r>
                  </w:p>
                </w:tc>
              </w:tr>
              <w:tr>
                <w:trPr>
                  <w:cantSplit/>
                  <w:trHeight w:val="272"/>
                </w:trPr>
                <w:tc>
                  <w:tcPr>
                    <w:tcW w:w="2199" w:type="pct"/>
                    <w:vAlign w:val="center"/>
                  </w:tcPr>
                  <w:p>
                    <w:pPr>
                      <w:rPr>
                        <w:szCs w:val="24"/>
                      </w:rPr>
                    </w:pPr>
                    <w:r>
                      <w:rPr>
                        <w:szCs w:val="24"/>
                      </w:rPr>
                      <w:t>Po širdies ir kraujagyslių operacijų (po 2 ir daugiau mėnesių) Z94.1; Z95.0–5; Z95.8</w:t>
                    </w:r>
                  </w:p>
                </w:tc>
                <w:tc>
                  <w:tcPr>
                    <w:tcW w:w="1688" w:type="pct"/>
                  </w:tcPr>
                  <w:p>
                    <w:pPr>
                      <w:rPr>
                        <w:szCs w:val="24"/>
                      </w:rPr>
                    </w:pPr>
                    <w:r>
                      <w:rPr>
                        <w:szCs w:val="24"/>
                      </w:rPr>
                      <w:t>ŠN I–III funkcinė klasė pagal NYHA</w:t>
                    </w:r>
                  </w:p>
                </w:tc>
                <w:tc>
                  <w:tcPr>
                    <w:tcW w:w="1113" w:type="pct"/>
                  </w:tcPr>
                  <w:p>
                    <w:pPr>
                      <w:jc w:val="center"/>
                      <w:rPr>
                        <w:szCs w:val="24"/>
                      </w:rPr>
                    </w:pPr>
                    <w:r>
                      <w:rPr>
                        <w:szCs w:val="24"/>
                      </w:rPr>
                      <w:t>16</w:t>
                    </w:r>
                  </w:p>
                </w:tc>
              </w:tr>
              <w:tr>
                <w:trPr>
                  <w:cantSplit/>
                  <w:trHeight w:val="272"/>
                </w:trPr>
                <w:tc>
                  <w:tcPr>
                    <w:tcW w:w="2199" w:type="pct"/>
                    <w:vAlign w:val="center"/>
                  </w:tcPr>
                  <w:p>
                    <w:pPr>
                      <w:rPr>
                        <w:szCs w:val="24"/>
                      </w:rPr>
                    </w:pPr>
                    <w:r>
                      <w:rPr>
                        <w:szCs w:val="24"/>
                      </w:rPr>
                      <w:t xml:space="preserve">Reumatinės vožtuvų ydos I05–I08 </w:t>
                    </w:r>
                  </w:p>
                </w:tc>
                <w:tc>
                  <w:tcPr>
                    <w:tcW w:w="1688" w:type="pct"/>
                    <w:vAlign w:val="center"/>
                  </w:tcPr>
                  <w:p>
                    <w:pPr>
                      <w:rPr>
                        <w:szCs w:val="24"/>
                      </w:rPr>
                    </w:pPr>
                    <w:r>
                      <w:rPr>
                        <w:szCs w:val="24"/>
                      </w:rPr>
                      <w:t>ŠN I–III funkcinė klasė pagal NYHA</w:t>
                    </w:r>
                  </w:p>
                </w:tc>
                <w:tc>
                  <w:tcPr>
                    <w:tcW w:w="1113" w:type="pct"/>
                    <w:vAlign w:val="center"/>
                  </w:tcPr>
                  <w:p>
                    <w:pPr>
                      <w:jc w:val="center"/>
                      <w:rPr>
                        <w:szCs w:val="24"/>
                      </w:rPr>
                    </w:pPr>
                    <w:r>
                      <w:rPr>
                        <w:szCs w:val="24"/>
                      </w:rPr>
                      <w:t>16</w:t>
                    </w:r>
                  </w:p>
                </w:tc>
              </w:tr>
              <w:tr>
                <w:trPr>
                  <w:cantSplit/>
                  <w:trHeight w:val="272"/>
                </w:trPr>
                <w:tc>
                  <w:tcPr>
                    <w:tcW w:w="2199" w:type="pct"/>
                    <w:vAlign w:val="center"/>
                  </w:tcPr>
                  <w:p>
                    <w:pPr>
                      <w:rPr>
                        <w:szCs w:val="24"/>
                      </w:rPr>
                    </w:pPr>
                    <w:r>
                      <w:rPr>
                        <w:szCs w:val="24"/>
                      </w:rPr>
                      <w:t>Kardiomiopatija I42.0–5; I42.7</w:t>
                    </w:r>
                  </w:p>
                </w:tc>
                <w:tc>
                  <w:tcPr>
                    <w:tcW w:w="1688" w:type="pct"/>
                    <w:vAlign w:val="center"/>
                  </w:tcPr>
                  <w:p>
                    <w:pPr>
                      <w:rPr>
                        <w:szCs w:val="24"/>
                      </w:rPr>
                    </w:pPr>
                    <w:r>
                      <w:rPr>
                        <w:szCs w:val="24"/>
                      </w:rPr>
                      <w:t>ŠN I–III funkcinė klasė pagal NYHA</w:t>
                    </w:r>
                  </w:p>
                </w:tc>
                <w:tc>
                  <w:tcPr>
                    <w:tcW w:w="1113" w:type="pct"/>
                    <w:vAlign w:val="center"/>
                  </w:tcPr>
                  <w:p>
                    <w:pPr>
                      <w:jc w:val="center"/>
                      <w:rPr>
                        <w:szCs w:val="24"/>
                      </w:rPr>
                    </w:pPr>
                    <w:r>
                      <w:rPr>
                        <w:szCs w:val="24"/>
                      </w:rPr>
                      <w:t>16</w:t>
                    </w:r>
                  </w:p>
                </w:tc>
              </w:tr>
              <w:tr>
                <w:trPr>
                  <w:cantSplit/>
                  <w:trHeight w:val="272"/>
                </w:trPr>
                <w:tc>
                  <w:tcPr>
                    <w:tcW w:w="2199" w:type="pct"/>
                    <w:vAlign w:val="center"/>
                  </w:tcPr>
                  <w:p>
                    <w:pPr>
                      <w:rPr>
                        <w:szCs w:val="24"/>
                      </w:rPr>
                    </w:pPr>
                    <w:r>
                      <w:rPr>
                        <w:szCs w:val="24"/>
                      </w:rPr>
                      <w:t>Pirminė arterinė ir inkstų hipertenzijos I10–I13</w:t>
                    </w:r>
                  </w:p>
                </w:tc>
                <w:tc>
                  <w:tcPr>
                    <w:tcW w:w="1688" w:type="pct"/>
                    <w:vAlign w:val="center"/>
                  </w:tcPr>
                  <w:p>
                    <w:pPr>
                      <w:rPr>
                        <w:szCs w:val="24"/>
                      </w:rPr>
                    </w:pPr>
                    <w:r>
                      <w:rPr>
                        <w:szCs w:val="24"/>
                      </w:rPr>
                      <w:t>Didelės kardiovaskulinės rizikos asmenys, II–III laipsnio AKS padidėjimas</w:t>
                    </w:r>
                  </w:p>
                </w:tc>
                <w:tc>
                  <w:tcPr>
                    <w:tcW w:w="1113" w:type="pct"/>
                    <w:vAlign w:val="center"/>
                  </w:tcPr>
                  <w:p>
                    <w:pPr>
                      <w:jc w:val="center"/>
                      <w:rPr>
                        <w:szCs w:val="24"/>
                      </w:rPr>
                    </w:pPr>
                    <w:r>
                      <w:rPr>
                        <w:szCs w:val="24"/>
                      </w:rPr>
                      <w:t>16</w:t>
                    </w:r>
                  </w:p>
                </w:tc>
              </w:tr>
              <w:tr>
                <w:trPr>
                  <w:trHeight w:val="272"/>
                </w:trPr>
                <w:tc>
                  <w:tcPr>
                    <w:tcW w:w="5000" w:type="pct"/>
                    <w:gridSpan w:val="3"/>
                  </w:tcPr>
                  <w:p>
                    <w:pPr>
                      <w:jc w:val="both"/>
                      <w:rPr>
                        <w:bCs/>
                        <w:kern w:val="36"/>
                        <w:szCs w:val="24"/>
                        <w:lang w:eastAsia="lt-LT"/>
                      </w:rPr>
                    </w:pPr>
                    <w:r>
                      <w:rPr>
                        <w:bCs/>
                        <w:kern w:val="36"/>
                        <w:szCs w:val="24"/>
                        <w:lang w:eastAsia="lt-LT"/>
                      </w:rPr>
                      <w:t>Ambulatorinė reabilitacija</w:t>
                    </w:r>
                  </w:p>
                  <w:p>
                    <w:pPr>
                      <w:jc w:val="both"/>
                      <w:rPr>
                        <w:szCs w:val="24"/>
                      </w:rPr>
                    </w:pPr>
                    <w:r>
                      <w:rPr>
                        <w:szCs w:val="24"/>
                      </w:rPr>
                      <w:t xml:space="preserve">Paslaugos vienam pacientui per 10 darbo dienų: kineziterapija – 10 procedūrų, gydomasis masažas – 6 procedūros, fizioterapija – 10 procedūrų, 3 medicinos psichologo konsultacijos. </w:t>
                    </w:r>
                  </w:p>
                  <w:p>
                    <w:pPr>
                      <w:jc w:val="both"/>
                      <w:rPr>
                        <w:szCs w:val="24"/>
                      </w:rPr>
                    </w:pPr>
                    <w:r>
                      <w:rPr>
                        <w:szCs w:val="24"/>
                      </w:rPr>
                      <w:t>Paslaugos, teikiamos pagal indikacijas: paciento mokymas ir kitos paslaugos.</w:t>
                    </w:r>
                  </w:p>
                  <w:p>
                    <w:pPr>
                      <w:jc w:val="both"/>
                      <w:rPr>
                        <w:szCs w:val="24"/>
                      </w:rPr>
                    </w:pPr>
                  </w:p>
                  <w:p>
                    <w:pPr>
                      <w:jc w:val="both"/>
                      <w:rPr>
                        <w:szCs w:val="24"/>
                      </w:rPr>
                    </w:pPr>
                    <w:r>
                      <w:rPr>
                        <w:szCs w:val="24"/>
                      </w:rPr>
                      <w:t>Pastaba. Paslaugų skaičius vienam pacientui, nustatytas šiuose reikalavimuose, gali būti didinamas arba mažinamas, atsižvelgiant į paciento būklę ir indikacijas, tai pagrindžiant ir padarius atitinkamus įrašus ambulatorinėje asmens sveikatos istorijoje (forma Nr. 025/a).</w:t>
                    </w:r>
                  </w:p>
                </w:tc>
              </w:tr>
              <w:tr>
                <w:trPr>
                  <w:trHeight w:val="272"/>
                </w:trPr>
                <w:tc>
                  <w:tcPr>
                    <w:tcW w:w="2199" w:type="pct"/>
                    <w:vAlign w:val="center"/>
                  </w:tcPr>
                  <w:p>
                    <w:pPr>
                      <w:rPr>
                        <w:szCs w:val="24"/>
                      </w:rPr>
                    </w:pPr>
                    <w:r>
                      <w:rPr>
                        <w:szCs w:val="24"/>
                      </w:rPr>
                      <w:t>Po ūmaus miokardo infarkto I21–I22</w:t>
                    </w:r>
                  </w:p>
                </w:tc>
                <w:tc>
                  <w:tcPr>
                    <w:tcW w:w="1688" w:type="pct"/>
                  </w:tcPr>
                  <w:p>
                    <w:pPr>
                      <w:rPr>
                        <w:szCs w:val="24"/>
                      </w:rPr>
                    </w:pPr>
                    <w:r>
                      <w:rPr>
                        <w:szCs w:val="24"/>
                      </w:rPr>
                      <w:t>ŠN I–II funkcinė klasė pagal NYHA, būklė stabilizuota</w:t>
                    </w:r>
                  </w:p>
                </w:tc>
                <w:tc>
                  <w:tcPr>
                    <w:tcW w:w="1113" w:type="pct"/>
                    <w:vAlign w:val="center"/>
                  </w:tcPr>
                  <w:p>
                    <w:pPr>
                      <w:jc w:val="center"/>
                      <w:rPr>
                        <w:szCs w:val="24"/>
                      </w:rPr>
                    </w:pPr>
                    <w:r>
                      <w:rPr>
                        <w:szCs w:val="24"/>
                      </w:rPr>
                      <w:t>12</w:t>
                    </w:r>
                  </w:p>
                </w:tc>
              </w:tr>
              <w:tr>
                <w:trPr>
                  <w:trHeight w:val="272"/>
                </w:trPr>
                <w:tc>
                  <w:tcPr>
                    <w:tcW w:w="2199" w:type="pct"/>
                    <w:vAlign w:val="center"/>
                  </w:tcPr>
                  <w:p>
                    <w:pPr>
                      <w:rPr>
                        <w:szCs w:val="24"/>
                      </w:rPr>
                    </w:pPr>
                    <w:r>
                      <w:rPr>
                        <w:szCs w:val="24"/>
                      </w:rPr>
                      <w:t>Po širdies operacijų Z95</w:t>
                    </w:r>
                  </w:p>
                </w:tc>
                <w:tc>
                  <w:tcPr>
                    <w:tcW w:w="1688" w:type="pct"/>
                  </w:tcPr>
                  <w:p>
                    <w:pPr>
                      <w:rPr>
                        <w:szCs w:val="24"/>
                      </w:rPr>
                    </w:pPr>
                    <w:r>
                      <w:rPr>
                        <w:szCs w:val="24"/>
                      </w:rPr>
                      <w:t>ŠN I–II funkcinė klasė pagal NYHA, 2 mėnesiai po operacinio gydymo, būklė stabilizuota</w:t>
                    </w:r>
                  </w:p>
                </w:tc>
                <w:tc>
                  <w:tcPr>
                    <w:tcW w:w="1113" w:type="pct"/>
                    <w:vAlign w:val="center"/>
                  </w:tcPr>
                  <w:p>
                    <w:pPr>
                      <w:jc w:val="center"/>
                      <w:rPr>
                        <w:szCs w:val="24"/>
                      </w:rPr>
                    </w:pPr>
                    <w:r>
                      <w:rPr>
                        <w:szCs w:val="24"/>
                      </w:rPr>
                      <w:t>12</w:t>
                    </w:r>
                  </w:p>
                </w:tc>
              </w:tr>
              <w:tr>
                <w:trPr>
                  <w:trHeight w:val="272"/>
                </w:trPr>
                <w:tc>
                  <w:tcPr>
                    <w:tcW w:w="2199" w:type="pct"/>
                    <w:vAlign w:val="center"/>
                  </w:tcPr>
                  <w:p>
                    <w:pPr>
                      <w:rPr>
                        <w:szCs w:val="24"/>
                      </w:rPr>
                    </w:pPr>
                    <w:r>
                      <w:rPr>
                        <w:szCs w:val="24"/>
                      </w:rPr>
                      <w:t>Krūtinės angina, I20.0; I20.1; I20.8</w:t>
                    </w:r>
                  </w:p>
                </w:tc>
                <w:tc>
                  <w:tcPr>
                    <w:tcW w:w="1688" w:type="pct"/>
                  </w:tcPr>
                  <w:p>
                    <w:pPr>
                      <w:rPr>
                        <w:szCs w:val="24"/>
                      </w:rPr>
                    </w:pPr>
                    <w:r>
                      <w:rPr>
                        <w:szCs w:val="24"/>
                      </w:rPr>
                      <w:t>II–III funkcinė klasė</w:t>
                    </w:r>
                  </w:p>
                </w:tc>
                <w:tc>
                  <w:tcPr>
                    <w:tcW w:w="1113" w:type="pct"/>
                    <w:vAlign w:val="center"/>
                  </w:tcPr>
                  <w:p>
                    <w:pPr>
                      <w:jc w:val="center"/>
                      <w:rPr>
                        <w:szCs w:val="24"/>
                      </w:rPr>
                    </w:pPr>
                    <w:r>
                      <w:rPr>
                        <w:szCs w:val="24"/>
                      </w:rPr>
                      <w:t>12</w:t>
                    </w:r>
                  </w:p>
                </w:tc>
              </w:tr>
              <w:tr>
                <w:trPr>
                  <w:trHeight w:val="272"/>
                </w:trPr>
                <w:tc>
                  <w:tcPr>
                    <w:tcW w:w="2199" w:type="pct"/>
                    <w:vAlign w:val="center"/>
                  </w:tcPr>
                  <w:p>
                    <w:pPr>
                      <w:rPr>
                        <w:szCs w:val="24"/>
                      </w:rPr>
                    </w:pPr>
                    <w:r>
                      <w:rPr>
                        <w:szCs w:val="24"/>
                      </w:rPr>
                      <w:t>Reumatinės vožtuvų ydos I05–I08</w:t>
                    </w:r>
                  </w:p>
                </w:tc>
                <w:tc>
                  <w:tcPr>
                    <w:tcW w:w="1688" w:type="pct"/>
                    <w:vAlign w:val="center"/>
                  </w:tcPr>
                  <w:p>
                    <w:pPr>
                      <w:rPr>
                        <w:szCs w:val="24"/>
                      </w:rPr>
                    </w:pPr>
                    <w:r>
                      <w:rPr>
                        <w:szCs w:val="24"/>
                      </w:rPr>
                      <w:t>ŠN II funkcinė klasė pagal NYHA</w:t>
                    </w:r>
                  </w:p>
                </w:tc>
                <w:tc>
                  <w:tcPr>
                    <w:tcW w:w="1113" w:type="pct"/>
                    <w:vAlign w:val="center"/>
                  </w:tcPr>
                  <w:p>
                    <w:pPr>
                      <w:jc w:val="center"/>
                      <w:rPr>
                        <w:szCs w:val="24"/>
                      </w:rPr>
                    </w:pPr>
                    <w:r>
                      <w:rPr>
                        <w:szCs w:val="24"/>
                      </w:rPr>
                      <w:t>12</w:t>
                    </w:r>
                  </w:p>
                </w:tc>
              </w:tr>
              <w:tr>
                <w:trPr>
                  <w:trHeight w:val="272"/>
                </w:trPr>
                <w:tc>
                  <w:tcPr>
                    <w:tcW w:w="2199" w:type="pct"/>
                    <w:vAlign w:val="center"/>
                  </w:tcPr>
                  <w:p>
                    <w:pPr>
                      <w:rPr>
                        <w:szCs w:val="24"/>
                      </w:rPr>
                    </w:pPr>
                    <w:r>
                      <w:rPr>
                        <w:szCs w:val="24"/>
                      </w:rPr>
                      <w:t>Kardiomiopatijos I42.0–I42.5; I42.7</w:t>
                    </w:r>
                  </w:p>
                </w:tc>
                <w:tc>
                  <w:tcPr>
                    <w:tcW w:w="1688" w:type="pct"/>
                    <w:vAlign w:val="center"/>
                  </w:tcPr>
                  <w:p>
                    <w:pPr>
                      <w:rPr>
                        <w:szCs w:val="24"/>
                      </w:rPr>
                    </w:pPr>
                    <w:r>
                      <w:rPr>
                        <w:szCs w:val="24"/>
                      </w:rPr>
                      <w:t>ŠN II funkcinė klasė pagal NYHA</w:t>
                    </w:r>
                  </w:p>
                </w:tc>
                <w:tc>
                  <w:tcPr>
                    <w:tcW w:w="1113" w:type="pct"/>
                    <w:vAlign w:val="center"/>
                  </w:tcPr>
                  <w:p>
                    <w:pPr>
                      <w:jc w:val="center"/>
                      <w:rPr>
                        <w:szCs w:val="24"/>
                      </w:rPr>
                    </w:pPr>
                    <w:r>
                      <w:rPr>
                        <w:szCs w:val="24"/>
                      </w:rPr>
                      <w:t>12</w:t>
                    </w:r>
                  </w:p>
                </w:tc>
              </w:tr>
              <w:tr>
                <w:trPr>
                  <w:trHeight w:val="272"/>
                </w:trPr>
                <w:tc>
                  <w:tcPr>
                    <w:tcW w:w="2199" w:type="pct"/>
                    <w:vAlign w:val="center"/>
                  </w:tcPr>
                  <w:p>
                    <w:pPr>
                      <w:rPr>
                        <w:szCs w:val="24"/>
                      </w:rPr>
                    </w:pPr>
                    <w:r>
                      <w:rPr>
                        <w:szCs w:val="24"/>
                      </w:rPr>
                      <w:t>Pirminė arterinė ir inkstų hipertenzijos I10–I13</w:t>
                    </w:r>
                  </w:p>
                </w:tc>
                <w:tc>
                  <w:tcPr>
                    <w:tcW w:w="1688" w:type="pct"/>
                    <w:vAlign w:val="center"/>
                  </w:tcPr>
                  <w:p>
                    <w:pPr>
                      <w:rPr>
                        <w:szCs w:val="24"/>
                      </w:rPr>
                    </w:pPr>
                    <w:r>
                      <w:rPr>
                        <w:szCs w:val="24"/>
                      </w:rPr>
                      <w:t>II–III laipsnio AKS padidėjimas</w:t>
                    </w:r>
                  </w:p>
                </w:tc>
                <w:tc>
                  <w:tcPr>
                    <w:tcW w:w="1113" w:type="pct"/>
                    <w:vAlign w:val="center"/>
                  </w:tcPr>
                  <w:p>
                    <w:pPr>
                      <w:jc w:val="center"/>
                      <w:rPr>
                        <w:szCs w:val="24"/>
                      </w:rPr>
                    </w:pPr>
                    <w:r>
                      <w:rPr>
                        <w:szCs w:val="24"/>
                      </w:rPr>
                      <w:t>12</w:t>
                    </w:r>
                  </w:p>
                </w:tc>
              </w:tr>
            </w:tbl>
            <w:p>
              <w:pPr>
                <w:rPr>
                  <w:szCs w:val="24"/>
                </w:rPr>
              </w:pPr>
            </w:p>
            <w:p>
              <w:pPr>
                <w:jc w:val="center"/>
                <w:rPr>
                  <w:b/>
                  <w:iCs/>
                  <w:szCs w:val="24"/>
                </w:rPr>
              </w:pPr>
              <w:r>
                <w:rPr>
                  <w:b/>
                  <w:iCs/>
                  <w:szCs w:val="24"/>
                </w:rPr>
                <w:t>Kvėpavimo sistemos ligos</w:t>
              </w:r>
            </w:p>
            <w:p>
              <w:pPr>
                <w:jc w:val="center"/>
                <w:rPr>
                  <w:iCs/>
                  <w:szCs w:val="24"/>
                </w:rPr>
              </w:pPr>
            </w:p>
            <w:tbl>
              <w:tblPr>
                <w:tblW w:w="5018"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226"/>
                <w:gridCol w:w="67"/>
                <w:gridCol w:w="362"/>
                <w:gridCol w:w="3449"/>
                <w:gridCol w:w="2785"/>
              </w:tblGrid>
              <w:tr>
                <w:trPr>
                  <w:cantSplit/>
                  <w:trHeight w:val="979"/>
                </w:trPr>
                <w:tc>
                  <w:tcPr>
                    <w:tcW w:w="1631" w:type="pct"/>
                    <w:vAlign w:val="center"/>
                  </w:tcPr>
                  <w:p>
                    <w:pPr>
                      <w:jc w:val="center"/>
                      <w:rPr>
                        <w:szCs w:val="24"/>
                      </w:rPr>
                    </w:pPr>
                    <w:r>
                      <w:rPr>
                        <w:szCs w:val="24"/>
                      </w:rPr>
                      <w:t>Diagnozės</w:t>
                    </w:r>
                  </w:p>
                </w:tc>
                <w:tc>
                  <w:tcPr>
                    <w:tcW w:w="1961" w:type="pct"/>
                    <w:gridSpan w:val="3"/>
                    <w:vAlign w:val="center"/>
                  </w:tcPr>
                  <w:p>
                    <w:pPr>
                      <w:jc w:val="center"/>
                      <w:rPr>
                        <w:szCs w:val="24"/>
                      </w:rPr>
                    </w:pPr>
                    <w:r>
                      <w:rPr>
                        <w:szCs w:val="24"/>
                      </w:rPr>
                      <w:t>Biopsichosocialinių funkcijų sutrikimo ir (ar) ligos sunkumo laipsnis</w:t>
                    </w:r>
                  </w:p>
                </w:tc>
                <w:tc>
                  <w:tcPr>
                    <w:tcW w:w="1408" w:type="pct"/>
                    <w:vAlign w:val="center"/>
                  </w:tcPr>
                  <w:p>
                    <w:pPr>
                      <w:keepNext/>
                      <w:jc w:val="center"/>
                      <w:outlineLvl w:val="3"/>
                      <w:rPr>
                        <w:bCs/>
                        <w:szCs w:val="24"/>
                      </w:rPr>
                    </w:pPr>
                    <w:r>
                      <w:rPr>
                        <w:bCs/>
                        <w:szCs w:val="24"/>
                      </w:rPr>
                      <w:t>Reabilitacijos trukmė</w:t>
                    </w:r>
                  </w:p>
                  <w:p>
                    <w:pPr>
                      <w:jc w:val="center"/>
                      <w:rPr>
                        <w:szCs w:val="24"/>
                      </w:rPr>
                    </w:pPr>
                    <w:r>
                      <w:rPr>
                        <w:szCs w:val="24"/>
                      </w:rPr>
                      <w:t>(kalendorinėmis dienomis)</w:t>
                    </w:r>
                  </w:p>
                </w:tc>
              </w:tr>
              <w:tr>
                <w:trPr>
                  <w:cantSplit/>
                  <w:trHeight w:val="272"/>
                </w:trPr>
                <w:tc>
                  <w:tcPr>
                    <w:tcW w:w="5000" w:type="pct"/>
                    <w:gridSpan w:val="5"/>
                  </w:tcPr>
                  <w:p>
                    <w:pPr>
                      <w:keepNext/>
                      <w:jc w:val="both"/>
                      <w:outlineLvl w:val="1"/>
                      <w:rPr>
                        <w:bCs/>
                        <w:iCs/>
                        <w:szCs w:val="24"/>
                      </w:rPr>
                    </w:pPr>
                    <w:r>
                      <w:rPr>
                        <w:bCs/>
                        <w:iCs/>
                        <w:szCs w:val="24"/>
                      </w:rPr>
                      <w:t>Stacionarinė reabilitacija</w:t>
                    </w:r>
                  </w:p>
                  <w:p>
                    <w:pPr>
                      <w:jc w:val="both"/>
                      <w:rPr>
                        <w:szCs w:val="24"/>
                      </w:rPr>
                    </w:pPr>
                    <w:r>
                      <w:rPr>
                        <w:szCs w:val="24"/>
                      </w:rPr>
                      <w:t xml:space="preserve">Paslaugos vienam pacientui per 10 darbo dienų: kineziterapija – 15 procedūrų, gydomasis masažas – 8 procedūros, fizioterapija – 10 procedūrų, 2 medicinos psichologo konsultacijos, 1 socialinio darbuotojo konsultacija. Paslaugos, teikiamos pagal indikacijas: medikamentinis gydymas, paciento mokymas ir kitos paslaugos. </w:t>
                    </w:r>
                  </w:p>
                  <w:p>
                    <w:pPr>
                      <w:jc w:val="both"/>
                      <w:rPr>
                        <w:szCs w:val="24"/>
                      </w:rPr>
                    </w:pPr>
                    <w:r>
                      <w:rPr>
                        <w:szCs w:val="24"/>
                      </w:rPr>
                      <w:t>Stacionarinės medicininės reabilitacijos metu pacientui atliekami klinikiniai fiziologiniai, radiologiniai, laboratoriniai tyrimai pagal indikacijas, teikiamos gydytojų specialistų konsultacijos paslaugos.</w:t>
                    </w:r>
                  </w:p>
                  <w:p>
                    <w:pPr>
                      <w:jc w:val="both"/>
                      <w:rPr>
                        <w:szCs w:val="24"/>
                      </w:rPr>
                    </w:pPr>
                  </w:p>
                  <w:p>
                    <w:pPr>
                      <w:jc w:val="both"/>
                      <w:rPr>
                        <w:szCs w:val="24"/>
                      </w:rPr>
                    </w:pPr>
                    <w:r>
                      <w:rPr>
                        <w:szCs w:val="24"/>
                      </w:rPr>
                      <w:t>Pastaba. Paslaugų skaičius vienam pacientui, nustatytas šiuose reikalavimuose, gali būti didinamas arba mažinamas, atsižvelgiant į paciento būklę ir indikacijas,</w:t>
                    </w:r>
                    <w:r>
                      <w:rPr>
                        <w:b/>
                        <w:szCs w:val="24"/>
                      </w:rPr>
                      <w:t xml:space="preserve"> </w:t>
                    </w:r>
                    <w:r>
                      <w:rPr>
                        <w:szCs w:val="24"/>
                      </w:rPr>
                      <w:t>tai pagrindžiant ir padarius atitinkamus įrašus gydymo stacionare ligos istorijoje (forma Nr. 003/a).</w:t>
                    </w:r>
                  </w:p>
                </w:tc>
              </w:tr>
              <w:tr>
                <w:trPr>
                  <w:cantSplit/>
                  <w:trHeight w:val="272"/>
                </w:trPr>
                <w:tc>
                  <w:tcPr>
                    <w:tcW w:w="1665" w:type="pct"/>
                    <w:gridSpan w:val="2"/>
                    <w:vAlign w:val="center"/>
                  </w:tcPr>
                  <w:p>
                    <w:pPr>
                      <w:rPr>
                        <w:szCs w:val="24"/>
                      </w:rPr>
                    </w:pPr>
                    <w:r>
                      <w:rPr>
                        <w:szCs w:val="24"/>
                      </w:rPr>
                      <w:t>Komplikuotos plaučių ligos J44; J12–J18</w:t>
                    </w:r>
                  </w:p>
                </w:tc>
                <w:tc>
                  <w:tcPr>
                    <w:tcW w:w="1927" w:type="pct"/>
                    <w:gridSpan w:val="2"/>
                  </w:tcPr>
                  <w:p>
                    <w:pPr>
                      <w:rPr>
                        <w:szCs w:val="24"/>
                      </w:rPr>
                    </w:pPr>
                    <w:r>
                      <w:rPr>
                        <w:szCs w:val="24"/>
                      </w:rPr>
                      <w:t xml:space="preserve">Po stacionarinio gydymo, kai ligos eiga užsitęsusi ir (ar) komplikuota </w:t>
                    </w:r>
                  </w:p>
                </w:tc>
                <w:tc>
                  <w:tcPr>
                    <w:tcW w:w="1408" w:type="pct"/>
                    <w:vAlign w:val="center"/>
                  </w:tcPr>
                  <w:p>
                    <w:pPr>
                      <w:jc w:val="center"/>
                      <w:rPr>
                        <w:szCs w:val="24"/>
                      </w:rPr>
                    </w:pPr>
                    <w:r>
                      <w:rPr>
                        <w:szCs w:val="24"/>
                      </w:rPr>
                      <w:t>18</w:t>
                    </w:r>
                  </w:p>
                </w:tc>
              </w:tr>
              <w:tr>
                <w:trPr>
                  <w:cantSplit/>
                  <w:trHeight w:val="272"/>
                </w:trPr>
                <w:tc>
                  <w:tcPr>
                    <w:tcW w:w="1665" w:type="pct"/>
                    <w:gridSpan w:val="2"/>
                    <w:vAlign w:val="center"/>
                  </w:tcPr>
                  <w:p>
                    <w:pPr>
                      <w:rPr>
                        <w:szCs w:val="24"/>
                      </w:rPr>
                    </w:pPr>
                    <w:r>
                      <w:rPr>
                        <w:szCs w:val="24"/>
                      </w:rPr>
                      <w:t>Bronchų astma J45</w:t>
                    </w:r>
                  </w:p>
                </w:tc>
                <w:tc>
                  <w:tcPr>
                    <w:tcW w:w="1927" w:type="pct"/>
                    <w:gridSpan w:val="2"/>
                  </w:tcPr>
                  <w:p>
                    <w:pPr>
                      <w:rPr>
                        <w:szCs w:val="24"/>
                      </w:rPr>
                    </w:pPr>
                    <w:r>
                      <w:rPr>
                        <w:szCs w:val="24"/>
                      </w:rPr>
                      <w:t>Po ligos paūmėjimo, esant sunkiai ir vidutinei ligos formai</w:t>
                    </w:r>
                  </w:p>
                </w:tc>
                <w:tc>
                  <w:tcPr>
                    <w:tcW w:w="1408" w:type="pct"/>
                    <w:vAlign w:val="center"/>
                  </w:tcPr>
                  <w:p>
                    <w:pPr>
                      <w:jc w:val="center"/>
                      <w:rPr>
                        <w:szCs w:val="24"/>
                      </w:rPr>
                    </w:pPr>
                    <w:r>
                      <w:rPr>
                        <w:szCs w:val="24"/>
                      </w:rPr>
                      <w:t>16</w:t>
                    </w:r>
                  </w:p>
                </w:tc>
              </w:tr>
              <w:tr>
                <w:trPr>
                  <w:cantSplit/>
                  <w:trHeight w:val="272"/>
                </w:trPr>
                <w:tc>
                  <w:tcPr>
                    <w:tcW w:w="5000" w:type="pct"/>
                    <w:gridSpan w:val="5"/>
                  </w:tcPr>
                  <w:p>
                    <w:pPr>
                      <w:rPr>
                        <w:bCs/>
                        <w:kern w:val="36"/>
                        <w:szCs w:val="24"/>
                        <w:lang w:eastAsia="lt-LT"/>
                      </w:rPr>
                    </w:pPr>
                    <w:r>
                      <w:rPr>
                        <w:bCs/>
                        <w:kern w:val="36"/>
                        <w:szCs w:val="24"/>
                        <w:lang w:eastAsia="lt-LT"/>
                      </w:rPr>
                      <w:t>Sveikatos grąžinamasis gydymas</w:t>
                    </w:r>
                  </w:p>
                  <w:p>
                    <w:pPr>
                      <w:jc w:val="both"/>
                      <w:rPr>
                        <w:szCs w:val="24"/>
                      </w:rPr>
                    </w:pPr>
                    <w:r>
                      <w:rPr>
                        <w:szCs w:val="24"/>
                      </w:rPr>
                      <w:t>Paslaugos vienam pacientui per 10 darbo dienų: kineziterapija – 10 procedūrų, gydomasis masažas – 6 procedūros, fizioterapija – 10 procedūrų, 3 medicinos psichologo konsultacijos. Paslaugos, teikiamos pagal indikacijas: medikamentinis gydymas, paciento mokymas ir kitos paslaugos.</w:t>
                    </w:r>
                  </w:p>
                  <w:p>
                    <w:pPr>
                      <w:jc w:val="both"/>
                      <w:rPr>
                        <w:szCs w:val="24"/>
                      </w:rPr>
                    </w:pPr>
                    <w:r>
                      <w:rPr>
                        <w:szCs w:val="24"/>
                      </w:rPr>
                      <w:t>Sveikatą grąžinamojo gydymo metu pacientui atliekami klinikiniai fiziologiniai, radiologiniai, laboratoriniai tyrimai pagal indikacijas, teikiamos gydytojų specialistų konsultacijos paslaugos (pagal indikacijas).</w:t>
                    </w:r>
                  </w:p>
                  <w:p>
                    <w:pPr>
                      <w:jc w:val="both"/>
                      <w:rPr>
                        <w:szCs w:val="24"/>
                      </w:rPr>
                    </w:pPr>
                  </w:p>
                  <w:p>
                    <w:pPr>
                      <w:jc w:val="both"/>
                      <w:rPr>
                        <w:szCs w:val="24"/>
                      </w:rPr>
                    </w:pPr>
                    <w:r>
                      <w:rPr>
                        <w:szCs w:val="24"/>
                      </w:rPr>
                      <w:t xml:space="preserve">Pastaba. Paslaugų skaičius vienam pacientui, nustatytas šiuose reikalavimuose, gali būti didinamas arba mažinamas, atsižvelgiant į paciento būklę bei indikacijas, tai pagrindžiant ir padarius atitinkamus įrašus </w:t>
                    </w:r>
                    <w:r>
                      <w:rPr>
                        <w:szCs w:val="24"/>
                        <w:lang w:eastAsia="lt-LT"/>
                      </w:rPr>
                      <w:t xml:space="preserve">gydymo stacionare ligos istorijoje (forma Nr. 003/a). </w:t>
                    </w:r>
                  </w:p>
                </w:tc>
              </w:tr>
              <w:tr>
                <w:trPr>
                  <w:cantSplit/>
                  <w:trHeight w:val="746"/>
                </w:trPr>
                <w:tc>
                  <w:tcPr>
                    <w:tcW w:w="1631" w:type="pct"/>
                    <w:vAlign w:val="center"/>
                  </w:tcPr>
                  <w:p>
                    <w:pPr>
                      <w:rPr>
                        <w:szCs w:val="24"/>
                      </w:rPr>
                    </w:pPr>
                    <w:r>
                      <w:rPr>
                        <w:szCs w:val="24"/>
                      </w:rPr>
                      <w:t xml:space="preserve">Lėtiniai nespecifiniai plaučių susirgimai: bronchų astma, bronchektazinė liga </w:t>
                    </w:r>
                  </w:p>
                  <w:p>
                    <w:pPr>
                      <w:rPr>
                        <w:szCs w:val="24"/>
                      </w:rPr>
                    </w:pPr>
                    <w:r>
                      <w:rPr>
                        <w:szCs w:val="24"/>
                      </w:rPr>
                      <w:t>J44; J45; J47; Z57.2; Z57.6</w:t>
                    </w:r>
                  </w:p>
                </w:tc>
                <w:tc>
                  <w:tcPr>
                    <w:tcW w:w="1961" w:type="pct"/>
                    <w:gridSpan w:val="3"/>
                    <w:shd w:val="clear" w:color="auto" w:fill="FFFFFF"/>
                    <w:vAlign w:val="center"/>
                  </w:tcPr>
                  <w:p>
                    <w:pPr>
                      <w:rPr>
                        <w:szCs w:val="24"/>
                      </w:rPr>
                    </w:pPr>
                    <w:r>
                      <w:rPr>
                        <w:szCs w:val="24"/>
                      </w:rPr>
                      <w:t>Vidutinio sunkumo, po ligos paūmėjimo, išliekant bronchų obstrukcijai</w:t>
                    </w:r>
                  </w:p>
                </w:tc>
                <w:tc>
                  <w:tcPr>
                    <w:tcW w:w="1408" w:type="pct"/>
                    <w:shd w:val="clear" w:color="auto" w:fill="FFFFFF"/>
                    <w:vAlign w:val="center"/>
                  </w:tcPr>
                  <w:p>
                    <w:pPr>
                      <w:jc w:val="center"/>
                      <w:rPr>
                        <w:szCs w:val="24"/>
                      </w:rPr>
                    </w:pPr>
                    <w:r>
                      <w:rPr>
                        <w:szCs w:val="24"/>
                      </w:rPr>
                      <w:t>14</w:t>
                    </w:r>
                  </w:p>
                </w:tc>
              </w:tr>
              <w:tr>
                <w:trPr>
                  <w:cantSplit/>
                  <w:trHeight w:val="423"/>
                </w:trPr>
                <w:tc>
                  <w:tcPr>
                    <w:tcW w:w="1631" w:type="pct"/>
                    <w:vAlign w:val="center"/>
                  </w:tcPr>
                  <w:p>
                    <w:pPr>
                      <w:rPr>
                        <w:szCs w:val="24"/>
                      </w:rPr>
                    </w:pPr>
                    <w:r>
                      <w:rPr>
                        <w:szCs w:val="24"/>
                      </w:rPr>
                      <w:t>Plaučių uždegimas J12–J18, J85</w:t>
                    </w:r>
                  </w:p>
                </w:tc>
                <w:tc>
                  <w:tcPr>
                    <w:tcW w:w="1961" w:type="pct"/>
                    <w:gridSpan w:val="3"/>
                    <w:shd w:val="clear" w:color="auto" w:fill="FFFFFF"/>
                    <w:vAlign w:val="center"/>
                  </w:tcPr>
                  <w:p>
                    <w:pPr>
                      <w:rPr>
                        <w:szCs w:val="24"/>
                      </w:rPr>
                    </w:pPr>
                    <w:r>
                      <w:rPr>
                        <w:szCs w:val="24"/>
                      </w:rPr>
                      <w:t>Kai ligos eiga užsitęsusi ir (ar) komplikuota</w:t>
                    </w:r>
                  </w:p>
                </w:tc>
                <w:tc>
                  <w:tcPr>
                    <w:tcW w:w="1408" w:type="pct"/>
                    <w:shd w:val="clear" w:color="auto" w:fill="FFFFFF"/>
                    <w:vAlign w:val="center"/>
                  </w:tcPr>
                  <w:p>
                    <w:pPr>
                      <w:jc w:val="center"/>
                      <w:rPr>
                        <w:szCs w:val="24"/>
                      </w:rPr>
                    </w:pPr>
                    <w:r>
                      <w:rPr>
                        <w:szCs w:val="24"/>
                      </w:rPr>
                      <w:t>14</w:t>
                    </w:r>
                  </w:p>
                </w:tc>
              </w:tr>
              <w:tr>
                <w:trPr>
                  <w:cantSplit/>
                  <w:trHeight w:val="990"/>
                </w:trPr>
                <w:tc>
                  <w:tcPr>
                    <w:tcW w:w="1631" w:type="pct"/>
                    <w:vAlign w:val="center"/>
                  </w:tcPr>
                  <w:p>
                    <w:pPr>
                      <w:rPr>
                        <w:szCs w:val="24"/>
                      </w:rPr>
                    </w:pPr>
                    <w:r>
                      <w:rPr>
                        <w:szCs w:val="24"/>
                      </w:rPr>
                      <w:t>Užsitęsęs ūmus obstrukcinis bronchitas J20</w:t>
                    </w:r>
                  </w:p>
                </w:tc>
                <w:tc>
                  <w:tcPr>
                    <w:tcW w:w="1961" w:type="pct"/>
                    <w:gridSpan w:val="3"/>
                    <w:shd w:val="clear" w:color="auto" w:fill="FFFFFF"/>
                    <w:vAlign w:val="center"/>
                  </w:tcPr>
                  <w:p>
                    <w:pPr>
                      <w:rPr>
                        <w:szCs w:val="24"/>
                      </w:rPr>
                    </w:pPr>
                    <w:r>
                      <w:rPr>
                        <w:szCs w:val="24"/>
                      </w:rPr>
                      <w:t>Vidutinio sunkumo, po ligos paūmėjimo, išliekant bronchų obstrukcijai</w:t>
                    </w:r>
                  </w:p>
                </w:tc>
                <w:tc>
                  <w:tcPr>
                    <w:tcW w:w="1408" w:type="pct"/>
                    <w:shd w:val="clear" w:color="auto" w:fill="FFFFFF"/>
                    <w:vAlign w:val="center"/>
                  </w:tcPr>
                  <w:p>
                    <w:pPr>
                      <w:jc w:val="center"/>
                      <w:rPr>
                        <w:szCs w:val="24"/>
                      </w:rPr>
                    </w:pPr>
                    <w:r>
                      <w:rPr>
                        <w:szCs w:val="24"/>
                      </w:rPr>
                      <w:t>14</w:t>
                    </w:r>
                  </w:p>
                </w:tc>
              </w:tr>
              <w:tr>
                <w:trPr>
                  <w:cantSplit/>
                  <w:trHeight w:val="272"/>
                </w:trPr>
                <w:tc>
                  <w:tcPr>
                    <w:tcW w:w="5000" w:type="pct"/>
                    <w:gridSpan w:val="5"/>
                  </w:tcPr>
                  <w:p>
                    <w:pPr>
                      <w:jc w:val="both"/>
                      <w:rPr>
                        <w:bCs/>
                        <w:kern w:val="36"/>
                        <w:szCs w:val="24"/>
                        <w:lang w:eastAsia="lt-LT"/>
                      </w:rPr>
                    </w:pPr>
                    <w:r>
                      <w:rPr>
                        <w:bCs/>
                        <w:kern w:val="36"/>
                        <w:szCs w:val="24"/>
                        <w:lang w:eastAsia="lt-LT"/>
                      </w:rPr>
                      <w:t>Ambulatorinė reabilitacija</w:t>
                    </w:r>
                  </w:p>
                  <w:p>
                    <w:pPr>
                      <w:jc w:val="both"/>
                      <w:rPr>
                        <w:szCs w:val="24"/>
                      </w:rPr>
                    </w:pPr>
                    <w:r>
                      <w:rPr>
                        <w:szCs w:val="24"/>
                      </w:rPr>
                      <w:t>Paslaugos vienam pacientui per 10 darbo dienų: kineziterapija – 10 procedūrų, gydomasis masažas – 5 procedūros, fizioterapija – 10 procedūrų, 2 medicinos psichologo konsultacijos. Paslaugos, teikiamos pagal indikacijas: paciento mokymas ir kitos paslaugos.</w:t>
                    </w:r>
                  </w:p>
                  <w:p>
                    <w:pPr>
                      <w:jc w:val="both"/>
                      <w:rPr>
                        <w:szCs w:val="24"/>
                      </w:rPr>
                    </w:pPr>
                  </w:p>
                  <w:p>
                    <w:pPr>
                      <w:jc w:val="both"/>
                      <w:rPr>
                        <w:bCs/>
                        <w:kern w:val="36"/>
                        <w:szCs w:val="24"/>
                        <w:lang w:eastAsia="lt-LT"/>
                      </w:rPr>
                    </w:pPr>
                    <w:r>
                      <w:rPr>
                        <w:bCs/>
                        <w:kern w:val="36"/>
                        <w:szCs w:val="24"/>
                        <w:lang w:eastAsia="lt-LT"/>
                      </w:rPr>
                      <w:t>Pastaba. Paslaugų skaičius vienam pacientui, nustatytas šiuose reikalavimuose, gali būti didinamas arba mažinamas, atsižvelgiant į paciento būklę ir indikacijas</w:t>
                    </w:r>
                    <w:r>
                      <w:rPr>
                        <w:szCs w:val="24"/>
                      </w:rPr>
                      <w:t>, tai pagrindžiant ir padarius</w:t>
                    </w:r>
                    <w:r>
                      <w:rPr>
                        <w:bCs/>
                        <w:kern w:val="36"/>
                        <w:szCs w:val="24"/>
                        <w:lang w:eastAsia="lt-LT"/>
                      </w:rPr>
                      <w:t xml:space="preserve"> atitinkamus įrašus ambulatorinėje asmens sveikatos istorijoje (forma Nr. 025/a).</w:t>
                    </w:r>
                  </w:p>
                </w:tc>
              </w:tr>
              <w:tr>
                <w:trPr>
                  <w:cantSplit/>
                  <w:trHeight w:val="272"/>
                </w:trPr>
                <w:tc>
                  <w:tcPr>
                    <w:tcW w:w="1848" w:type="pct"/>
                    <w:gridSpan w:val="3"/>
                    <w:vAlign w:val="center"/>
                  </w:tcPr>
                  <w:p>
                    <w:pPr>
                      <w:rPr>
                        <w:szCs w:val="24"/>
                      </w:rPr>
                    </w:pPr>
                    <w:r>
                      <w:rPr>
                        <w:szCs w:val="24"/>
                      </w:rPr>
                      <w:t>Komplikuotos plaučių ligos: J12–J 18; J20; J44; J45; Z57.2</w:t>
                    </w:r>
                  </w:p>
                </w:tc>
                <w:tc>
                  <w:tcPr>
                    <w:tcW w:w="1744" w:type="pct"/>
                    <w:vAlign w:val="center"/>
                  </w:tcPr>
                  <w:p>
                    <w:pPr>
                      <w:rPr>
                        <w:szCs w:val="24"/>
                      </w:rPr>
                    </w:pPr>
                    <w:r>
                      <w:rPr>
                        <w:szCs w:val="24"/>
                      </w:rPr>
                      <w:t>I–II laipsnio kvėpavimo nepakankamumas</w:t>
                    </w:r>
                  </w:p>
                </w:tc>
                <w:tc>
                  <w:tcPr>
                    <w:tcW w:w="1408" w:type="pct"/>
                  </w:tcPr>
                  <w:p>
                    <w:pPr>
                      <w:jc w:val="center"/>
                      <w:rPr>
                        <w:szCs w:val="24"/>
                      </w:rPr>
                    </w:pPr>
                    <w:r>
                      <w:rPr>
                        <w:szCs w:val="24"/>
                      </w:rPr>
                      <w:t>14</w:t>
                    </w:r>
                  </w:p>
                </w:tc>
              </w:tr>
              <w:tr>
                <w:trPr>
                  <w:cantSplit/>
                  <w:trHeight w:val="272"/>
                </w:trPr>
                <w:tc>
                  <w:tcPr>
                    <w:tcW w:w="1848" w:type="pct"/>
                    <w:gridSpan w:val="3"/>
                    <w:vAlign w:val="center"/>
                  </w:tcPr>
                  <w:p>
                    <w:pPr>
                      <w:rPr>
                        <w:szCs w:val="24"/>
                      </w:rPr>
                    </w:pPr>
                    <w:r>
                      <w:rPr>
                        <w:szCs w:val="24"/>
                      </w:rPr>
                      <w:t xml:space="preserve">Lėtiniai nespecifiniai plaučių susirgimai J44 </w:t>
                    </w:r>
                  </w:p>
                </w:tc>
                <w:tc>
                  <w:tcPr>
                    <w:tcW w:w="1744" w:type="pct"/>
                    <w:vAlign w:val="center"/>
                  </w:tcPr>
                  <w:p>
                    <w:pPr>
                      <w:rPr>
                        <w:szCs w:val="24"/>
                      </w:rPr>
                    </w:pPr>
                    <w:r>
                      <w:rPr>
                        <w:szCs w:val="24"/>
                      </w:rPr>
                      <w:t>Ligos paūmėjimas</w:t>
                    </w:r>
                  </w:p>
                </w:tc>
                <w:tc>
                  <w:tcPr>
                    <w:tcW w:w="1408" w:type="pct"/>
                    <w:vAlign w:val="center"/>
                  </w:tcPr>
                  <w:p>
                    <w:pPr>
                      <w:jc w:val="center"/>
                      <w:rPr>
                        <w:szCs w:val="24"/>
                      </w:rPr>
                    </w:pPr>
                    <w:r>
                      <w:rPr>
                        <w:szCs w:val="24"/>
                      </w:rPr>
                      <w:t>12</w:t>
                    </w:r>
                  </w:p>
                </w:tc>
              </w:tr>
              <w:tr>
                <w:trPr>
                  <w:cantSplit/>
                  <w:trHeight w:val="272"/>
                </w:trPr>
                <w:tc>
                  <w:tcPr>
                    <w:tcW w:w="1848" w:type="pct"/>
                    <w:gridSpan w:val="3"/>
                    <w:vAlign w:val="center"/>
                  </w:tcPr>
                  <w:p>
                    <w:pPr>
                      <w:rPr>
                        <w:szCs w:val="24"/>
                      </w:rPr>
                    </w:pPr>
                    <w:r>
                      <w:rPr>
                        <w:szCs w:val="24"/>
                      </w:rPr>
                      <w:t>Užsitęsęs ūmus obstrukcinis bronchitas J20</w:t>
                    </w:r>
                  </w:p>
                </w:tc>
                <w:tc>
                  <w:tcPr>
                    <w:tcW w:w="1744" w:type="pct"/>
                    <w:vAlign w:val="center"/>
                  </w:tcPr>
                  <w:p>
                    <w:pPr>
                      <w:rPr>
                        <w:szCs w:val="24"/>
                      </w:rPr>
                    </w:pPr>
                    <w:r>
                      <w:rPr>
                        <w:szCs w:val="24"/>
                      </w:rPr>
                      <w:t>Obstrukcinis sindromas, patvirtintas kliniškai ir spirografiškai</w:t>
                    </w:r>
                  </w:p>
                </w:tc>
                <w:tc>
                  <w:tcPr>
                    <w:tcW w:w="1408" w:type="pct"/>
                    <w:vAlign w:val="center"/>
                  </w:tcPr>
                  <w:p>
                    <w:pPr>
                      <w:jc w:val="center"/>
                      <w:rPr>
                        <w:szCs w:val="24"/>
                      </w:rPr>
                    </w:pPr>
                    <w:r>
                      <w:rPr>
                        <w:szCs w:val="24"/>
                      </w:rPr>
                      <w:t>12</w:t>
                    </w:r>
                  </w:p>
                </w:tc>
              </w:tr>
              <w:tr>
                <w:trPr>
                  <w:cantSplit/>
                  <w:trHeight w:val="272"/>
                </w:trPr>
                <w:tc>
                  <w:tcPr>
                    <w:tcW w:w="1848" w:type="pct"/>
                    <w:gridSpan w:val="3"/>
                    <w:vAlign w:val="center"/>
                  </w:tcPr>
                  <w:p>
                    <w:pPr>
                      <w:rPr>
                        <w:szCs w:val="24"/>
                      </w:rPr>
                    </w:pPr>
                    <w:r>
                      <w:rPr>
                        <w:szCs w:val="24"/>
                      </w:rPr>
                      <w:t>Bronchų astma J45</w:t>
                    </w:r>
                  </w:p>
                </w:tc>
                <w:tc>
                  <w:tcPr>
                    <w:tcW w:w="1744" w:type="pct"/>
                    <w:vAlign w:val="center"/>
                  </w:tcPr>
                  <w:p>
                    <w:pPr>
                      <w:rPr>
                        <w:szCs w:val="24"/>
                      </w:rPr>
                    </w:pPr>
                    <w:r>
                      <w:rPr>
                        <w:szCs w:val="24"/>
                      </w:rPr>
                      <w:t>Lengva forma, paūmėjimas</w:t>
                    </w:r>
                  </w:p>
                </w:tc>
                <w:tc>
                  <w:tcPr>
                    <w:tcW w:w="1408" w:type="pct"/>
                    <w:vAlign w:val="center"/>
                  </w:tcPr>
                  <w:p>
                    <w:pPr>
                      <w:jc w:val="center"/>
                      <w:rPr>
                        <w:szCs w:val="24"/>
                      </w:rPr>
                    </w:pPr>
                    <w:r>
                      <w:rPr>
                        <w:szCs w:val="24"/>
                      </w:rPr>
                      <w:t>12</w:t>
                    </w:r>
                  </w:p>
                </w:tc>
              </w:tr>
              <w:tr>
                <w:trPr>
                  <w:cantSplit/>
                  <w:trHeight w:val="272"/>
                </w:trPr>
                <w:tc>
                  <w:tcPr>
                    <w:tcW w:w="1848" w:type="pct"/>
                    <w:gridSpan w:val="3"/>
                    <w:vAlign w:val="center"/>
                  </w:tcPr>
                  <w:p>
                    <w:pPr>
                      <w:rPr>
                        <w:szCs w:val="24"/>
                      </w:rPr>
                    </w:pPr>
                    <w:r>
                      <w:rPr>
                        <w:szCs w:val="24"/>
                      </w:rPr>
                      <w:t>Bronchektazinė liga J47</w:t>
                    </w:r>
                  </w:p>
                </w:tc>
                <w:tc>
                  <w:tcPr>
                    <w:tcW w:w="1744" w:type="pct"/>
                    <w:vAlign w:val="center"/>
                  </w:tcPr>
                  <w:p>
                    <w:pPr>
                      <w:rPr>
                        <w:szCs w:val="24"/>
                      </w:rPr>
                    </w:pPr>
                    <w:r>
                      <w:rPr>
                        <w:szCs w:val="24"/>
                      </w:rPr>
                      <w:t>I–II laipsnio kvėpavimo nepakankamumas</w:t>
                    </w:r>
                  </w:p>
                </w:tc>
                <w:tc>
                  <w:tcPr>
                    <w:tcW w:w="1408" w:type="pct"/>
                    <w:vAlign w:val="center"/>
                  </w:tcPr>
                  <w:p>
                    <w:pPr>
                      <w:jc w:val="center"/>
                      <w:rPr>
                        <w:szCs w:val="24"/>
                      </w:rPr>
                    </w:pPr>
                    <w:r>
                      <w:rPr>
                        <w:szCs w:val="24"/>
                      </w:rPr>
                      <w:t>12</w:t>
                    </w:r>
                  </w:p>
                </w:tc>
              </w:tr>
            </w:tbl>
            <w:p>
              <w:pPr>
                <w:rPr>
                  <w:iCs/>
                  <w:szCs w:val="24"/>
                </w:rPr>
              </w:pPr>
            </w:p>
            <w:p>
              <w:pPr>
                <w:jc w:val="center"/>
                <w:rPr>
                  <w:b/>
                  <w:iCs/>
                  <w:szCs w:val="24"/>
                </w:rPr>
              </w:pPr>
              <w:r>
                <w:rPr>
                  <w:b/>
                </w:rPr>
                <w:t>Judamojo-atramos aparato pažeidimai</w:t>
              </w:r>
              <w:r>
                <w:rPr>
                  <w:b/>
                  <w:iCs/>
                  <w:szCs w:val="24"/>
                </w:rPr>
                <w:t xml:space="preserve"> </w:t>
              </w:r>
            </w:p>
            <w:p>
              <w:pPr>
                <w:jc w:val="center"/>
                <w:rPr>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488"/>
                <w:gridCol w:w="3471"/>
                <w:gridCol w:w="2895"/>
              </w:tblGrid>
              <w:tr>
                <w:trPr>
                  <w:cantSplit/>
                  <w:trHeight w:val="1104"/>
                  <w:tblHeader/>
                </w:trPr>
                <w:tc>
                  <w:tcPr>
                    <w:tcW w:w="1770" w:type="pct"/>
                    <w:vAlign w:val="center"/>
                  </w:tcPr>
                  <w:p>
                    <w:pPr>
                      <w:jc w:val="center"/>
                      <w:rPr>
                        <w:szCs w:val="24"/>
                      </w:rPr>
                    </w:pPr>
                    <w:r>
                      <w:rPr>
                        <w:szCs w:val="24"/>
                      </w:rPr>
                      <w:t>Diagnozės</w:t>
                    </w:r>
                  </w:p>
                </w:tc>
                <w:tc>
                  <w:tcPr>
                    <w:tcW w:w="1761" w:type="pct"/>
                    <w:vAlign w:val="center"/>
                  </w:tcPr>
                  <w:p>
                    <w:pPr>
                      <w:jc w:val="center"/>
                      <w:rPr>
                        <w:szCs w:val="24"/>
                      </w:rPr>
                    </w:pPr>
                    <w:r>
                      <w:rPr>
                        <w:szCs w:val="24"/>
                      </w:rPr>
                      <w:t>Biopsichosocialinių funkcijų sutrikimo</w:t>
                    </w:r>
                  </w:p>
                  <w:p>
                    <w:pPr>
                      <w:jc w:val="center"/>
                      <w:rPr>
                        <w:szCs w:val="24"/>
                      </w:rPr>
                    </w:pPr>
                    <w:r>
                      <w:rPr>
                        <w:szCs w:val="24"/>
                      </w:rPr>
                      <w:t>ir (ar) ligos sunkumo laipsnis</w:t>
                    </w:r>
                  </w:p>
                </w:tc>
                <w:tc>
                  <w:tcPr>
                    <w:tcW w:w="1469" w:type="pct"/>
                    <w:vAlign w:val="center"/>
                  </w:tcPr>
                  <w:p>
                    <w:pPr>
                      <w:keepNext/>
                      <w:jc w:val="center"/>
                      <w:outlineLvl w:val="3"/>
                      <w:rPr>
                        <w:bCs/>
                        <w:szCs w:val="24"/>
                      </w:rPr>
                    </w:pPr>
                    <w:r>
                      <w:rPr>
                        <w:bCs/>
                        <w:szCs w:val="24"/>
                      </w:rPr>
                      <w:t>Reabilitacijos trukmė</w:t>
                    </w:r>
                  </w:p>
                  <w:p>
                    <w:pPr>
                      <w:jc w:val="center"/>
                      <w:rPr>
                        <w:szCs w:val="24"/>
                      </w:rPr>
                    </w:pPr>
                    <w:r>
                      <w:rPr>
                        <w:szCs w:val="24"/>
                      </w:rPr>
                      <w:t>(kalendorinėmis dienomis)</w:t>
                    </w:r>
                  </w:p>
                </w:tc>
              </w:tr>
              <w:tr>
                <w:trPr>
                  <w:cantSplit/>
                  <w:trHeight w:val="272"/>
                </w:trPr>
                <w:tc>
                  <w:tcPr>
                    <w:tcW w:w="5000" w:type="pct"/>
                    <w:gridSpan w:val="3"/>
                  </w:tcPr>
                  <w:p>
                    <w:pPr>
                      <w:keepNext/>
                      <w:jc w:val="both"/>
                      <w:outlineLvl w:val="1"/>
                      <w:rPr>
                        <w:bCs/>
                        <w:iCs/>
                        <w:szCs w:val="24"/>
                      </w:rPr>
                    </w:pPr>
                    <w:r>
                      <w:rPr>
                        <w:bCs/>
                        <w:iCs/>
                        <w:szCs w:val="24"/>
                      </w:rPr>
                      <w:t>Stacionarinė reabilitacija</w:t>
                    </w:r>
                  </w:p>
                  <w:p>
                    <w:pPr>
                      <w:jc w:val="both"/>
                      <w:rPr>
                        <w:spacing w:val="-4"/>
                        <w:szCs w:val="24"/>
                      </w:rPr>
                    </w:pPr>
                    <w:r>
                      <w:rPr>
                        <w:szCs w:val="24"/>
                      </w:rPr>
                      <w:t xml:space="preserve">Paslaugos vienam pacientui per 10 darbo dienų: kineziterapija – 15 procedūrų, ergoterapija – 8 procedūros, gydomasis masažas – 5 procedūros, fizioterapija – 10 procedūrų, 2 medicinos psichologo konsultacijos, 1 socialinio darbuotojo konsultacija. Paslaugos, teikiamos pagal indikacijas: medikamentinis gydymas, paciento mokymas ir kitos paslaugos. </w:t>
                    </w:r>
                    <w:r>
                      <w:rPr>
                        <w:spacing w:val="-4"/>
                        <w:szCs w:val="24"/>
                      </w:rPr>
                      <w:t>Stacionarinės medicininės reabilitacijos metu pacientui atliekami klinikiniai fiziologiniai, radiologiniai, laboratoriniai tyrimai pagal indikacijas, teikiamos gydytojų specialistų konsultacijos bei ortopedinės ir kompensacinės technikos pritaikymo paslaugos (pagal indikacijas).</w:t>
                    </w:r>
                  </w:p>
                  <w:p>
                    <w:pPr>
                      <w:jc w:val="both"/>
                      <w:rPr>
                        <w:spacing w:val="-4"/>
                        <w:szCs w:val="24"/>
                      </w:rPr>
                    </w:pPr>
                  </w:p>
                  <w:p>
                    <w:pPr>
                      <w:jc w:val="both"/>
                      <w:rPr>
                        <w:szCs w:val="24"/>
                      </w:rPr>
                    </w:pPr>
                    <w:r>
                      <w:rPr>
                        <w:szCs w:val="24"/>
                      </w:rPr>
                      <w:t>Pastaba. Paslaugų skaičius vienam pacientui, nustatytas šiuose reikalavimuose, gali būti didinamas arba mažinamas, atsižvelgiant į paciento būklę ir indikacijas,</w:t>
                    </w:r>
                    <w:r>
                      <w:rPr>
                        <w:b/>
                        <w:szCs w:val="24"/>
                      </w:rPr>
                      <w:t xml:space="preserve"> </w:t>
                    </w:r>
                    <w:r>
                      <w:rPr>
                        <w:szCs w:val="24"/>
                      </w:rPr>
                      <w:t>tai pagrindžiant ir padarius atitinkamus įrašus gydymo stacionare ligos istorijoje (forma Nr. 003/a).</w:t>
                    </w:r>
                  </w:p>
                </w:tc>
              </w:tr>
              <w:tr>
                <w:trPr>
                  <w:cantSplit/>
                  <w:trHeight w:val="592"/>
                </w:trPr>
                <w:tc>
                  <w:tcPr>
                    <w:tcW w:w="1770" w:type="pct"/>
                    <w:vAlign w:val="center"/>
                  </w:tcPr>
                  <w:p>
                    <w:pPr>
                      <w:keepNext/>
                      <w:outlineLvl w:val="3"/>
                      <w:rPr>
                        <w:bCs/>
                        <w:szCs w:val="24"/>
                      </w:rPr>
                    </w:pPr>
                    <w:r>
                      <w:rPr>
                        <w:bCs/>
                        <w:szCs w:val="24"/>
                      </w:rPr>
                      <w:t xml:space="preserve">Po ilgųjų, dubens kaulų lūžių ir susirgimų D16.1–3; D16.8; S72; S82; S83.7; S86; T02 </w:t>
                    </w:r>
                  </w:p>
                </w:tc>
                <w:tc>
                  <w:tcPr>
                    <w:tcW w:w="1761" w:type="pct"/>
                  </w:tcPr>
                  <w:p>
                    <w:pPr>
                      <w:rPr>
                        <w:szCs w:val="24"/>
                      </w:rPr>
                    </w:pPr>
                    <w:r>
                      <w:rPr>
                        <w:szCs w:val="24"/>
                      </w:rPr>
                      <w:t>Kai pacientą galima aktyvinti, Bartelio indeksas daugiau kaip 80 balų, modifikuotas Keitelio indeksas daugiau kaip 30 balų</w:t>
                    </w:r>
                  </w:p>
                </w:tc>
                <w:tc>
                  <w:tcPr>
                    <w:tcW w:w="1469" w:type="pct"/>
                  </w:tcPr>
                  <w:p>
                    <w:pPr>
                      <w:jc w:val="center"/>
                      <w:rPr>
                        <w:szCs w:val="24"/>
                      </w:rPr>
                    </w:pPr>
                    <w:r>
                      <w:rPr>
                        <w:szCs w:val="24"/>
                      </w:rPr>
                      <w:t>18</w:t>
                    </w:r>
                  </w:p>
                </w:tc>
              </w:tr>
              <w:tr>
                <w:trPr>
                  <w:cantSplit/>
                  <w:trHeight w:val="417"/>
                </w:trPr>
                <w:tc>
                  <w:tcPr>
                    <w:tcW w:w="1770" w:type="pct"/>
                    <w:vAlign w:val="center"/>
                  </w:tcPr>
                  <w:p>
                    <w:pPr>
                      <w:rPr>
                        <w:szCs w:val="24"/>
                      </w:rPr>
                    </w:pPr>
                    <w:r>
                      <w:rPr>
                        <w:szCs w:val="24"/>
                      </w:rPr>
                      <w:t>Po sąnarių operacijų (artroplastikos, osteotomijos, artrodezės, sąnario pakeitimo operacijos ir kt.) D16.1–3; D16.8; M05–M06; M15–M17; M19; M23–</w:t>
                    </w:r>
                    <w:r>
                      <w:rPr>
                        <w:bCs/>
                        <w:szCs w:val="24"/>
                        <w:shd w:val="clear" w:color="auto" w:fill="FFFFFF"/>
                      </w:rPr>
                      <w:t>M24;</w:t>
                    </w:r>
                    <w:r>
                      <w:rPr>
                        <w:bCs/>
                        <w:szCs w:val="24"/>
                      </w:rPr>
                      <w:t xml:space="preserve"> M66; </w:t>
                    </w:r>
                    <w:r>
                      <w:rPr>
                        <w:szCs w:val="24"/>
                      </w:rPr>
                      <w:t xml:space="preserve">M75; S72; S43; S46; </w:t>
                    </w:r>
                    <w:r>
                      <w:rPr>
                        <w:bCs/>
                        <w:szCs w:val="24"/>
                      </w:rPr>
                      <w:t xml:space="preserve">S83; </w:t>
                    </w:r>
                    <w:r>
                      <w:rPr>
                        <w:szCs w:val="24"/>
                      </w:rPr>
                      <w:t>Z96.6.</w:t>
                    </w:r>
                  </w:p>
                </w:tc>
                <w:tc>
                  <w:tcPr>
                    <w:tcW w:w="1761" w:type="pct"/>
                  </w:tcPr>
                  <w:p>
                    <w:pPr>
                      <w:rPr>
                        <w:szCs w:val="24"/>
                      </w:rPr>
                    </w:pPr>
                    <w:r>
                      <w:rPr>
                        <w:szCs w:val="24"/>
                      </w:rPr>
                      <w:t>Bartelio indeksas daugiau kaip 80 balų, modifikuotas Keitelio indeksas daugiau kaip 30 balų</w:t>
                    </w:r>
                  </w:p>
                </w:tc>
                <w:tc>
                  <w:tcPr>
                    <w:tcW w:w="1469" w:type="pct"/>
                  </w:tcPr>
                  <w:p>
                    <w:pPr>
                      <w:jc w:val="center"/>
                      <w:rPr>
                        <w:szCs w:val="24"/>
                      </w:rPr>
                    </w:pPr>
                    <w:r>
                      <w:rPr>
                        <w:szCs w:val="24"/>
                      </w:rPr>
                      <w:t>18</w:t>
                    </w:r>
                  </w:p>
                </w:tc>
              </w:tr>
              <w:tr>
                <w:trPr>
                  <w:cantSplit/>
                  <w:trHeight w:val="415"/>
                </w:trPr>
                <w:tc>
                  <w:tcPr>
                    <w:tcW w:w="1770" w:type="pct"/>
                    <w:vAlign w:val="center"/>
                  </w:tcPr>
                  <w:p>
                    <w:pPr>
                      <w:rPr>
                        <w:szCs w:val="24"/>
                      </w:rPr>
                    </w:pPr>
                    <w:r>
                      <w:rPr>
                        <w:szCs w:val="24"/>
                      </w:rPr>
                      <w:t xml:space="preserve">Po neurologiškai nekomplikuoto kompresinio stuburo slankstelio lūžio </w:t>
                    </w:r>
                  </w:p>
                  <w:p>
                    <w:pPr>
                      <w:rPr>
                        <w:szCs w:val="24"/>
                      </w:rPr>
                    </w:pPr>
                    <w:r>
                      <w:rPr>
                        <w:szCs w:val="24"/>
                      </w:rPr>
                      <w:t>S22.0–1; S32</w:t>
                    </w:r>
                  </w:p>
                </w:tc>
                <w:tc>
                  <w:tcPr>
                    <w:tcW w:w="1761" w:type="pct"/>
                  </w:tcPr>
                  <w:p>
                    <w:pPr>
                      <w:rPr>
                        <w:szCs w:val="24"/>
                      </w:rPr>
                    </w:pPr>
                    <w:r>
                      <w:rPr>
                        <w:szCs w:val="24"/>
                      </w:rPr>
                      <w:t>Kai pacientą galima aktyvinti, Bartelio indeksas daugiau kaip 80 balų</w:t>
                    </w:r>
                  </w:p>
                </w:tc>
                <w:tc>
                  <w:tcPr>
                    <w:tcW w:w="1469" w:type="pct"/>
                  </w:tcPr>
                  <w:p>
                    <w:pPr>
                      <w:jc w:val="center"/>
                      <w:rPr>
                        <w:szCs w:val="24"/>
                      </w:rPr>
                    </w:pPr>
                    <w:r>
                      <w:rPr>
                        <w:szCs w:val="24"/>
                      </w:rPr>
                      <w:t>18</w:t>
                    </w:r>
                  </w:p>
                </w:tc>
              </w:tr>
              <w:tr>
                <w:trPr>
                  <w:cantSplit/>
                  <w:trHeight w:val="545"/>
                </w:trPr>
                <w:tc>
                  <w:tcPr>
                    <w:tcW w:w="1770" w:type="pct"/>
                    <w:vAlign w:val="center"/>
                  </w:tcPr>
                  <w:p>
                    <w:pPr>
                      <w:rPr>
                        <w:szCs w:val="24"/>
                      </w:rPr>
                    </w:pPr>
                    <w:r>
                      <w:rPr>
                        <w:szCs w:val="24"/>
                      </w:rPr>
                      <w:t>Po mikrochirurginių galūnių operacijų S68; S98</w:t>
                    </w:r>
                  </w:p>
                </w:tc>
                <w:tc>
                  <w:tcPr>
                    <w:tcW w:w="1761" w:type="pct"/>
                  </w:tcPr>
                  <w:p>
                    <w:pPr>
                      <w:rPr>
                        <w:szCs w:val="24"/>
                      </w:rPr>
                    </w:pPr>
                    <w:r>
                      <w:rPr>
                        <w:szCs w:val="24"/>
                      </w:rPr>
                      <w:t>Modifikuotas Keitelio indeksas daugiau kaip 40 balų</w:t>
                    </w:r>
                  </w:p>
                </w:tc>
                <w:tc>
                  <w:tcPr>
                    <w:tcW w:w="1469" w:type="pct"/>
                    <w:vAlign w:val="center"/>
                  </w:tcPr>
                  <w:p>
                    <w:pPr>
                      <w:jc w:val="center"/>
                      <w:rPr>
                        <w:szCs w:val="24"/>
                      </w:rPr>
                    </w:pPr>
                    <w:r>
                      <w:rPr>
                        <w:szCs w:val="24"/>
                      </w:rPr>
                      <w:t>18</w:t>
                    </w:r>
                  </w:p>
                </w:tc>
              </w:tr>
              <w:tr>
                <w:trPr>
                  <w:cantSplit/>
                  <w:trHeight w:val="423"/>
                </w:trPr>
                <w:tc>
                  <w:tcPr>
                    <w:tcW w:w="1770" w:type="pct"/>
                    <w:vAlign w:val="center"/>
                  </w:tcPr>
                  <w:p>
                    <w:pPr>
                      <w:rPr>
                        <w:szCs w:val="24"/>
                      </w:rPr>
                    </w:pPr>
                    <w:r>
                      <w:rPr>
                        <w:szCs w:val="24"/>
                      </w:rPr>
                      <w:t xml:space="preserve">Artropatijos M02–M03 </w:t>
                    </w:r>
                  </w:p>
                  <w:p>
                    <w:pPr>
                      <w:rPr>
                        <w:szCs w:val="24"/>
                      </w:rPr>
                    </w:pPr>
                    <w:r>
                      <w:rPr>
                        <w:szCs w:val="24"/>
                      </w:rPr>
                      <w:t xml:space="preserve">Reumatoidinis artritas, ne didesnis kaip II laipsnio aktyvumas, II–III laipsnio funkcijos sutrikimas M05–M06 </w:t>
                    </w:r>
                  </w:p>
                  <w:p>
                    <w:pPr>
                      <w:rPr>
                        <w:szCs w:val="24"/>
                      </w:rPr>
                    </w:pPr>
                    <w:r>
                      <w:rPr>
                        <w:szCs w:val="24"/>
                      </w:rPr>
                      <w:t>Podagra ir kitos kristalinės artropatijos M07; M10; M11</w:t>
                    </w:r>
                  </w:p>
                  <w:p>
                    <w:pPr>
                      <w:rPr>
                        <w:szCs w:val="24"/>
                      </w:rPr>
                    </w:pPr>
                    <w:r>
                      <w:rPr>
                        <w:szCs w:val="24"/>
                      </w:rPr>
                      <w:t xml:space="preserve">Sisteminės jungiamojo audinio ligos M30–M35 </w:t>
                    </w:r>
                  </w:p>
                </w:tc>
                <w:tc>
                  <w:tcPr>
                    <w:tcW w:w="1761" w:type="pct"/>
                  </w:tcPr>
                  <w:p>
                    <w:pPr>
                      <w:rPr>
                        <w:szCs w:val="24"/>
                      </w:rPr>
                    </w:pPr>
                    <w:r>
                      <w:rPr>
                        <w:szCs w:val="24"/>
                      </w:rPr>
                      <w:t>Keitelio indeksas daugiau kaip 65 balai</w:t>
                    </w:r>
                  </w:p>
                </w:tc>
                <w:tc>
                  <w:tcPr>
                    <w:tcW w:w="1469" w:type="pct"/>
                  </w:tcPr>
                  <w:p>
                    <w:pPr>
                      <w:jc w:val="center"/>
                      <w:rPr>
                        <w:szCs w:val="24"/>
                      </w:rPr>
                    </w:pPr>
                    <w:r>
                      <w:rPr>
                        <w:szCs w:val="24"/>
                      </w:rPr>
                      <w:t>18</w:t>
                    </w:r>
                  </w:p>
                </w:tc>
              </w:tr>
              <w:tr>
                <w:trPr>
                  <w:cantSplit/>
                  <w:trHeight w:val="545"/>
                </w:trPr>
                <w:tc>
                  <w:tcPr>
                    <w:tcW w:w="1770" w:type="pct"/>
                    <w:vAlign w:val="center"/>
                  </w:tcPr>
                  <w:p>
                    <w:pPr>
                      <w:rPr>
                        <w:szCs w:val="24"/>
                      </w:rPr>
                    </w:pPr>
                    <w:r>
                      <w:rPr>
                        <w:szCs w:val="24"/>
                      </w:rPr>
                      <w:t xml:space="preserve">Kelio, klubo, čiurnos sąnario osteoartrozė (II–III st., II laipsnio funkcijos nepakankamumas) M16; M17; M19 </w:t>
                    </w:r>
                  </w:p>
                </w:tc>
                <w:tc>
                  <w:tcPr>
                    <w:tcW w:w="1761" w:type="pct"/>
                  </w:tcPr>
                  <w:p>
                    <w:pPr>
                      <w:rPr>
                        <w:szCs w:val="24"/>
                      </w:rPr>
                    </w:pPr>
                    <w:r>
                      <w:rPr>
                        <w:szCs w:val="24"/>
                      </w:rPr>
                      <w:t>Modifikuotas Keitelio indeksas daugiau kaip 30 balų</w:t>
                    </w:r>
                  </w:p>
                </w:tc>
                <w:tc>
                  <w:tcPr>
                    <w:tcW w:w="1469" w:type="pct"/>
                  </w:tcPr>
                  <w:p>
                    <w:pPr>
                      <w:jc w:val="center"/>
                      <w:rPr>
                        <w:szCs w:val="24"/>
                      </w:rPr>
                    </w:pPr>
                    <w:r>
                      <w:rPr>
                        <w:szCs w:val="24"/>
                      </w:rPr>
                      <w:t>18</w:t>
                    </w:r>
                  </w:p>
                </w:tc>
              </w:tr>
              <w:tr>
                <w:trPr>
                  <w:cantSplit/>
                  <w:trHeight w:val="545"/>
                </w:trPr>
                <w:tc>
                  <w:tcPr>
                    <w:tcW w:w="1770" w:type="pct"/>
                    <w:vAlign w:val="center"/>
                  </w:tcPr>
                  <w:p>
                    <w:pPr>
                      <w:ind w:hanging="9"/>
                      <w:rPr>
                        <w:szCs w:val="24"/>
                      </w:rPr>
                    </w:pPr>
                    <w:r>
                      <w:rPr>
                        <w:szCs w:val="24"/>
                      </w:rPr>
                      <w:t>Pacientų paruošimas pirminiam (gydomajam) protezavimui (bigių formavimas, konservatyvus kontraktūrų ir kitų komplikacijų po amputacijos gydymas) ir mokymas naudotis protezu bei vaikščioti T05.0–6; T11.6; T13.6; Y83.5; Q71; Q72; Z89.1–8</w:t>
                    </w:r>
                  </w:p>
                </w:tc>
                <w:tc>
                  <w:tcPr>
                    <w:tcW w:w="1761" w:type="pct"/>
                  </w:tcPr>
                  <w:p>
                    <w:pPr>
                      <w:rPr>
                        <w:szCs w:val="24"/>
                      </w:rPr>
                    </w:pPr>
                  </w:p>
                </w:tc>
                <w:tc>
                  <w:tcPr>
                    <w:tcW w:w="1469" w:type="pct"/>
                  </w:tcPr>
                  <w:p>
                    <w:pPr>
                      <w:jc w:val="center"/>
                      <w:rPr>
                        <w:szCs w:val="24"/>
                      </w:rPr>
                    </w:pPr>
                    <w:r>
                      <w:rPr>
                        <w:szCs w:val="24"/>
                      </w:rPr>
                      <w:t>18</w:t>
                    </w:r>
                  </w:p>
                </w:tc>
              </w:tr>
              <w:tr>
                <w:trPr>
                  <w:cantSplit/>
                  <w:trHeight w:val="1120"/>
                </w:trPr>
                <w:tc>
                  <w:tcPr>
                    <w:tcW w:w="5000" w:type="pct"/>
                    <w:gridSpan w:val="3"/>
                    <w:tcBorders>
                      <w:bottom w:val="single" w:sz="4" w:space="0" w:color="auto"/>
                    </w:tcBorders>
                  </w:tcPr>
                  <w:p>
                    <w:pPr>
                      <w:jc w:val="both"/>
                      <w:rPr>
                        <w:bCs/>
                        <w:kern w:val="36"/>
                        <w:szCs w:val="24"/>
                        <w:lang w:eastAsia="lt-LT"/>
                      </w:rPr>
                    </w:pPr>
                    <w:r>
                      <w:rPr>
                        <w:bCs/>
                        <w:kern w:val="36"/>
                        <w:szCs w:val="24"/>
                        <w:lang w:eastAsia="lt-LT"/>
                      </w:rPr>
                      <w:t>Sveikatos grąžinamasis gydymas</w:t>
                    </w:r>
                  </w:p>
                  <w:p>
                    <w:pPr>
                      <w:jc w:val="both"/>
                      <w:rPr>
                        <w:szCs w:val="24"/>
                      </w:rPr>
                    </w:pPr>
                    <w:r>
                      <w:rPr>
                        <w:szCs w:val="24"/>
                      </w:rPr>
                      <w:t>Paslaugos vienam pacientui per 10 darbo dienų: kineziterapija – 10 procedūrų, ergoterapija – 6 procedūros, gydomasis masažas – 4 procedūros, fizioterapija – 10 procedūrų, 2 medicinos psichologo konsultacijos. Paslaugos, teikiamos pagal indikacijas: medikamentinis gydymas, paciento mokymas ir kitos paslaugos. Tyrimų mastas vienam pacientui per 10 darbo dienų: tyrimai pagal indikacijas.</w:t>
                    </w:r>
                  </w:p>
                  <w:p>
                    <w:pPr>
                      <w:jc w:val="both"/>
                      <w:rPr>
                        <w:szCs w:val="24"/>
                      </w:rPr>
                    </w:pPr>
                    <w:r>
                      <w:rPr>
                        <w:szCs w:val="24"/>
                      </w:rPr>
                      <w:t>Sveikatos grąžinamojo gydymo metu pacientui atliekami klinikiniai fiziologiniai, radiologiniai, laboratoriniai tyrimai pagal indikacijas, teikiamos gydytojų specialistų konsultacijos bei ortopedinės ir kompensacinės technikos pritaikymo paslaugos (pagal indikacijas).</w:t>
                    </w:r>
                  </w:p>
                  <w:p>
                    <w:pPr>
                      <w:jc w:val="both"/>
                      <w:rPr>
                        <w:szCs w:val="24"/>
                      </w:rPr>
                    </w:pPr>
                  </w:p>
                  <w:p>
                    <w:pPr>
                      <w:jc w:val="both"/>
                      <w:rPr>
                        <w:szCs w:val="24"/>
                      </w:rPr>
                    </w:pPr>
                    <w:r>
                      <w:rPr>
                        <w:szCs w:val="24"/>
                      </w:rPr>
                      <w:t xml:space="preserve">Pastaba. Paslaugų skaičius vienam pacientui, nustatytas šiuose reikalavimuose, gali būti didinamas arba mažinamas, atsižvelgiant į paciento būklę bei indikacijas, tai pagrindžiant ir padarius atitinkamus įrašus </w:t>
                    </w:r>
                    <w:r>
                      <w:rPr>
                        <w:szCs w:val="24"/>
                        <w:lang w:eastAsia="lt-LT"/>
                      </w:rPr>
                      <w:t>gydymo stacionare ligos istorijoje (forma Nr. 003/a).</w:t>
                    </w:r>
                  </w:p>
                </w:tc>
              </w:tr>
              <w:tr>
                <w:trPr>
                  <w:cantSplit/>
                  <w:trHeight w:val="599"/>
                </w:trPr>
                <w:tc>
                  <w:tcPr>
                    <w:tcW w:w="1770" w:type="pct"/>
                    <w:tcBorders>
                      <w:top w:val="single" w:sz="4" w:space="0" w:color="auto"/>
                      <w:left w:val="single" w:sz="4" w:space="0" w:color="auto"/>
                      <w:bottom w:val="single" w:sz="4" w:space="0" w:color="auto"/>
                      <w:right w:val="single" w:sz="4" w:space="0" w:color="auto"/>
                    </w:tcBorders>
                    <w:vAlign w:val="center"/>
                  </w:tcPr>
                  <w:p>
                    <w:pPr>
                      <w:rPr>
                        <w:szCs w:val="24"/>
                      </w:rPr>
                    </w:pPr>
                    <w:r>
                      <w:rPr>
                        <w:szCs w:val="24"/>
                      </w:rPr>
                      <w:t>Po kaulų lūžių (kai sulėtėjusi konsolidacija, nustatyta raumenų hipotrofija, yra gretimų sąnarių kontraktūros) S42; S52; S62; S72; S82; S92; T02; T03</w:t>
                    </w:r>
                  </w:p>
                </w:tc>
                <w:tc>
                  <w:tcPr>
                    <w:tcW w:w="1761" w:type="pct"/>
                    <w:tcBorders>
                      <w:top w:val="single" w:sz="4" w:space="0" w:color="auto"/>
                      <w:left w:val="single" w:sz="4" w:space="0" w:color="auto"/>
                      <w:bottom w:val="single" w:sz="4" w:space="0" w:color="auto"/>
                      <w:right w:val="single" w:sz="4" w:space="0" w:color="auto"/>
                    </w:tcBorders>
                    <w:shd w:val="clear" w:color="auto" w:fill="FFFFFF"/>
                  </w:tcPr>
                  <w:p>
                    <w:pPr>
                      <w:rPr>
                        <w:szCs w:val="24"/>
                      </w:rPr>
                    </w:pPr>
                    <w:r>
                      <w:rPr>
                        <w:szCs w:val="24"/>
                      </w:rPr>
                      <w:t>Modifikuotas Keitelio indeksas daugiau kaip 40 balų</w:t>
                    </w:r>
                  </w:p>
                </w:tc>
                <w:tc>
                  <w:tcPr>
                    <w:tcW w:w="1469" w:type="pct"/>
                    <w:tcBorders>
                      <w:top w:val="single" w:sz="4" w:space="0" w:color="auto"/>
                      <w:left w:val="single" w:sz="4" w:space="0" w:color="auto"/>
                      <w:bottom w:val="single" w:sz="4" w:space="0" w:color="auto"/>
                      <w:right w:val="single" w:sz="4" w:space="0" w:color="auto"/>
                    </w:tcBorders>
                    <w:shd w:val="clear" w:color="auto" w:fill="FFFFFF"/>
                    <w:vAlign w:val="center"/>
                  </w:tcPr>
                  <w:p>
                    <w:pPr>
                      <w:jc w:val="center"/>
                      <w:rPr>
                        <w:szCs w:val="24"/>
                      </w:rPr>
                    </w:pPr>
                    <w:r>
                      <w:rPr>
                        <w:szCs w:val="24"/>
                      </w:rPr>
                      <w:t>16</w:t>
                    </w:r>
                  </w:p>
                </w:tc>
              </w:tr>
              <w:tr>
                <w:trPr>
                  <w:cantSplit/>
                  <w:trHeight w:val="686"/>
                </w:trPr>
                <w:tc>
                  <w:tcPr>
                    <w:tcW w:w="1770" w:type="pct"/>
                    <w:tcBorders>
                      <w:top w:val="single" w:sz="4" w:space="0" w:color="auto"/>
                    </w:tcBorders>
                    <w:shd w:val="clear" w:color="auto" w:fill="FFFFFF"/>
                    <w:vAlign w:val="center"/>
                  </w:tcPr>
                  <w:p>
                    <w:pPr>
                      <w:rPr>
                        <w:szCs w:val="24"/>
                      </w:rPr>
                    </w:pPr>
                    <w:r>
                      <w:rPr>
                        <w:szCs w:val="24"/>
                      </w:rPr>
                      <w:t>Po neurologiškai nekomplikuoto kompresinio stuburo slankstelio lūžio, dauginių kaklo išnirimų S12; S13.3; S22.0–1; S32</w:t>
                    </w:r>
                  </w:p>
                </w:tc>
                <w:tc>
                  <w:tcPr>
                    <w:tcW w:w="1761" w:type="pct"/>
                    <w:tcBorders>
                      <w:top w:val="single" w:sz="4" w:space="0" w:color="auto"/>
                    </w:tcBorders>
                    <w:shd w:val="clear" w:color="auto" w:fill="FFFFFF"/>
                    <w:vAlign w:val="center"/>
                  </w:tcPr>
                  <w:p>
                    <w:pPr>
                      <w:rPr>
                        <w:szCs w:val="24"/>
                      </w:rPr>
                    </w:pPr>
                    <w:r>
                      <w:rPr>
                        <w:szCs w:val="24"/>
                      </w:rPr>
                      <w:t>Kai sulėtėjusi konsolidacija, nustatyta raumenų hipotrofija</w:t>
                    </w:r>
                  </w:p>
                </w:tc>
                <w:tc>
                  <w:tcPr>
                    <w:tcW w:w="1469" w:type="pct"/>
                    <w:tcBorders>
                      <w:top w:val="single" w:sz="4" w:space="0" w:color="auto"/>
                    </w:tcBorders>
                    <w:shd w:val="clear" w:color="auto" w:fill="FFFFFF"/>
                  </w:tcPr>
                  <w:p>
                    <w:pPr>
                      <w:jc w:val="center"/>
                      <w:rPr>
                        <w:szCs w:val="24"/>
                      </w:rPr>
                    </w:pPr>
                    <w:r>
                      <w:rPr>
                        <w:szCs w:val="24"/>
                      </w:rPr>
                      <w:t>16</w:t>
                    </w:r>
                  </w:p>
                </w:tc>
              </w:tr>
              <w:tr>
                <w:trPr>
                  <w:cantSplit/>
                  <w:trHeight w:val="348"/>
                </w:trPr>
                <w:tc>
                  <w:tcPr>
                    <w:tcW w:w="1770" w:type="pct"/>
                    <w:shd w:val="clear" w:color="auto" w:fill="FFFFFF"/>
                    <w:vAlign w:val="center"/>
                  </w:tcPr>
                  <w:p>
                    <w:pPr>
                      <w:rPr>
                        <w:szCs w:val="24"/>
                      </w:rPr>
                    </w:pPr>
                    <w:r>
                      <w:rPr>
                        <w:szCs w:val="24"/>
                      </w:rPr>
                      <w:t>Nudegimų ir nušalimų padariniai T95.0-4; T95.8-9</w:t>
                    </w:r>
                  </w:p>
                </w:tc>
                <w:tc>
                  <w:tcPr>
                    <w:tcW w:w="1761" w:type="pct"/>
                    <w:shd w:val="clear" w:color="auto" w:fill="FFFFFF"/>
                  </w:tcPr>
                  <w:p>
                    <w:pPr>
                      <w:rPr>
                        <w:szCs w:val="24"/>
                      </w:rPr>
                    </w:pPr>
                    <w:r>
                      <w:rPr>
                        <w:szCs w:val="24"/>
                      </w:rPr>
                      <w:t>Po gydymo stacionare</w:t>
                    </w:r>
                  </w:p>
                </w:tc>
                <w:tc>
                  <w:tcPr>
                    <w:tcW w:w="1469" w:type="pct"/>
                    <w:shd w:val="clear" w:color="auto" w:fill="FFFFFF"/>
                  </w:tcPr>
                  <w:p>
                    <w:pPr>
                      <w:jc w:val="center"/>
                      <w:rPr>
                        <w:szCs w:val="24"/>
                      </w:rPr>
                    </w:pPr>
                    <w:r>
                      <w:rPr>
                        <w:szCs w:val="24"/>
                      </w:rPr>
                      <w:t>16</w:t>
                    </w:r>
                  </w:p>
                </w:tc>
              </w:tr>
              <w:tr>
                <w:trPr>
                  <w:cantSplit/>
                  <w:trHeight w:val="645"/>
                </w:trPr>
                <w:tc>
                  <w:tcPr>
                    <w:tcW w:w="1770" w:type="pct"/>
                    <w:shd w:val="clear" w:color="auto" w:fill="FFFFFF"/>
                    <w:vAlign w:val="center"/>
                  </w:tcPr>
                  <w:p>
                    <w:pPr>
                      <w:rPr>
                        <w:szCs w:val="24"/>
                      </w:rPr>
                    </w:pPr>
                    <w:r>
                      <w:rPr>
                        <w:szCs w:val="24"/>
                      </w:rPr>
                      <w:t xml:space="preserve">Po sąnarių, sausgyslių, raumenų, raiščių sužalojimų </w:t>
                    </w:r>
                  </w:p>
                  <w:p>
                    <w:pPr>
                      <w:rPr>
                        <w:szCs w:val="24"/>
                      </w:rPr>
                    </w:pPr>
                    <w:r>
                      <w:rPr>
                        <w:szCs w:val="24"/>
                      </w:rPr>
                      <w:t xml:space="preserve">S 43; S46; S53; S56; S63; S66; S73; S76; S83; S86; S93; </w:t>
                    </w:r>
                    <w:r>
                      <w:rPr>
                        <w:szCs w:val="24"/>
                        <w:shd w:val="clear" w:color="auto" w:fill="FFFFFF"/>
                        <w:lang w:eastAsia="lt-LT"/>
                      </w:rPr>
                      <w:t xml:space="preserve">M22.0–M22.1; M23; </w:t>
                    </w:r>
                    <w:r>
                      <w:rPr>
                        <w:szCs w:val="24"/>
                        <w:shd w:val="clear" w:color="auto" w:fill="FFFFFF"/>
                      </w:rPr>
                      <w:t>M66; M70; M75; M76.6; M77.0–M77.3</w:t>
                    </w:r>
                    <w:r>
                      <w:rPr>
                        <w:szCs w:val="24"/>
                      </w:rPr>
                      <w:t xml:space="preserve"> </w:t>
                    </w:r>
                  </w:p>
                </w:tc>
                <w:tc>
                  <w:tcPr>
                    <w:tcW w:w="1761" w:type="pct"/>
                    <w:shd w:val="clear" w:color="auto" w:fill="FFFFFF"/>
                  </w:tcPr>
                  <w:p>
                    <w:pPr>
                      <w:rPr>
                        <w:szCs w:val="24"/>
                      </w:rPr>
                    </w:pPr>
                    <w:r>
                      <w:rPr>
                        <w:szCs w:val="24"/>
                      </w:rPr>
                      <w:t xml:space="preserve">Kai yra raumenų hipotrofija, sąnarių kontraktūra </w:t>
                    </w:r>
                  </w:p>
                </w:tc>
                <w:tc>
                  <w:tcPr>
                    <w:tcW w:w="1469" w:type="pct"/>
                    <w:shd w:val="clear" w:color="auto" w:fill="FFFFFF"/>
                  </w:tcPr>
                  <w:p>
                    <w:pPr>
                      <w:jc w:val="center"/>
                      <w:rPr>
                        <w:szCs w:val="24"/>
                      </w:rPr>
                    </w:pPr>
                    <w:r>
                      <w:rPr>
                        <w:szCs w:val="24"/>
                      </w:rPr>
                      <w:t>16</w:t>
                    </w:r>
                  </w:p>
                </w:tc>
              </w:tr>
              <w:tr>
                <w:trPr>
                  <w:cantSplit/>
                  <w:trHeight w:val="198"/>
                </w:trPr>
                <w:tc>
                  <w:tcPr>
                    <w:tcW w:w="1770" w:type="pct"/>
                    <w:shd w:val="clear" w:color="auto" w:fill="FFFFFF"/>
                    <w:vAlign w:val="center"/>
                  </w:tcPr>
                  <w:p>
                    <w:pPr>
                      <w:rPr>
                        <w:szCs w:val="24"/>
                      </w:rPr>
                    </w:pPr>
                    <w:r>
                      <w:rPr>
                        <w:szCs w:val="24"/>
                      </w:rPr>
                      <w:t>Uždegiminės ir degeneracinės sąnarių ligos M06; M10.0; M10.9; M12.5; M13.8; M15; M16; M17; M19</w:t>
                    </w:r>
                    <w:r>
                      <w:rPr>
                        <w:szCs w:val="24"/>
                        <w:shd w:val="clear" w:color="auto" w:fill="FFFFFF"/>
                      </w:rPr>
                      <w:t xml:space="preserve">; </w:t>
                    </w:r>
                    <w:r>
                      <w:rPr>
                        <w:szCs w:val="24"/>
                        <w:shd w:val="clear" w:color="auto" w:fill="FFFFFF"/>
                        <w:lang w:eastAsia="lt-LT"/>
                      </w:rPr>
                      <w:t>M22.4</w:t>
                    </w:r>
                  </w:p>
                </w:tc>
                <w:tc>
                  <w:tcPr>
                    <w:tcW w:w="1761" w:type="pct"/>
                    <w:shd w:val="clear" w:color="auto" w:fill="FFFFFF"/>
                    <w:vAlign w:val="center"/>
                  </w:tcPr>
                  <w:p>
                    <w:pPr>
                      <w:rPr>
                        <w:szCs w:val="24"/>
                      </w:rPr>
                    </w:pPr>
                    <w:r>
                      <w:rPr>
                        <w:szCs w:val="24"/>
                      </w:rPr>
                      <w:t>II laipsnio funkcijos sutrikimas, Keitelio indeksas daugiau kaip 70 balų (modifikuotas Keitelio indeksas daugiau 30 balų)</w:t>
                    </w:r>
                  </w:p>
                </w:tc>
                <w:tc>
                  <w:tcPr>
                    <w:tcW w:w="1469" w:type="pct"/>
                    <w:shd w:val="clear" w:color="auto" w:fill="FFFFFF"/>
                  </w:tcPr>
                  <w:p>
                    <w:pPr>
                      <w:jc w:val="center"/>
                      <w:rPr>
                        <w:szCs w:val="24"/>
                      </w:rPr>
                    </w:pPr>
                    <w:r>
                      <w:rPr>
                        <w:szCs w:val="24"/>
                      </w:rPr>
                      <w:t>16</w:t>
                    </w:r>
                  </w:p>
                </w:tc>
              </w:tr>
              <w:tr>
                <w:trPr>
                  <w:cantSplit/>
                  <w:trHeight w:val="198"/>
                </w:trPr>
                <w:tc>
                  <w:tcPr>
                    <w:tcW w:w="1770" w:type="pct"/>
                    <w:shd w:val="clear" w:color="auto" w:fill="FFFFFF"/>
                    <w:vAlign w:val="center"/>
                  </w:tcPr>
                  <w:p>
                    <w:pPr>
                      <w:rPr>
                        <w:szCs w:val="24"/>
                      </w:rPr>
                    </w:pPr>
                    <w:r>
                      <w:rPr>
                        <w:szCs w:val="24"/>
                      </w:rPr>
                      <w:t>Osteoporozė su patologiniu stuburo slankstelio lūžiu M80</w:t>
                    </w:r>
                  </w:p>
                </w:tc>
                <w:tc>
                  <w:tcPr>
                    <w:tcW w:w="1761" w:type="pct"/>
                    <w:shd w:val="clear" w:color="auto" w:fill="FFFFFF"/>
                    <w:vAlign w:val="center"/>
                  </w:tcPr>
                  <w:p>
                    <w:pPr>
                      <w:rPr>
                        <w:szCs w:val="24"/>
                      </w:rPr>
                    </w:pPr>
                    <w:r>
                      <w:rPr>
                        <w:szCs w:val="24"/>
                      </w:rPr>
                      <w:t>Bartelio indeksas daugiau kaip 80 balų</w:t>
                    </w:r>
                  </w:p>
                </w:tc>
                <w:tc>
                  <w:tcPr>
                    <w:tcW w:w="1469" w:type="pct"/>
                    <w:shd w:val="clear" w:color="auto" w:fill="FFFFFF"/>
                  </w:tcPr>
                  <w:p>
                    <w:pPr>
                      <w:jc w:val="center"/>
                      <w:rPr>
                        <w:szCs w:val="24"/>
                      </w:rPr>
                    </w:pPr>
                    <w:r>
                      <w:rPr>
                        <w:szCs w:val="24"/>
                      </w:rPr>
                      <w:t>16</w:t>
                    </w:r>
                  </w:p>
                </w:tc>
              </w:tr>
              <w:tr>
                <w:trPr>
                  <w:cantSplit/>
                  <w:trHeight w:val="198"/>
                </w:trPr>
                <w:tc>
                  <w:tcPr>
                    <w:tcW w:w="1770" w:type="pct"/>
                    <w:shd w:val="clear" w:color="auto" w:fill="FFFFFF"/>
                    <w:vAlign w:val="center"/>
                  </w:tcPr>
                  <w:p>
                    <w:pPr>
                      <w:rPr>
                        <w:szCs w:val="24"/>
                      </w:rPr>
                    </w:pPr>
                    <w:r>
                      <w:rPr>
                        <w:szCs w:val="24"/>
                      </w:rPr>
                      <w:t>Artropatijos M02.3; M02.8; M03.6</w:t>
                    </w:r>
                  </w:p>
                </w:tc>
                <w:tc>
                  <w:tcPr>
                    <w:tcW w:w="1761" w:type="pct"/>
                    <w:shd w:val="clear" w:color="auto" w:fill="FFFFFF"/>
                  </w:tcPr>
                  <w:p>
                    <w:pPr>
                      <w:rPr>
                        <w:szCs w:val="24"/>
                      </w:rPr>
                    </w:pPr>
                    <w:r>
                      <w:rPr>
                        <w:szCs w:val="24"/>
                      </w:rPr>
                      <w:t>Modifikuotas Keitelio indeksas daugiau kaip 40 balų</w:t>
                    </w:r>
                  </w:p>
                </w:tc>
                <w:tc>
                  <w:tcPr>
                    <w:tcW w:w="1469" w:type="pct"/>
                    <w:shd w:val="clear" w:color="auto" w:fill="FFFFFF"/>
                  </w:tcPr>
                  <w:p>
                    <w:pPr>
                      <w:jc w:val="center"/>
                      <w:rPr>
                        <w:szCs w:val="24"/>
                      </w:rPr>
                    </w:pPr>
                    <w:r>
                      <w:rPr>
                        <w:szCs w:val="24"/>
                      </w:rPr>
                      <w:t>16</w:t>
                    </w:r>
                  </w:p>
                </w:tc>
              </w:tr>
              <w:tr>
                <w:trPr>
                  <w:cantSplit/>
                  <w:trHeight w:val="198"/>
                </w:trPr>
                <w:tc>
                  <w:tcPr>
                    <w:tcW w:w="1770" w:type="pct"/>
                    <w:vAlign w:val="center"/>
                  </w:tcPr>
                  <w:p>
                    <w:pPr>
                      <w:rPr>
                        <w:szCs w:val="24"/>
                      </w:rPr>
                    </w:pPr>
                    <w:r>
                      <w:rPr>
                        <w:szCs w:val="24"/>
                      </w:rPr>
                      <w:t>Po mikrochirurginių galūnių operacijų S68; S98</w:t>
                    </w:r>
                  </w:p>
                </w:tc>
                <w:tc>
                  <w:tcPr>
                    <w:tcW w:w="1761" w:type="pct"/>
                    <w:shd w:val="clear" w:color="auto" w:fill="FFFFFF"/>
                  </w:tcPr>
                  <w:p>
                    <w:pPr>
                      <w:rPr>
                        <w:szCs w:val="24"/>
                      </w:rPr>
                    </w:pPr>
                    <w:r>
                      <w:rPr>
                        <w:szCs w:val="24"/>
                      </w:rPr>
                      <w:t>Bartelio indeksas daugiau kaip 80 balų</w:t>
                    </w:r>
                  </w:p>
                </w:tc>
                <w:tc>
                  <w:tcPr>
                    <w:tcW w:w="1469" w:type="pct"/>
                    <w:shd w:val="clear" w:color="auto" w:fill="FFFFFF"/>
                  </w:tcPr>
                  <w:p>
                    <w:pPr>
                      <w:jc w:val="center"/>
                      <w:rPr>
                        <w:szCs w:val="24"/>
                      </w:rPr>
                    </w:pPr>
                    <w:r>
                      <w:rPr>
                        <w:szCs w:val="24"/>
                      </w:rPr>
                      <w:t>16</w:t>
                    </w:r>
                  </w:p>
                </w:tc>
              </w:tr>
              <w:tr>
                <w:trPr>
                  <w:cantSplit/>
                  <w:trHeight w:val="198"/>
                </w:trPr>
                <w:tc>
                  <w:tcPr>
                    <w:tcW w:w="1770" w:type="pct"/>
                    <w:vAlign w:val="center"/>
                  </w:tcPr>
                  <w:p>
                    <w:pPr>
                      <w:ind w:hanging="9"/>
                      <w:rPr>
                        <w:szCs w:val="24"/>
                      </w:rPr>
                    </w:pPr>
                    <w:r>
                      <w:rPr>
                        <w:szCs w:val="24"/>
                      </w:rPr>
                      <w:t>Ankilozinis spondilitas M45</w:t>
                    </w:r>
                  </w:p>
                  <w:p>
                    <w:pPr>
                      <w:rPr>
                        <w:szCs w:val="24"/>
                      </w:rPr>
                    </w:pPr>
                    <w:r>
                      <w:rPr>
                        <w:szCs w:val="24"/>
                      </w:rPr>
                      <w:t>Spondiliozė su artropatija M47.2</w:t>
                    </w:r>
                  </w:p>
                </w:tc>
                <w:tc>
                  <w:tcPr>
                    <w:tcW w:w="1761" w:type="pct"/>
                    <w:shd w:val="clear" w:color="auto" w:fill="FFFFFF"/>
                    <w:vAlign w:val="center"/>
                  </w:tcPr>
                  <w:p>
                    <w:pPr>
                      <w:rPr>
                        <w:szCs w:val="24"/>
                      </w:rPr>
                    </w:pPr>
                    <w:r>
                      <w:rPr>
                        <w:szCs w:val="24"/>
                      </w:rPr>
                      <w:t>Bartelio indeksas daugiau kaip 85 balai</w:t>
                    </w:r>
                  </w:p>
                </w:tc>
                <w:tc>
                  <w:tcPr>
                    <w:tcW w:w="1469" w:type="pct"/>
                    <w:shd w:val="clear" w:color="auto" w:fill="FFFFFF"/>
                  </w:tcPr>
                  <w:p>
                    <w:pPr>
                      <w:jc w:val="center"/>
                      <w:rPr>
                        <w:szCs w:val="24"/>
                      </w:rPr>
                    </w:pPr>
                    <w:r>
                      <w:rPr>
                        <w:szCs w:val="24"/>
                      </w:rPr>
                      <w:t>14</w:t>
                    </w:r>
                  </w:p>
                </w:tc>
              </w:tr>
              <w:tr>
                <w:trPr>
                  <w:cantSplit/>
                  <w:trHeight w:val="198"/>
                </w:trPr>
                <w:tc>
                  <w:tcPr>
                    <w:tcW w:w="1770" w:type="pct"/>
                    <w:vAlign w:val="center"/>
                  </w:tcPr>
                  <w:p>
                    <w:pPr>
                      <w:rPr>
                        <w:szCs w:val="24"/>
                      </w:rPr>
                    </w:pPr>
                    <w:r>
                      <w:rPr>
                        <w:szCs w:val="24"/>
                      </w:rPr>
                      <w:t>Judamojo-atramos aparato pažeidimai, sąlygoti darbo (fizinio krūvio) Y96</w:t>
                    </w:r>
                  </w:p>
                </w:tc>
                <w:tc>
                  <w:tcPr>
                    <w:tcW w:w="1761" w:type="pct"/>
                    <w:shd w:val="clear" w:color="auto" w:fill="FFFFFF"/>
                  </w:tcPr>
                  <w:p>
                    <w:pPr>
                      <w:rPr>
                        <w:szCs w:val="24"/>
                      </w:rPr>
                    </w:pPr>
                    <w:r>
                      <w:rPr>
                        <w:szCs w:val="24"/>
                      </w:rPr>
                      <w:t>Darbingumo pagal profesiją praradimo grėsmė</w:t>
                    </w:r>
                  </w:p>
                </w:tc>
                <w:tc>
                  <w:tcPr>
                    <w:tcW w:w="1469" w:type="pct"/>
                    <w:shd w:val="clear" w:color="auto" w:fill="FFFFFF"/>
                  </w:tcPr>
                  <w:p>
                    <w:pPr>
                      <w:jc w:val="center"/>
                      <w:rPr>
                        <w:szCs w:val="24"/>
                      </w:rPr>
                    </w:pPr>
                    <w:r>
                      <w:rPr>
                        <w:szCs w:val="24"/>
                      </w:rPr>
                      <w:t>16</w:t>
                    </w:r>
                  </w:p>
                </w:tc>
              </w:tr>
              <w:tr>
                <w:trPr>
                  <w:cantSplit/>
                  <w:trHeight w:val="272"/>
                </w:trPr>
                <w:tc>
                  <w:tcPr>
                    <w:tcW w:w="5000" w:type="pct"/>
                    <w:gridSpan w:val="3"/>
                  </w:tcPr>
                  <w:p>
                    <w:pPr>
                      <w:jc w:val="both"/>
                      <w:rPr>
                        <w:bCs/>
                        <w:kern w:val="36"/>
                        <w:szCs w:val="24"/>
                        <w:lang w:eastAsia="lt-LT"/>
                      </w:rPr>
                    </w:pPr>
                    <w:r>
                      <w:rPr>
                        <w:bCs/>
                        <w:kern w:val="36"/>
                        <w:szCs w:val="24"/>
                        <w:lang w:eastAsia="lt-LT"/>
                      </w:rPr>
                      <w:t>Ambulatorinė reabilitacija</w:t>
                    </w:r>
                  </w:p>
                  <w:p>
                    <w:pPr>
                      <w:jc w:val="both"/>
                      <w:rPr>
                        <w:szCs w:val="24"/>
                      </w:rPr>
                    </w:pPr>
                    <w:r>
                      <w:rPr>
                        <w:szCs w:val="24"/>
                      </w:rPr>
                      <w:t>Paslaugos vienam pacientui per 10 darbo dienų: kineziterapija – 10 procedūrų, ergoterapija – 4 procedūros, gydomasis masažas – 4 procedūros, fizioterapija – 9 procedūros, 2 medicinos psichologo konsultacijos, 1 socialinio darbuotojo konsultacija. Paslaugos, teikiamos pagal indikacijas: paciento mokymas ir kitos paslaugos. Tyrimų mastas vienam pacientui per 10 darbo dienų: tyrimai pagal indikacijas.</w:t>
                    </w:r>
                  </w:p>
                  <w:p>
                    <w:pPr>
                      <w:jc w:val="both"/>
                      <w:rPr>
                        <w:szCs w:val="24"/>
                      </w:rPr>
                    </w:pPr>
                  </w:p>
                  <w:p>
                    <w:pPr>
                      <w:jc w:val="both"/>
                      <w:rPr>
                        <w:szCs w:val="24"/>
                      </w:rPr>
                    </w:pPr>
                    <w:r>
                      <w:rPr>
                        <w:szCs w:val="24"/>
                      </w:rPr>
                      <w:t>Pastaba. Paslaugų skaičius vienam pacientui, nustatytas šiuose reikalavimuose, gali būti didinamas arba mažinamas, atsižvelgiant į paciento būklę ir indikacijas,</w:t>
                    </w:r>
                    <w:r>
                      <w:rPr>
                        <w:b/>
                        <w:szCs w:val="24"/>
                      </w:rPr>
                      <w:t xml:space="preserve"> </w:t>
                    </w:r>
                    <w:r>
                      <w:rPr>
                        <w:szCs w:val="24"/>
                      </w:rPr>
                      <w:t>tai pagrindžiant ir padarius atitinkamus įrašus ambulatorinėje asmens sveikatos istorijoje (forma Nr. 025/a).</w:t>
                    </w:r>
                  </w:p>
                </w:tc>
              </w:tr>
              <w:tr>
                <w:trPr>
                  <w:cantSplit/>
                  <w:trHeight w:val="272"/>
                </w:trPr>
                <w:tc>
                  <w:tcPr>
                    <w:tcW w:w="1770" w:type="pct"/>
                    <w:vAlign w:val="center"/>
                  </w:tcPr>
                  <w:p>
                    <w:pPr>
                      <w:ind w:hanging="9"/>
                      <w:rPr>
                        <w:szCs w:val="24"/>
                      </w:rPr>
                    </w:pPr>
                    <w:r>
                      <w:rPr>
                        <w:szCs w:val="24"/>
                      </w:rPr>
                      <w:t>Po dauginių kaulų lūžių T02</w:t>
                    </w:r>
                  </w:p>
                </w:tc>
                <w:tc>
                  <w:tcPr>
                    <w:tcW w:w="1761" w:type="pct"/>
                    <w:vAlign w:val="center"/>
                  </w:tcPr>
                  <w:p>
                    <w:pPr>
                      <w:rPr>
                        <w:szCs w:val="24"/>
                      </w:rPr>
                    </w:pPr>
                    <w:r>
                      <w:rPr>
                        <w:szCs w:val="24"/>
                      </w:rPr>
                      <w:t>Kai yra raumenų hipotrofija, sąnarių kontraktūra</w:t>
                    </w:r>
                  </w:p>
                </w:tc>
                <w:tc>
                  <w:tcPr>
                    <w:tcW w:w="1469" w:type="pct"/>
                  </w:tcPr>
                  <w:p>
                    <w:pPr>
                      <w:jc w:val="center"/>
                      <w:rPr>
                        <w:szCs w:val="24"/>
                      </w:rPr>
                    </w:pPr>
                    <w:r>
                      <w:rPr>
                        <w:szCs w:val="24"/>
                      </w:rPr>
                      <w:t>14</w:t>
                    </w:r>
                  </w:p>
                </w:tc>
              </w:tr>
              <w:tr>
                <w:trPr>
                  <w:cantSplit/>
                  <w:trHeight w:val="272"/>
                </w:trPr>
                <w:tc>
                  <w:tcPr>
                    <w:tcW w:w="1770" w:type="pct"/>
                    <w:vAlign w:val="center"/>
                  </w:tcPr>
                  <w:p>
                    <w:pPr>
                      <w:ind w:hanging="9"/>
                      <w:rPr>
                        <w:szCs w:val="24"/>
                      </w:rPr>
                    </w:pPr>
                    <w:r>
                      <w:rPr>
                        <w:szCs w:val="24"/>
                      </w:rPr>
                      <w:t xml:space="preserve">Po ilgųjų, dubens kaulų ir stuburo slankstelių lūžių ir susirgimų D16.1–3; D16.8; S42.2–4; S42.7; S49.7; S52.0–7; S72; S82; S92.0 </w:t>
                    </w:r>
                  </w:p>
                </w:tc>
                <w:tc>
                  <w:tcPr>
                    <w:tcW w:w="1761" w:type="pct"/>
                    <w:vAlign w:val="center"/>
                  </w:tcPr>
                  <w:p>
                    <w:pPr>
                      <w:rPr>
                        <w:szCs w:val="24"/>
                      </w:rPr>
                    </w:pPr>
                    <w:r>
                      <w:rPr>
                        <w:szCs w:val="24"/>
                      </w:rPr>
                      <w:t>Kai yra raumenų hipotrofija, sąnarių kontraktūra</w:t>
                    </w:r>
                  </w:p>
                </w:tc>
                <w:tc>
                  <w:tcPr>
                    <w:tcW w:w="1469" w:type="pct"/>
                  </w:tcPr>
                  <w:p>
                    <w:pPr>
                      <w:jc w:val="center"/>
                      <w:rPr>
                        <w:szCs w:val="24"/>
                      </w:rPr>
                    </w:pPr>
                    <w:r>
                      <w:rPr>
                        <w:szCs w:val="24"/>
                      </w:rPr>
                      <w:t>14</w:t>
                    </w:r>
                  </w:p>
                </w:tc>
              </w:tr>
              <w:tr>
                <w:trPr>
                  <w:cantSplit/>
                  <w:trHeight w:val="272"/>
                </w:trPr>
                <w:tc>
                  <w:tcPr>
                    <w:tcW w:w="1770" w:type="pct"/>
                    <w:vAlign w:val="center"/>
                  </w:tcPr>
                  <w:p>
                    <w:pPr>
                      <w:ind w:hanging="9"/>
                      <w:rPr>
                        <w:szCs w:val="24"/>
                      </w:rPr>
                    </w:pPr>
                    <w:r>
                      <w:rPr>
                        <w:szCs w:val="24"/>
                      </w:rPr>
                      <w:t xml:space="preserve">Po sąnario operacijų D16.1–3; M05–M06; M08; M15–M17; M19; M75; S43.4; S72 </w:t>
                    </w:r>
                  </w:p>
                </w:tc>
                <w:tc>
                  <w:tcPr>
                    <w:tcW w:w="1761" w:type="pct"/>
                    <w:vAlign w:val="center"/>
                  </w:tcPr>
                  <w:p>
                    <w:pPr>
                      <w:rPr>
                        <w:szCs w:val="24"/>
                      </w:rPr>
                    </w:pPr>
                    <w:r>
                      <w:rPr>
                        <w:szCs w:val="24"/>
                      </w:rPr>
                      <w:t>Modifikuotas Keitelio indeksas daugiau 40 balų</w:t>
                    </w:r>
                  </w:p>
                </w:tc>
                <w:tc>
                  <w:tcPr>
                    <w:tcW w:w="1469" w:type="pct"/>
                  </w:tcPr>
                  <w:p>
                    <w:pPr>
                      <w:jc w:val="center"/>
                      <w:rPr>
                        <w:szCs w:val="24"/>
                      </w:rPr>
                    </w:pPr>
                    <w:r>
                      <w:rPr>
                        <w:szCs w:val="24"/>
                      </w:rPr>
                      <w:t>14</w:t>
                    </w:r>
                  </w:p>
                </w:tc>
              </w:tr>
              <w:tr>
                <w:trPr>
                  <w:cantSplit/>
                  <w:trHeight w:val="272"/>
                </w:trPr>
                <w:tc>
                  <w:tcPr>
                    <w:tcW w:w="1770" w:type="pct"/>
                    <w:vAlign w:val="center"/>
                  </w:tcPr>
                  <w:p>
                    <w:pPr>
                      <w:ind w:hanging="9"/>
                      <w:rPr>
                        <w:szCs w:val="24"/>
                      </w:rPr>
                    </w:pPr>
                    <w:r>
                      <w:rPr>
                        <w:szCs w:val="24"/>
                      </w:rPr>
                      <w:t>Po neurologiškai nekomplikuoto kompresinio stuburo slankstelio lūžio</w:t>
                    </w:r>
                  </w:p>
                  <w:p>
                    <w:pPr>
                      <w:ind w:hanging="9"/>
                      <w:rPr>
                        <w:szCs w:val="24"/>
                      </w:rPr>
                    </w:pPr>
                    <w:r>
                      <w:rPr>
                        <w:szCs w:val="24"/>
                      </w:rPr>
                      <w:t>S22.0–1; S32.0</w:t>
                    </w:r>
                  </w:p>
                </w:tc>
                <w:tc>
                  <w:tcPr>
                    <w:tcW w:w="1761" w:type="pct"/>
                    <w:vAlign w:val="center"/>
                  </w:tcPr>
                  <w:p>
                    <w:pPr>
                      <w:rPr>
                        <w:szCs w:val="24"/>
                      </w:rPr>
                    </w:pPr>
                    <w:r>
                      <w:rPr>
                        <w:szCs w:val="24"/>
                      </w:rPr>
                      <w:t>Esant judėjimo funkcijos sutrikimui</w:t>
                    </w:r>
                  </w:p>
                </w:tc>
                <w:tc>
                  <w:tcPr>
                    <w:tcW w:w="1469" w:type="pct"/>
                  </w:tcPr>
                  <w:p>
                    <w:pPr>
                      <w:jc w:val="center"/>
                      <w:rPr>
                        <w:szCs w:val="24"/>
                      </w:rPr>
                    </w:pPr>
                    <w:r>
                      <w:rPr>
                        <w:szCs w:val="24"/>
                      </w:rPr>
                      <w:t>14</w:t>
                    </w:r>
                  </w:p>
                </w:tc>
              </w:tr>
              <w:tr>
                <w:trPr>
                  <w:cantSplit/>
                  <w:trHeight w:val="272"/>
                </w:trPr>
                <w:tc>
                  <w:tcPr>
                    <w:tcW w:w="1770" w:type="pct"/>
                    <w:vAlign w:val="center"/>
                  </w:tcPr>
                  <w:p>
                    <w:pPr>
                      <w:ind w:hanging="9"/>
                      <w:rPr>
                        <w:szCs w:val="24"/>
                      </w:rPr>
                    </w:pPr>
                    <w:r>
                      <w:rPr>
                        <w:szCs w:val="24"/>
                      </w:rPr>
                      <w:t xml:space="preserve">Po nudegimų T22.3; T22.7; T24.3; T24.7; T25.3; T25.7; T29.3; T29.7; </w:t>
                      <w:br/>
                      <w:t>T95.0–4; T95.8; T95.9</w:t>
                    </w:r>
                  </w:p>
                </w:tc>
                <w:tc>
                  <w:tcPr>
                    <w:tcW w:w="1761" w:type="pct"/>
                    <w:vAlign w:val="center"/>
                  </w:tcPr>
                  <w:p>
                    <w:pPr>
                      <w:rPr>
                        <w:szCs w:val="24"/>
                      </w:rPr>
                    </w:pPr>
                    <w:r>
                      <w:rPr>
                        <w:szCs w:val="24"/>
                      </w:rPr>
                      <w:t>Esant sąnario (sąnarių) kontraktūrai</w:t>
                    </w:r>
                  </w:p>
                </w:tc>
                <w:tc>
                  <w:tcPr>
                    <w:tcW w:w="1469" w:type="pct"/>
                  </w:tcPr>
                  <w:p>
                    <w:pPr>
                      <w:jc w:val="center"/>
                      <w:rPr>
                        <w:szCs w:val="24"/>
                      </w:rPr>
                    </w:pPr>
                    <w:r>
                      <w:rPr>
                        <w:szCs w:val="24"/>
                      </w:rPr>
                      <w:t>14</w:t>
                    </w:r>
                  </w:p>
                </w:tc>
              </w:tr>
              <w:tr>
                <w:trPr>
                  <w:cantSplit/>
                  <w:trHeight w:val="272"/>
                </w:trPr>
                <w:tc>
                  <w:tcPr>
                    <w:tcW w:w="1770" w:type="pct"/>
                    <w:vAlign w:val="center"/>
                  </w:tcPr>
                  <w:p>
                    <w:pPr>
                      <w:ind w:hanging="9"/>
                      <w:rPr>
                        <w:szCs w:val="24"/>
                      </w:rPr>
                    </w:pPr>
                    <w:r>
                      <w:rPr>
                        <w:szCs w:val="24"/>
                      </w:rPr>
                      <w:t>Uždegiminės ir degeneracinės sąnarių ligos M05–M06; M12.5; M14; M16; M17; M19</w:t>
                    </w:r>
                  </w:p>
                  <w:p>
                    <w:pPr>
                      <w:rPr>
                        <w:szCs w:val="24"/>
                      </w:rPr>
                    </w:pPr>
                    <w:r>
                      <w:rPr>
                        <w:szCs w:val="24"/>
                      </w:rPr>
                      <w:t xml:space="preserve">Podagra ir kitos kristalinės artropatijos M10; M11 </w:t>
                    </w:r>
                  </w:p>
                  <w:p>
                    <w:pPr>
                      <w:rPr>
                        <w:szCs w:val="24"/>
                      </w:rPr>
                    </w:pPr>
                    <w:r>
                      <w:rPr>
                        <w:szCs w:val="24"/>
                      </w:rPr>
                      <w:t>Artropatijos M02–M03</w:t>
                    </w:r>
                  </w:p>
                </w:tc>
                <w:tc>
                  <w:tcPr>
                    <w:tcW w:w="1761" w:type="pct"/>
                    <w:vAlign w:val="center"/>
                  </w:tcPr>
                  <w:p>
                    <w:pPr>
                      <w:rPr>
                        <w:szCs w:val="24"/>
                      </w:rPr>
                    </w:pPr>
                    <w:r>
                      <w:rPr>
                        <w:szCs w:val="24"/>
                      </w:rPr>
                      <w:t>Esant sąnario (sąnarių) kontraktūrai</w:t>
                    </w:r>
                  </w:p>
                </w:tc>
                <w:tc>
                  <w:tcPr>
                    <w:tcW w:w="1469" w:type="pct"/>
                  </w:tcPr>
                  <w:p>
                    <w:pPr>
                      <w:jc w:val="center"/>
                      <w:rPr>
                        <w:szCs w:val="24"/>
                      </w:rPr>
                    </w:pPr>
                    <w:r>
                      <w:rPr>
                        <w:szCs w:val="24"/>
                      </w:rPr>
                      <w:t>14</w:t>
                    </w:r>
                  </w:p>
                </w:tc>
              </w:tr>
              <w:tr>
                <w:trPr>
                  <w:cantSplit/>
                  <w:trHeight w:val="272"/>
                </w:trPr>
                <w:tc>
                  <w:tcPr>
                    <w:tcW w:w="1770" w:type="pct"/>
                    <w:vAlign w:val="center"/>
                  </w:tcPr>
                  <w:p>
                    <w:pPr>
                      <w:ind w:hanging="9"/>
                      <w:rPr>
                        <w:szCs w:val="24"/>
                      </w:rPr>
                    </w:pPr>
                    <w:r>
                      <w:rPr>
                        <w:szCs w:val="24"/>
                      </w:rPr>
                      <w:t>Sisteminės jungiamojo audinio ligos (sisteminė sklerodermija, sisteminė raudonoji vilkligė, dermatomiozitai), sisteminiai vaskulitai M30–M35</w:t>
                    </w:r>
                  </w:p>
                </w:tc>
                <w:tc>
                  <w:tcPr>
                    <w:tcW w:w="1761" w:type="pct"/>
                    <w:vAlign w:val="center"/>
                  </w:tcPr>
                  <w:p>
                    <w:pPr>
                      <w:rPr>
                        <w:szCs w:val="24"/>
                      </w:rPr>
                    </w:pPr>
                    <w:r>
                      <w:rPr>
                        <w:szCs w:val="24"/>
                      </w:rPr>
                      <w:t>Bartelio indeksas daugiau kaip 85 balai</w:t>
                    </w:r>
                  </w:p>
                </w:tc>
                <w:tc>
                  <w:tcPr>
                    <w:tcW w:w="1469" w:type="pct"/>
                  </w:tcPr>
                  <w:p>
                    <w:pPr>
                      <w:jc w:val="center"/>
                      <w:rPr>
                        <w:szCs w:val="24"/>
                      </w:rPr>
                    </w:pPr>
                    <w:r>
                      <w:rPr>
                        <w:szCs w:val="24"/>
                      </w:rPr>
                      <w:t>14</w:t>
                    </w:r>
                  </w:p>
                </w:tc>
              </w:tr>
              <w:tr>
                <w:trPr>
                  <w:cantSplit/>
                  <w:trHeight w:val="272"/>
                </w:trPr>
                <w:tc>
                  <w:tcPr>
                    <w:tcW w:w="1770" w:type="pct"/>
                    <w:vAlign w:val="center"/>
                  </w:tcPr>
                  <w:p>
                    <w:pPr>
                      <w:ind w:hanging="9"/>
                      <w:rPr>
                        <w:szCs w:val="24"/>
                      </w:rPr>
                    </w:pPr>
                    <w:r>
                      <w:rPr>
                        <w:szCs w:val="24"/>
                      </w:rPr>
                      <w:t>Raumenų ir sausgyslių pažeidimai S43; S46; S73; S76; S83; S86; S93.2</w:t>
                    </w:r>
                  </w:p>
                </w:tc>
                <w:tc>
                  <w:tcPr>
                    <w:tcW w:w="1761" w:type="pct"/>
                  </w:tcPr>
                  <w:p>
                    <w:pPr>
                      <w:rPr>
                        <w:szCs w:val="24"/>
                      </w:rPr>
                    </w:pPr>
                    <w:r>
                      <w:rPr>
                        <w:szCs w:val="24"/>
                      </w:rPr>
                      <w:t>Sutrikusi judėjimo funkcija</w:t>
                    </w:r>
                  </w:p>
                </w:tc>
                <w:tc>
                  <w:tcPr>
                    <w:tcW w:w="1469" w:type="pct"/>
                  </w:tcPr>
                  <w:p>
                    <w:pPr>
                      <w:jc w:val="center"/>
                      <w:rPr>
                        <w:szCs w:val="24"/>
                      </w:rPr>
                    </w:pPr>
                    <w:r>
                      <w:rPr>
                        <w:szCs w:val="24"/>
                      </w:rPr>
                      <w:t>14</w:t>
                    </w:r>
                  </w:p>
                </w:tc>
              </w:tr>
              <w:tr>
                <w:trPr>
                  <w:cantSplit/>
                  <w:trHeight w:val="272"/>
                </w:trPr>
                <w:tc>
                  <w:tcPr>
                    <w:tcW w:w="1770" w:type="pct"/>
                    <w:vAlign w:val="center"/>
                  </w:tcPr>
                  <w:p>
                    <w:pPr>
                      <w:ind w:hanging="9"/>
                      <w:rPr>
                        <w:szCs w:val="24"/>
                      </w:rPr>
                    </w:pPr>
                    <w:r>
                      <w:rPr>
                        <w:szCs w:val="24"/>
                      </w:rPr>
                      <w:t>Po mikrochirurginių galūnių operacijų S68; S98</w:t>
                    </w:r>
                  </w:p>
                </w:tc>
                <w:tc>
                  <w:tcPr>
                    <w:tcW w:w="1761" w:type="pct"/>
                  </w:tcPr>
                  <w:p>
                    <w:pPr>
                      <w:rPr>
                        <w:szCs w:val="24"/>
                      </w:rPr>
                    </w:pPr>
                    <w:r>
                      <w:rPr>
                        <w:szCs w:val="24"/>
                      </w:rPr>
                      <w:t>Esant sąnario (sąnarių) kontraktūrai</w:t>
                    </w:r>
                  </w:p>
                </w:tc>
                <w:tc>
                  <w:tcPr>
                    <w:tcW w:w="1469" w:type="pct"/>
                  </w:tcPr>
                  <w:p>
                    <w:pPr>
                      <w:jc w:val="center"/>
                      <w:rPr>
                        <w:szCs w:val="24"/>
                      </w:rPr>
                    </w:pPr>
                    <w:r>
                      <w:rPr>
                        <w:szCs w:val="24"/>
                      </w:rPr>
                      <w:t>14</w:t>
                    </w:r>
                  </w:p>
                </w:tc>
              </w:tr>
              <w:tr>
                <w:trPr>
                  <w:cantSplit/>
                  <w:trHeight w:val="272"/>
                </w:trPr>
                <w:tc>
                  <w:tcPr>
                    <w:tcW w:w="1770" w:type="pct"/>
                    <w:vAlign w:val="center"/>
                  </w:tcPr>
                  <w:p>
                    <w:pPr>
                      <w:rPr>
                        <w:szCs w:val="24"/>
                      </w:rPr>
                    </w:pPr>
                    <w:r>
                      <w:rPr>
                        <w:szCs w:val="24"/>
                      </w:rPr>
                      <w:t>Judamojo-atramos aparato pažeidimai, sąlygoti darbo (fizinio krūvio) Y96</w:t>
                    </w:r>
                  </w:p>
                </w:tc>
                <w:tc>
                  <w:tcPr>
                    <w:tcW w:w="1761" w:type="pct"/>
                  </w:tcPr>
                  <w:p>
                    <w:pPr>
                      <w:rPr>
                        <w:szCs w:val="24"/>
                      </w:rPr>
                    </w:pPr>
                    <w:r>
                      <w:rPr>
                        <w:szCs w:val="24"/>
                      </w:rPr>
                      <w:t>Darbingumo pagal profesiją praradimo grėsmė</w:t>
                    </w:r>
                  </w:p>
                </w:tc>
                <w:tc>
                  <w:tcPr>
                    <w:tcW w:w="1469" w:type="pct"/>
                  </w:tcPr>
                  <w:p>
                    <w:pPr>
                      <w:jc w:val="center"/>
                      <w:rPr>
                        <w:szCs w:val="24"/>
                      </w:rPr>
                    </w:pPr>
                    <w:r>
                      <w:rPr>
                        <w:szCs w:val="24"/>
                      </w:rPr>
                      <w:t>12</w:t>
                    </w:r>
                  </w:p>
                </w:tc>
              </w:tr>
            </w:tbl>
            <w:p>
              <w:pPr>
                <w:rPr>
                  <w:b/>
                  <w:szCs w:val="24"/>
                </w:rPr>
              </w:pPr>
            </w:p>
          </w:sdtContent>
        </w:sdt>
        <w:sdt>
          <w:sdtPr>
            <w:alias w:val="skyrius"/>
            <w:tag w:val="part_52e28d87ff634dc8bf235b1a62d97682"/>
            <w:lock w:val="sdtLocked"/>
            <w:richText/>
          </w:sdtPr>
          <w:sdtContent>
            <w:p>
              <w:pPr>
                <w:tabs>
                  <w:tab w:val="left" w:pos="397"/>
                  <w:tab w:val="left" w:pos="1843"/>
                  <w:tab w:val="left" w:pos="2410"/>
                  <w:tab w:val="left" w:pos="2694"/>
                  <w:tab w:val="left" w:pos="3119"/>
                </w:tabs>
                <w:suppressAutoHyphens/>
                <w:jc w:val="center"/>
                <w:rPr>
                  <w:b/>
                  <w:szCs w:val="24"/>
                </w:rPr>
              </w:pPr>
              <w:sdt>
                <w:sdtPr>
                  <w:alias w:val="Numeris"/>
                  <w:tag w:val="nr_52e28d87ff634dc8bf235b1a62d97682"/>
                  <w:lock w:val="sdtLocked"/>
                  <w:richText/>
                </w:sdtPr>
                <w:sdtContent>
                  <w:r>
                    <w:rPr>
                      <w:b/>
                      <w:szCs w:val="24"/>
                    </w:rPr>
                    <w:t>IV</w:t>
                  </w:r>
                </w:sdtContent>
              </w:sdt>
              <w:r>
                <w:rPr>
                  <w:b/>
                  <w:szCs w:val="24"/>
                </w:rPr>
                <w:t xml:space="preserve"> SKYRIUS</w:t>
              </w:r>
            </w:p>
            <w:p>
              <w:pPr>
                <w:tabs>
                  <w:tab w:val="left" w:pos="397"/>
                  <w:tab w:val="left" w:pos="1843"/>
                  <w:tab w:val="left" w:pos="2410"/>
                  <w:tab w:val="left" w:pos="2694"/>
                  <w:tab w:val="left" w:pos="3119"/>
                </w:tabs>
                <w:suppressAutoHyphens/>
                <w:jc w:val="center"/>
                <w:rPr>
                  <w:b/>
                  <w:iCs/>
                  <w:szCs w:val="24"/>
                </w:rPr>
              </w:pPr>
              <w:sdt>
                <w:sdtPr>
                  <w:alias w:val="Pavadinimas"/>
                  <w:tag w:val="title_52e28d87ff634dc8bf235b1a62d97682"/>
                  <w:lock w:val="sdtLocked"/>
                  <w:richText/>
                </w:sdtPr>
                <w:sdtContent>
                  <w:r>
                    <w:rPr>
                      <w:b/>
                      <w:szCs w:val="24"/>
                    </w:rPr>
                    <w:t>ANTIRECIDYVINIO GYDYMO</w:t>
                  </w:r>
                  <w:r>
                    <w:rPr>
                      <w:b/>
                      <w:iCs/>
                      <w:szCs w:val="24"/>
                    </w:rPr>
                    <w:t xml:space="preserve"> PASLAUGŲ TEIKIMO SPECIALIEJI REIKALAVIMAI IR INDIKACIJOS</w:t>
                  </w:r>
                </w:sdtContent>
              </w:sdt>
            </w:p>
            <w:p>
              <w:pPr>
                <w:tabs>
                  <w:tab w:val="left" w:pos="397"/>
                  <w:tab w:val="left" w:pos="1843"/>
                  <w:tab w:val="left" w:pos="2410"/>
                  <w:tab w:val="left" w:pos="2694"/>
                  <w:tab w:val="left" w:pos="3119"/>
                </w:tabs>
                <w:suppressAutoHyphens/>
                <w:jc w:val="center"/>
                <w:rPr>
                  <w:b/>
                  <w:szCs w:val="24"/>
                </w:rPr>
              </w:pPr>
            </w:p>
            <w:p>
              <w:pPr>
                <w:suppressAutoHyphens/>
                <w:jc w:val="center"/>
                <w:rPr>
                  <w:b/>
                  <w:szCs w:val="24"/>
                </w:rPr>
              </w:pPr>
              <w:r>
                <w:rPr>
                  <w:b/>
                  <w:szCs w:val="24"/>
                </w:rPr>
                <w:t>Specialieji reikalavimai</w:t>
              </w:r>
            </w:p>
            <w:p>
              <w:pPr>
                <w:suppressAutoHyphens/>
                <w:jc w:val="center"/>
                <w:rPr>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9854"/>
              </w:tblGrid>
              <w:tr>
                <w:tc>
                  <w:tcPr>
                    <w:tcW w:w="5000" w:type="pct"/>
                  </w:tcPr>
                  <w:p>
                    <w:pPr>
                      <w:widowControl w:val="0"/>
                      <w:jc w:val="both"/>
                      <w:rPr>
                        <w:szCs w:val="24"/>
                      </w:rPr>
                    </w:pPr>
                    <w:r>
                      <w:rPr>
                        <w:szCs w:val="24"/>
                      </w:rPr>
                      <w:t xml:space="preserve">Paslaugos vienam pacientui per 10 darbo dienų: kineziterapija – 10 procedūrų, gydomasis masažas – 8 procedūros, fizioterapija – 5 procedūros, medicinos psichologo konsultacijos – 2, 1 socialinio darbuotojo konsultacija. </w:t>
                    </w:r>
                  </w:p>
                  <w:p>
                    <w:pPr>
                      <w:widowControl w:val="0"/>
                      <w:jc w:val="both"/>
                      <w:rPr>
                        <w:szCs w:val="24"/>
                      </w:rPr>
                    </w:pPr>
                    <w:r>
                      <w:rPr>
                        <w:szCs w:val="24"/>
                      </w:rPr>
                      <w:t xml:space="preserve">Tyrimų mastas vienam </w:t>
                    </w:r>
                    <w:r>
                      <w:rPr>
                        <w:szCs w:val="24"/>
                        <w:lang w:eastAsia="lt-LT"/>
                      </w:rPr>
                      <w:t>pacientui</w:t>
                    </w:r>
                    <w:r>
                      <w:rPr>
                        <w:szCs w:val="24"/>
                      </w:rPr>
                      <w:t xml:space="preserve"> per 10 darbo dienų: tyrimai pagal indikacijas.</w:t>
                    </w:r>
                  </w:p>
                  <w:p>
                    <w:pPr>
                      <w:widowControl w:val="0"/>
                      <w:jc w:val="both"/>
                      <w:rPr>
                        <w:szCs w:val="24"/>
                        <w:lang w:eastAsia="lt-LT"/>
                      </w:rPr>
                    </w:pPr>
                    <w:r>
                      <w:rPr>
                        <w:szCs w:val="24"/>
                        <w:lang w:eastAsia="lt-LT"/>
                      </w:rPr>
                      <w:t>Paūmėjus gretutiniam susirgimui užtikrinama reikiama antrinio lygio gydytojo specialisto konsultacija.</w:t>
                    </w:r>
                  </w:p>
                  <w:p>
                    <w:pPr>
                      <w:widowControl w:val="0"/>
                      <w:jc w:val="both"/>
                      <w:rPr>
                        <w:szCs w:val="24"/>
                        <w:lang w:eastAsia="lt-LT"/>
                      </w:rPr>
                    </w:pPr>
                  </w:p>
                  <w:p>
                    <w:pPr>
                      <w:suppressAutoHyphens/>
                      <w:jc w:val="both"/>
                      <w:rPr>
                        <w:szCs w:val="24"/>
                      </w:rPr>
                    </w:pPr>
                    <w:r>
                      <w:rPr>
                        <w:szCs w:val="24"/>
                        <w:lang w:eastAsia="lt-LT"/>
                      </w:rPr>
                      <w:t xml:space="preserve">Pastaba. </w:t>
                    </w:r>
                    <w:r>
                      <w:rPr>
                        <w:szCs w:val="24"/>
                      </w:rPr>
                      <w:t>Paslaugų skaičius vienam pacientui, nustatytas šiuose reikalavimuose, gali būti didinamas arba mažinamas, atsižvelgiant į paciento būklę ir indikacijas, tai pagrindžiant ir padarius atitinkamus įrašus gydymo stacionare ligos istorijoje (forma Nr. 003/a).</w:t>
                    </w:r>
                  </w:p>
                </w:tc>
              </w:tr>
            </w:tbl>
            <w:p>
              <w:pPr>
                <w:rPr>
                  <w:b/>
                  <w:szCs w:val="24"/>
                </w:rPr>
              </w:pPr>
            </w:p>
            <w:p>
              <w:pPr>
                <w:rPr>
                  <w:b/>
                  <w:szCs w:val="24"/>
                </w:rPr>
              </w:pPr>
              <w:r>
                <w:rPr>
                  <w:b/>
                  <w:szCs w:val="24"/>
                </w:rPr>
                <w:br w:type="page"/>
              </w:r>
            </w:p>
            <w:p>
              <w:pPr>
                <w:suppressAutoHyphens/>
                <w:jc w:val="center"/>
                <w:rPr>
                  <w:b/>
                  <w:szCs w:val="24"/>
                </w:rPr>
              </w:pPr>
              <w:r>
                <w:rPr>
                  <w:b/>
                  <w:szCs w:val="24"/>
                </w:rPr>
                <w:t>Indikacijos</w:t>
              </w:r>
            </w:p>
            <w:p>
              <w:pPr>
                <w:suppressAutoHyphens/>
                <w:jc w:val="center"/>
                <w:rPr>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250"/>
                <w:gridCol w:w="6787"/>
                <w:gridCol w:w="1817"/>
              </w:tblGrid>
              <w:tr>
                <w:tc>
                  <w:tcPr>
                    <w:tcW w:w="634" w:type="pct"/>
                    <w:vAlign w:val="center"/>
                  </w:tcPr>
                  <w:p>
                    <w:pPr>
                      <w:jc w:val="center"/>
                      <w:rPr>
                        <w:szCs w:val="24"/>
                      </w:rPr>
                    </w:pPr>
                    <w:r>
                      <w:rPr>
                        <w:szCs w:val="24"/>
                      </w:rPr>
                      <w:t>Eil. Nr.</w:t>
                    </w:r>
                  </w:p>
                </w:tc>
                <w:tc>
                  <w:tcPr>
                    <w:tcW w:w="3444" w:type="pct"/>
                    <w:vAlign w:val="center"/>
                  </w:tcPr>
                  <w:p>
                    <w:pPr>
                      <w:ind w:firstLine="737"/>
                      <w:jc w:val="center"/>
                      <w:rPr>
                        <w:szCs w:val="24"/>
                      </w:rPr>
                    </w:pPr>
                    <w:r>
                      <w:rPr>
                        <w:szCs w:val="24"/>
                      </w:rPr>
                      <w:t>Diagnozės</w:t>
                    </w:r>
                  </w:p>
                </w:tc>
                <w:tc>
                  <w:tcPr>
                    <w:tcW w:w="922" w:type="pct"/>
                    <w:vAlign w:val="center"/>
                  </w:tcPr>
                  <w:p>
                    <w:pPr>
                      <w:jc w:val="center"/>
                      <w:rPr>
                        <w:szCs w:val="24"/>
                      </w:rPr>
                    </w:pPr>
                    <w:r>
                      <w:rPr>
                        <w:szCs w:val="24"/>
                      </w:rPr>
                      <w:t>Gydymo trukmė</w:t>
                    </w:r>
                  </w:p>
                  <w:p>
                    <w:pPr>
                      <w:jc w:val="center"/>
                      <w:rPr>
                        <w:szCs w:val="24"/>
                      </w:rPr>
                    </w:pPr>
                    <w:r>
                      <w:rPr>
                        <w:szCs w:val="24"/>
                      </w:rPr>
                      <w:t>(kalendorinėmis dienomis)</w:t>
                    </w:r>
                  </w:p>
                </w:tc>
              </w:tr>
              <w:tr>
                <w:tc>
                  <w:tcPr>
                    <w:tcW w:w="634" w:type="pct"/>
                  </w:tcPr>
                  <w:p>
                    <w:pPr>
                      <w:ind w:firstLine="284"/>
                      <w:rPr>
                        <w:szCs w:val="24"/>
                      </w:rPr>
                    </w:pPr>
                    <w:r>
                      <w:rPr>
                        <w:szCs w:val="24"/>
                      </w:rPr>
                      <w:t>1.</w:t>
                    </w:r>
                  </w:p>
                </w:tc>
                <w:tc>
                  <w:tcPr>
                    <w:tcW w:w="3444" w:type="pct"/>
                  </w:tcPr>
                  <w:p>
                    <w:pPr>
                      <w:rPr>
                        <w:szCs w:val="24"/>
                      </w:rPr>
                    </w:pPr>
                    <w:r>
                      <w:rPr>
                        <w:szCs w:val="24"/>
                      </w:rPr>
                      <w:t>Psichikos ir elgesio sutrikimai</w:t>
                    </w:r>
                  </w:p>
                </w:tc>
                <w:tc>
                  <w:tcPr>
                    <w:tcW w:w="922" w:type="pct"/>
                  </w:tcPr>
                  <w:p>
                    <w:pPr>
                      <w:jc w:val="center"/>
                      <w:rPr>
                        <w:szCs w:val="24"/>
                      </w:rPr>
                    </w:pPr>
                    <w:r>
                      <w:rPr>
                        <w:szCs w:val="24"/>
                      </w:rPr>
                      <w:t>12</w:t>
                    </w:r>
                  </w:p>
                </w:tc>
              </w:tr>
              <w:tr>
                <w:tc>
                  <w:tcPr>
                    <w:tcW w:w="634" w:type="pct"/>
                  </w:tcPr>
                  <w:p>
                    <w:pPr>
                      <w:ind w:firstLine="284"/>
                      <w:rPr>
                        <w:szCs w:val="24"/>
                      </w:rPr>
                    </w:pPr>
                    <w:r>
                      <w:rPr>
                        <w:szCs w:val="24"/>
                      </w:rPr>
                      <w:t>1.1.</w:t>
                    </w:r>
                  </w:p>
                </w:tc>
                <w:tc>
                  <w:tcPr>
                    <w:tcW w:w="3444" w:type="pct"/>
                  </w:tcPr>
                  <w:p>
                    <w:pPr>
                      <w:rPr>
                        <w:szCs w:val="24"/>
                      </w:rPr>
                    </w:pPr>
                    <w:r>
                      <w:rPr>
                        <w:szCs w:val="24"/>
                      </w:rPr>
                      <w:t>Somatoforminė autonominė disfunkcija F45.3</w:t>
                    </w:r>
                  </w:p>
                </w:tc>
                <w:tc>
                  <w:tcPr>
                    <w:tcW w:w="922" w:type="pct"/>
                  </w:tcPr>
                  <w:p>
                    <w:pPr>
                      <w:jc w:val="center"/>
                      <w:rPr>
                        <w:szCs w:val="24"/>
                      </w:rPr>
                    </w:pPr>
                    <w:r>
                      <w:rPr>
                        <w:szCs w:val="24"/>
                      </w:rPr>
                      <w:t>12</w:t>
                    </w:r>
                  </w:p>
                </w:tc>
              </w:tr>
              <w:tr>
                <w:tc>
                  <w:tcPr>
                    <w:tcW w:w="634" w:type="pct"/>
                  </w:tcPr>
                  <w:p>
                    <w:pPr>
                      <w:ind w:firstLine="284"/>
                      <w:rPr>
                        <w:szCs w:val="24"/>
                      </w:rPr>
                    </w:pPr>
                    <w:r>
                      <w:rPr>
                        <w:szCs w:val="24"/>
                      </w:rPr>
                      <w:t>1.2.</w:t>
                    </w:r>
                  </w:p>
                </w:tc>
                <w:tc>
                  <w:tcPr>
                    <w:tcW w:w="3444" w:type="pct"/>
                  </w:tcPr>
                  <w:p>
                    <w:pPr>
                      <w:rPr>
                        <w:szCs w:val="24"/>
                      </w:rPr>
                    </w:pPr>
                    <w:r>
                      <w:rPr>
                        <w:szCs w:val="24"/>
                      </w:rPr>
                      <w:t>Neurastenija F48.0</w:t>
                    </w:r>
                  </w:p>
                </w:tc>
                <w:tc>
                  <w:tcPr>
                    <w:tcW w:w="922" w:type="pct"/>
                  </w:tcPr>
                  <w:p>
                    <w:pPr>
                      <w:jc w:val="center"/>
                      <w:rPr>
                        <w:szCs w:val="24"/>
                      </w:rPr>
                    </w:pPr>
                    <w:r>
                      <w:rPr>
                        <w:szCs w:val="24"/>
                      </w:rPr>
                      <w:t>12</w:t>
                    </w:r>
                  </w:p>
                </w:tc>
              </w:tr>
              <w:tr>
                <w:tc>
                  <w:tcPr>
                    <w:tcW w:w="634" w:type="pct"/>
                  </w:tcPr>
                  <w:p>
                    <w:pPr>
                      <w:ind w:firstLine="284"/>
                      <w:rPr>
                        <w:szCs w:val="24"/>
                      </w:rPr>
                    </w:pPr>
                    <w:r>
                      <w:rPr>
                        <w:szCs w:val="24"/>
                      </w:rPr>
                      <w:t>2.</w:t>
                    </w:r>
                  </w:p>
                </w:tc>
                <w:tc>
                  <w:tcPr>
                    <w:tcW w:w="3444" w:type="pct"/>
                  </w:tcPr>
                  <w:p>
                    <w:pPr>
                      <w:rPr>
                        <w:szCs w:val="24"/>
                      </w:rPr>
                    </w:pPr>
                    <w:r>
                      <w:rPr>
                        <w:bCs/>
                        <w:szCs w:val="24"/>
                      </w:rPr>
                      <w:t>Nervų sistemos ligos</w:t>
                    </w:r>
                  </w:p>
                </w:tc>
                <w:tc>
                  <w:tcPr>
                    <w:tcW w:w="922" w:type="pct"/>
                  </w:tcPr>
                  <w:p>
                    <w:pPr>
                      <w:jc w:val="center"/>
                      <w:rPr>
                        <w:szCs w:val="24"/>
                      </w:rPr>
                    </w:pPr>
                    <w:r>
                      <w:rPr>
                        <w:szCs w:val="24"/>
                      </w:rPr>
                      <w:t>12</w:t>
                    </w:r>
                  </w:p>
                </w:tc>
              </w:tr>
              <w:tr>
                <w:tc>
                  <w:tcPr>
                    <w:tcW w:w="634" w:type="pct"/>
                  </w:tcPr>
                  <w:p>
                    <w:pPr>
                      <w:ind w:firstLine="284"/>
                      <w:rPr>
                        <w:szCs w:val="24"/>
                      </w:rPr>
                    </w:pPr>
                    <w:r>
                      <w:rPr>
                        <w:szCs w:val="24"/>
                      </w:rPr>
                      <w:t>2.1.</w:t>
                    </w:r>
                  </w:p>
                </w:tc>
                <w:tc>
                  <w:tcPr>
                    <w:tcW w:w="3444" w:type="pct"/>
                  </w:tcPr>
                  <w:p>
                    <w:pPr>
                      <w:rPr>
                        <w:szCs w:val="24"/>
                      </w:rPr>
                    </w:pPr>
                    <w:r>
                      <w:rPr>
                        <w:szCs w:val="24"/>
                      </w:rPr>
                      <w:t>Nevertebrogeniniai ir vertebrogeniniai periferinės nervų sistemos pažeidimai (lėtiniai radikulitai, radikulopatijos, neuropatijos, polineuropatijos, pleksopatijos) remisijos metu. G54.0–G54.4, G54.8; G55.0–G55.3; M50.1; M51.1; M54.1–M54.4</w:t>
                    </w:r>
                  </w:p>
                </w:tc>
                <w:tc>
                  <w:tcPr>
                    <w:tcW w:w="922" w:type="pct"/>
                  </w:tcPr>
                  <w:p>
                    <w:pPr>
                      <w:jc w:val="center"/>
                      <w:rPr>
                        <w:szCs w:val="24"/>
                      </w:rPr>
                    </w:pPr>
                    <w:r>
                      <w:rPr>
                        <w:szCs w:val="24"/>
                      </w:rPr>
                      <w:t>12</w:t>
                    </w:r>
                  </w:p>
                </w:tc>
              </w:tr>
              <w:tr>
                <w:tc>
                  <w:tcPr>
                    <w:tcW w:w="634" w:type="pct"/>
                  </w:tcPr>
                  <w:p>
                    <w:pPr>
                      <w:ind w:firstLine="284"/>
                      <w:rPr>
                        <w:szCs w:val="24"/>
                      </w:rPr>
                    </w:pPr>
                    <w:r>
                      <w:rPr>
                        <w:szCs w:val="24"/>
                      </w:rPr>
                      <w:t>2.2.</w:t>
                    </w:r>
                  </w:p>
                </w:tc>
                <w:tc>
                  <w:tcPr>
                    <w:tcW w:w="3444" w:type="pct"/>
                  </w:tcPr>
                  <w:p>
                    <w:pPr>
                      <w:rPr>
                        <w:szCs w:val="24"/>
                      </w:rPr>
                    </w:pPr>
                    <w:r>
                      <w:rPr>
                        <w:szCs w:val="24"/>
                      </w:rPr>
                      <w:t>Pradiniai ir praeinantys galvos smegenų kraujotakos sutrikimai (praėjus 3–4 mėn. po priepuolio) G45.0–G45.2</w:t>
                    </w:r>
                  </w:p>
                </w:tc>
                <w:tc>
                  <w:tcPr>
                    <w:tcW w:w="922" w:type="pct"/>
                  </w:tcPr>
                  <w:p>
                    <w:pPr>
                      <w:jc w:val="center"/>
                      <w:rPr>
                        <w:szCs w:val="24"/>
                      </w:rPr>
                    </w:pPr>
                    <w:r>
                      <w:rPr>
                        <w:szCs w:val="24"/>
                      </w:rPr>
                      <w:t>12</w:t>
                    </w:r>
                  </w:p>
                </w:tc>
              </w:tr>
              <w:tr>
                <w:tc>
                  <w:tcPr>
                    <w:tcW w:w="634" w:type="pct"/>
                  </w:tcPr>
                  <w:p>
                    <w:pPr>
                      <w:ind w:firstLine="284"/>
                      <w:rPr>
                        <w:szCs w:val="24"/>
                      </w:rPr>
                    </w:pPr>
                    <w:r>
                      <w:rPr>
                        <w:szCs w:val="24"/>
                      </w:rPr>
                      <w:t>3.</w:t>
                    </w:r>
                  </w:p>
                </w:tc>
                <w:tc>
                  <w:tcPr>
                    <w:tcW w:w="3444" w:type="pct"/>
                  </w:tcPr>
                  <w:p>
                    <w:pPr>
                      <w:rPr>
                        <w:szCs w:val="24"/>
                      </w:rPr>
                    </w:pPr>
                    <w:r>
                      <w:rPr>
                        <w:bCs/>
                        <w:szCs w:val="24"/>
                      </w:rPr>
                      <w:t>Kraujotakos sistemos ligos</w:t>
                    </w:r>
                  </w:p>
                </w:tc>
                <w:tc>
                  <w:tcPr>
                    <w:tcW w:w="922" w:type="pct"/>
                  </w:tcPr>
                  <w:p>
                    <w:pPr>
                      <w:jc w:val="center"/>
                      <w:rPr>
                        <w:szCs w:val="24"/>
                      </w:rPr>
                    </w:pPr>
                    <w:r>
                      <w:rPr>
                        <w:szCs w:val="24"/>
                      </w:rPr>
                      <w:t>12</w:t>
                    </w:r>
                  </w:p>
                </w:tc>
              </w:tr>
              <w:tr>
                <w:tc>
                  <w:tcPr>
                    <w:tcW w:w="634" w:type="pct"/>
                  </w:tcPr>
                  <w:p>
                    <w:pPr>
                      <w:ind w:firstLine="284"/>
                      <w:rPr>
                        <w:szCs w:val="24"/>
                      </w:rPr>
                    </w:pPr>
                    <w:r>
                      <w:rPr>
                        <w:szCs w:val="24"/>
                      </w:rPr>
                      <w:t>3.1.</w:t>
                    </w:r>
                  </w:p>
                </w:tc>
                <w:tc>
                  <w:tcPr>
                    <w:tcW w:w="3444" w:type="pct"/>
                  </w:tcPr>
                  <w:p>
                    <w:pPr>
                      <w:rPr>
                        <w:szCs w:val="24"/>
                      </w:rPr>
                    </w:pPr>
                    <w:r>
                      <w:rPr>
                        <w:szCs w:val="24"/>
                      </w:rPr>
                      <w:t>Lėtinė išeminė širdies liga (stabili klinikinė eiga ir ne didesnis kaip I stadijos kraujotakos nepakankamumas) I25.0</w:t>
                    </w:r>
                  </w:p>
                </w:tc>
                <w:tc>
                  <w:tcPr>
                    <w:tcW w:w="922" w:type="pct"/>
                  </w:tcPr>
                  <w:p>
                    <w:pPr>
                      <w:jc w:val="center"/>
                      <w:rPr>
                        <w:szCs w:val="24"/>
                      </w:rPr>
                    </w:pPr>
                    <w:r>
                      <w:rPr>
                        <w:szCs w:val="24"/>
                      </w:rPr>
                      <w:t>12</w:t>
                    </w:r>
                  </w:p>
                </w:tc>
              </w:tr>
              <w:tr>
                <w:tc>
                  <w:tcPr>
                    <w:tcW w:w="634" w:type="pct"/>
                  </w:tcPr>
                  <w:p>
                    <w:pPr>
                      <w:ind w:firstLine="284"/>
                      <w:rPr>
                        <w:szCs w:val="24"/>
                      </w:rPr>
                    </w:pPr>
                    <w:r>
                      <w:rPr>
                        <w:szCs w:val="24"/>
                      </w:rPr>
                      <w:t>3.2.</w:t>
                    </w:r>
                  </w:p>
                </w:tc>
                <w:tc>
                  <w:tcPr>
                    <w:tcW w:w="3444" w:type="pct"/>
                  </w:tcPr>
                  <w:p>
                    <w:pPr>
                      <w:rPr>
                        <w:szCs w:val="24"/>
                      </w:rPr>
                    </w:pPr>
                    <w:r>
                      <w:rPr>
                        <w:szCs w:val="24"/>
                      </w:rPr>
                      <w:t>Pirminė arterinė hipertenzija (ne didesnis kaip 3 laipsnio kraujospūdžio padidėjimas ir ne didesnis kaip B stadijos širdies nepakankamumas) I10–I 13</w:t>
                    </w:r>
                  </w:p>
                </w:tc>
                <w:tc>
                  <w:tcPr>
                    <w:tcW w:w="922" w:type="pct"/>
                  </w:tcPr>
                  <w:p>
                    <w:pPr>
                      <w:jc w:val="center"/>
                      <w:rPr>
                        <w:szCs w:val="24"/>
                      </w:rPr>
                    </w:pPr>
                    <w:r>
                      <w:rPr>
                        <w:szCs w:val="24"/>
                      </w:rPr>
                      <w:t>12</w:t>
                    </w:r>
                  </w:p>
                </w:tc>
              </w:tr>
              <w:tr>
                <w:tc>
                  <w:tcPr>
                    <w:tcW w:w="634" w:type="pct"/>
                  </w:tcPr>
                  <w:p>
                    <w:pPr>
                      <w:ind w:firstLine="284"/>
                      <w:rPr>
                        <w:szCs w:val="24"/>
                      </w:rPr>
                    </w:pPr>
                    <w:r>
                      <w:rPr>
                        <w:szCs w:val="24"/>
                      </w:rPr>
                      <w:t>3.3.</w:t>
                    </w:r>
                  </w:p>
                </w:tc>
                <w:tc>
                  <w:tcPr>
                    <w:tcW w:w="3444" w:type="pct"/>
                  </w:tcPr>
                  <w:p>
                    <w:pPr>
                      <w:rPr>
                        <w:szCs w:val="24"/>
                      </w:rPr>
                    </w:pPr>
                    <w:r>
                      <w:rPr>
                        <w:szCs w:val="24"/>
                      </w:rPr>
                      <w:t>Hipotenzija I95.0–I95.1</w:t>
                    </w:r>
                  </w:p>
                </w:tc>
                <w:tc>
                  <w:tcPr>
                    <w:tcW w:w="922" w:type="pct"/>
                  </w:tcPr>
                  <w:p>
                    <w:pPr>
                      <w:jc w:val="center"/>
                      <w:rPr>
                        <w:szCs w:val="24"/>
                      </w:rPr>
                    </w:pPr>
                    <w:r>
                      <w:rPr>
                        <w:szCs w:val="24"/>
                      </w:rPr>
                      <w:t>12</w:t>
                    </w:r>
                  </w:p>
                </w:tc>
              </w:tr>
              <w:tr>
                <w:tc>
                  <w:tcPr>
                    <w:tcW w:w="634" w:type="pct"/>
                  </w:tcPr>
                  <w:p>
                    <w:pPr>
                      <w:ind w:firstLine="284"/>
                      <w:rPr>
                        <w:szCs w:val="24"/>
                      </w:rPr>
                    </w:pPr>
                    <w:r>
                      <w:rPr>
                        <w:szCs w:val="24"/>
                      </w:rPr>
                      <w:t>3.4.</w:t>
                    </w:r>
                  </w:p>
                </w:tc>
                <w:tc>
                  <w:tcPr>
                    <w:tcW w:w="3444" w:type="pct"/>
                  </w:tcPr>
                  <w:p>
                    <w:pPr>
                      <w:rPr>
                        <w:szCs w:val="24"/>
                      </w:rPr>
                    </w:pPr>
                    <w:r>
                      <w:rPr>
                        <w:szCs w:val="24"/>
                      </w:rPr>
                      <w:t>Lėtinis venų nepakankamumas I83</w:t>
                    </w:r>
                  </w:p>
                </w:tc>
                <w:tc>
                  <w:tcPr>
                    <w:tcW w:w="922" w:type="pct"/>
                  </w:tcPr>
                  <w:p>
                    <w:pPr>
                      <w:jc w:val="center"/>
                      <w:rPr>
                        <w:szCs w:val="24"/>
                      </w:rPr>
                    </w:pPr>
                    <w:r>
                      <w:rPr>
                        <w:szCs w:val="24"/>
                      </w:rPr>
                      <w:t>12</w:t>
                    </w:r>
                  </w:p>
                </w:tc>
              </w:tr>
              <w:tr>
                <w:tc>
                  <w:tcPr>
                    <w:tcW w:w="634" w:type="pct"/>
                  </w:tcPr>
                  <w:p>
                    <w:pPr>
                      <w:ind w:firstLine="284"/>
                      <w:rPr>
                        <w:szCs w:val="24"/>
                      </w:rPr>
                    </w:pPr>
                    <w:r>
                      <w:rPr>
                        <w:szCs w:val="24"/>
                      </w:rPr>
                      <w:t>3.5.</w:t>
                    </w:r>
                  </w:p>
                </w:tc>
                <w:tc>
                  <w:tcPr>
                    <w:tcW w:w="3444" w:type="pct"/>
                  </w:tcPr>
                  <w:p>
                    <w:pPr>
                      <w:rPr>
                        <w:szCs w:val="24"/>
                      </w:rPr>
                    </w:pPr>
                    <w:r>
                      <w:rPr>
                        <w:szCs w:val="24"/>
                      </w:rPr>
                      <w:t>Mitralinio vožtuvo nepakankamumas arba stenozė (ne didesnis kaip I laipsnio kraujotakos nepakankamumas) I105.8</w:t>
                    </w:r>
                  </w:p>
                </w:tc>
                <w:tc>
                  <w:tcPr>
                    <w:tcW w:w="922" w:type="pct"/>
                  </w:tcPr>
                  <w:p>
                    <w:pPr>
                      <w:jc w:val="center"/>
                      <w:rPr>
                        <w:szCs w:val="24"/>
                      </w:rPr>
                    </w:pPr>
                    <w:r>
                      <w:rPr>
                        <w:szCs w:val="24"/>
                      </w:rPr>
                      <w:t>12</w:t>
                    </w:r>
                  </w:p>
                </w:tc>
              </w:tr>
              <w:tr>
                <w:tc>
                  <w:tcPr>
                    <w:tcW w:w="634" w:type="pct"/>
                  </w:tcPr>
                  <w:p>
                    <w:pPr>
                      <w:ind w:firstLine="284"/>
                      <w:rPr>
                        <w:szCs w:val="24"/>
                      </w:rPr>
                    </w:pPr>
                    <w:r>
                      <w:rPr>
                        <w:szCs w:val="24"/>
                      </w:rPr>
                      <w:t>4.</w:t>
                    </w:r>
                  </w:p>
                </w:tc>
                <w:tc>
                  <w:tcPr>
                    <w:tcW w:w="3444" w:type="pct"/>
                  </w:tcPr>
                  <w:p>
                    <w:pPr>
                      <w:rPr>
                        <w:szCs w:val="24"/>
                      </w:rPr>
                    </w:pPr>
                    <w:r>
                      <w:rPr>
                        <w:bCs/>
                        <w:szCs w:val="24"/>
                      </w:rPr>
                      <w:t xml:space="preserve">Ausų, nosies, gerklės ligos </w:t>
                    </w:r>
                  </w:p>
                </w:tc>
                <w:tc>
                  <w:tcPr>
                    <w:tcW w:w="922" w:type="pct"/>
                  </w:tcPr>
                  <w:p>
                    <w:pPr>
                      <w:jc w:val="center"/>
                      <w:rPr>
                        <w:szCs w:val="24"/>
                      </w:rPr>
                    </w:pPr>
                    <w:r>
                      <w:rPr>
                        <w:szCs w:val="24"/>
                      </w:rPr>
                      <w:t>12</w:t>
                    </w:r>
                  </w:p>
                </w:tc>
              </w:tr>
              <w:tr>
                <w:tc>
                  <w:tcPr>
                    <w:tcW w:w="634" w:type="pct"/>
                  </w:tcPr>
                  <w:p>
                    <w:pPr>
                      <w:ind w:firstLine="284"/>
                      <w:rPr>
                        <w:szCs w:val="24"/>
                      </w:rPr>
                    </w:pPr>
                    <w:r>
                      <w:rPr>
                        <w:szCs w:val="24"/>
                      </w:rPr>
                      <w:t>4.1.</w:t>
                    </w:r>
                  </w:p>
                </w:tc>
                <w:tc>
                  <w:tcPr>
                    <w:tcW w:w="3444" w:type="pct"/>
                  </w:tcPr>
                  <w:p>
                    <w:pPr>
                      <w:rPr>
                        <w:szCs w:val="24"/>
                      </w:rPr>
                    </w:pPr>
                    <w:r>
                      <w:rPr>
                        <w:szCs w:val="24"/>
                      </w:rPr>
                      <w:t>Lėtinis (kompensuotas) tonzilitas J35.0</w:t>
                    </w:r>
                  </w:p>
                </w:tc>
                <w:tc>
                  <w:tcPr>
                    <w:tcW w:w="922" w:type="pct"/>
                  </w:tcPr>
                  <w:p>
                    <w:pPr>
                      <w:jc w:val="center"/>
                      <w:rPr>
                        <w:szCs w:val="24"/>
                      </w:rPr>
                    </w:pPr>
                    <w:r>
                      <w:rPr>
                        <w:szCs w:val="24"/>
                      </w:rPr>
                      <w:t>12</w:t>
                    </w:r>
                  </w:p>
                </w:tc>
              </w:tr>
              <w:tr>
                <w:trPr>
                  <w:trHeight w:val="344"/>
                </w:trPr>
                <w:tc>
                  <w:tcPr>
                    <w:tcW w:w="634" w:type="pct"/>
                  </w:tcPr>
                  <w:p>
                    <w:pPr>
                      <w:ind w:firstLine="284"/>
                      <w:rPr>
                        <w:szCs w:val="24"/>
                      </w:rPr>
                    </w:pPr>
                    <w:r>
                      <w:rPr>
                        <w:szCs w:val="24"/>
                      </w:rPr>
                      <w:t>4.2.</w:t>
                    </w:r>
                  </w:p>
                </w:tc>
                <w:tc>
                  <w:tcPr>
                    <w:tcW w:w="3444" w:type="pct"/>
                  </w:tcPr>
                  <w:p>
                    <w:pPr>
                      <w:rPr>
                        <w:szCs w:val="24"/>
                      </w:rPr>
                    </w:pPr>
                    <w:r>
                      <w:rPr>
                        <w:szCs w:val="24"/>
                      </w:rPr>
                      <w:t>Lėtinis nasofaringitas J31.1</w:t>
                    </w:r>
                  </w:p>
                </w:tc>
                <w:tc>
                  <w:tcPr>
                    <w:tcW w:w="922" w:type="pct"/>
                  </w:tcPr>
                  <w:p>
                    <w:pPr>
                      <w:jc w:val="center"/>
                      <w:rPr>
                        <w:szCs w:val="24"/>
                      </w:rPr>
                    </w:pPr>
                    <w:r>
                      <w:rPr>
                        <w:szCs w:val="24"/>
                      </w:rPr>
                      <w:t>12</w:t>
                    </w:r>
                  </w:p>
                </w:tc>
              </w:tr>
              <w:tr>
                <w:tc>
                  <w:tcPr>
                    <w:tcW w:w="634" w:type="pct"/>
                  </w:tcPr>
                  <w:p>
                    <w:pPr>
                      <w:ind w:firstLine="284"/>
                      <w:rPr>
                        <w:szCs w:val="24"/>
                      </w:rPr>
                    </w:pPr>
                    <w:r>
                      <w:rPr>
                        <w:szCs w:val="24"/>
                      </w:rPr>
                      <w:t>4.3.</w:t>
                    </w:r>
                  </w:p>
                </w:tc>
                <w:tc>
                  <w:tcPr>
                    <w:tcW w:w="3444" w:type="pct"/>
                  </w:tcPr>
                  <w:p>
                    <w:pPr>
                      <w:rPr>
                        <w:szCs w:val="24"/>
                      </w:rPr>
                    </w:pPr>
                    <w:r>
                      <w:rPr>
                        <w:szCs w:val="24"/>
                      </w:rPr>
                      <w:t>Lėtinis laringitas ir laringotracheitas J37.0–J37.1</w:t>
                    </w:r>
                  </w:p>
                </w:tc>
                <w:tc>
                  <w:tcPr>
                    <w:tcW w:w="922" w:type="pct"/>
                  </w:tcPr>
                  <w:p>
                    <w:pPr>
                      <w:jc w:val="center"/>
                      <w:rPr>
                        <w:szCs w:val="24"/>
                      </w:rPr>
                    </w:pPr>
                    <w:r>
                      <w:rPr>
                        <w:szCs w:val="24"/>
                      </w:rPr>
                      <w:t>12</w:t>
                    </w:r>
                  </w:p>
                </w:tc>
              </w:tr>
              <w:tr>
                <w:tc>
                  <w:tcPr>
                    <w:tcW w:w="634" w:type="pct"/>
                  </w:tcPr>
                  <w:p>
                    <w:pPr>
                      <w:ind w:firstLine="284"/>
                      <w:rPr>
                        <w:szCs w:val="24"/>
                      </w:rPr>
                    </w:pPr>
                    <w:r>
                      <w:rPr>
                        <w:szCs w:val="24"/>
                      </w:rPr>
                      <w:t>4.4.</w:t>
                    </w:r>
                  </w:p>
                </w:tc>
                <w:tc>
                  <w:tcPr>
                    <w:tcW w:w="3444" w:type="pct"/>
                  </w:tcPr>
                  <w:p>
                    <w:pPr>
                      <w:rPr>
                        <w:strike/>
                        <w:szCs w:val="24"/>
                      </w:rPr>
                    </w:pPr>
                    <w:r>
                      <w:rPr>
                        <w:szCs w:val="24"/>
                      </w:rPr>
                      <w:t>Otosklerozė H80</w:t>
                    </w:r>
                  </w:p>
                </w:tc>
                <w:tc>
                  <w:tcPr>
                    <w:tcW w:w="922" w:type="pct"/>
                  </w:tcPr>
                  <w:p>
                    <w:pPr>
                      <w:jc w:val="center"/>
                      <w:rPr>
                        <w:szCs w:val="24"/>
                      </w:rPr>
                    </w:pPr>
                    <w:r>
                      <w:rPr>
                        <w:szCs w:val="24"/>
                      </w:rPr>
                      <w:t>12</w:t>
                    </w:r>
                  </w:p>
                </w:tc>
              </w:tr>
              <w:tr>
                <w:tc>
                  <w:tcPr>
                    <w:tcW w:w="634" w:type="pct"/>
                  </w:tcPr>
                  <w:p>
                    <w:pPr>
                      <w:ind w:firstLine="284"/>
                      <w:rPr>
                        <w:szCs w:val="24"/>
                      </w:rPr>
                    </w:pPr>
                    <w:r>
                      <w:rPr>
                        <w:szCs w:val="24"/>
                      </w:rPr>
                      <w:t>4.5.</w:t>
                    </w:r>
                  </w:p>
                </w:tc>
                <w:tc>
                  <w:tcPr>
                    <w:tcW w:w="3444" w:type="pct"/>
                  </w:tcPr>
                  <w:p>
                    <w:pPr>
                      <w:rPr>
                        <w:szCs w:val="24"/>
                      </w:rPr>
                    </w:pPr>
                    <w:r>
                      <w:rPr>
                        <w:szCs w:val="24"/>
                      </w:rPr>
                      <w:t>Lėtinis sinusitas J32.0–J32.4</w:t>
                    </w:r>
                  </w:p>
                </w:tc>
                <w:tc>
                  <w:tcPr>
                    <w:tcW w:w="922" w:type="pct"/>
                  </w:tcPr>
                  <w:p>
                    <w:pPr>
                      <w:jc w:val="center"/>
                      <w:rPr>
                        <w:szCs w:val="24"/>
                      </w:rPr>
                    </w:pPr>
                    <w:r>
                      <w:rPr>
                        <w:szCs w:val="24"/>
                      </w:rPr>
                      <w:t>12</w:t>
                    </w:r>
                  </w:p>
                </w:tc>
              </w:tr>
              <w:tr>
                <w:tc>
                  <w:tcPr>
                    <w:tcW w:w="634" w:type="pct"/>
                  </w:tcPr>
                  <w:p>
                    <w:pPr>
                      <w:ind w:firstLine="284"/>
                      <w:rPr>
                        <w:szCs w:val="24"/>
                      </w:rPr>
                    </w:pPr>
                    <w:r>
                      <w:rPr>
                        <w:szCs w:val="24"/>
                      </w:rPr>
                      <w:t>5.</w:t>
                    </w:r>
                  </w:p>
                </w:tc>
                <w:tc>
                  <w:tcPr>
                    <w:tcW w:w="3444" w:type="pct"/>
                  </w:tcPr>
                  <w:p>
                    <w:pPr>
                      <w:rPr>
                        <w:szCs w:val="24"/>
                      </w:rPr>
                    </w:pPr>
                    <w:r>
                      <w:rPr>
                        <w:szCs w:val="24"/>
                      </w:rPr>
                      <w:t>Kvėpavimo sistemos ligos</w:t>
                    </w:r>
                  </w:p>
                </w:tc>
                <w:tc>
                  <w:tcPr>
                    <w:tcW w:w="922" w:type="pct"/>
                  </w:tcPr>
                  <w:p>
                    <w:pPr>
                      <w:jc w:val="center"/>
                      <w:rPr>
                        <w:szCs w:val="24"/>
                      </w:rPr>
                    </w:pPr>
                    <w:r>
                      <w:rPr>
                        <w:szCs w:val="24"/>
                      </w:rPr>
                      <w:t>12</w:t>
                    </w:r>
                  </w:p>
                </w:tc>
              </w:tr>
              <w:tr>
                <w:tc>
                  <w:tcPr>
                    <w:tcW w:w="634" w:type="pct"/>
                  </w:tcPr>
                  <w:p>
                    <w:pPr>
                      <w:ind w:firstLine="284"/>
                      <w:rPr>
                        <w:szCs w:val="24"/>
                      </w:rPr>
                    </w:pPr>
                    <w:r>
                      <w:rPr>
                        <w:szCs w:val="24"/>
                      </w:rPr>
                      <w:t>5.1.</w:t>
                    </w:r>
                  </w:p>
                </w:tc>
                <w:tc>
                  <w:tcPr>
                    <w:tcW w:w="3444" w:type="pct"/>
                  </w:tcPr>
                  <w:p>
                    <w:pPr>
                      <w:rPr>
                        <w:szCs w:val="24"/>
                      </w:rPr>
                    </w:pPr>
                    <w:r>
                      <w:rPr>
                        <w:szCs w:val="24"/>
                      </w:rPr>
                      <w:t>Lėtinis bronchitas (ne didesnis kaip I laipsnio pulmokardialinis nepakankamumas) J41.0, J41.1, J41.8, J42</w:t>
                    </w:r>
                  </w:p>
                </w:tc>
                <w:tc>
                  <w:tcPr>
                    <w:tcW w:w="922" w:type="pct"/>
                  </w:tcPr>
                  <w:p>
                    <w:pPr>
                      <w:jc w:val="center"/>
                      <w:rPr>
                        <w:szCs w:val="24"/>
                      </w:rPr>
                    </w:pPr>
                    <w:r>
                      <w:rPr>
                        <w:szCs w:val="24"/>
                      </w:rPr>
                      <w:t>12</w:t>
                    </w:r>
                  </w:p>
                </w:tc>
              </w:tr>
              <w:tr>
                <w:tc>
                  <w:tcPr>
                    <w:tcW w:w="634" w:type="pct"/>
                  </w:tcPr>
                  <w:p>
                    <w:pPr>
                      <w:ind w:firstLine="284"/>
                      <w:rPr>
                        <w:szCs w:val="24"/>
                      </w:rPr>
                    </w:pPr>
                    <w:r>
                      <w:rPr>
                        <w:szCs w:val="24"/>
                      </w:rPr>
                      <w:t>5.2.</w:t>
                    </w:r>
                  </w:p>
                </w:tc>
                <w:tc>
                  <w:tcPr>
                    <w:tcW w:w="3444" w:type="pct"/>
                  </w:tcPr>
                  <w:p>
                    <w:pPr>
                      <w:rPr>
                        <w:szCs w:val="24"/>
                      </w:rPr>
                    </w:pPr>
                    <w:r>
                      <w:rPr>
                        <w:szCs w:val="24"/>
                      </w:rPr>
                      <w:t>Lėtinės plaučių obstrukcinės ligos J44.8, J44.9</w:t>
                    </w:r>
                  </w:p>
                </w:tc>
                <w:tc>
                  <w:tcPr>
                    <w:tcW w:w="922" w:type="pct"/>
                  </w:tcPr>
                  <w:p>
                    <w:pPr>
                      <w:jc w:val="center"/>
                      <w:rPr>
                        <w:szCs w:val="24"/>
                      </w:rPr>
                    </w:pPr>
                    <w:r>
                      <w:rPr>
                        <w:szCs w:val="24"/>
                      </w:rPr>
                      <w:t>12</w:t>
                    </w:r>
                  </w:p>
                </w:tc>
              </w:tr>
              <w:tr>
                <w:tc>
                  <w:tcPr>
                    <w:tcW w:w="634" w:type="pct"/>
                  </w:tcPr>
                  <w:p>
                    <w:pPr>
                      <w:ind w:firstLine="284"/>
                      <w:rPr>
                        <w:szCs w:val="24"/>
                      </w:rPr>
                    </w:pPr>
                    <w:r>
                      <w:rPr>
                        <w:szCs w:val="24"/>
                      </w:rPr>
                      <w:t>6.</w:t>
                    </w:r>
                  </w:p>
                </w:tc>
                <w:tc>
                  <w:tcPr>
                    <w:tcW w:w="3444" w:type="pct"/>
                  </w:tcPr>
                  <w:p>
                    <w:pPr>
                      <w:rPr>
                        <w:szCs w:val="24"/>
                      </w:rPr>
                    </w:pPr>
                    <w:r>
                      <w:rPr>
                        <w:bCs/>
                        <w:szCs w:val="24"/>
                      </w:rPr>
                      <w:t xml:space="preserve">Virškinimo sistemos ligos </w:t>
                    </w:r>
                  </w:p>
                </w:tc>
                <w:tc>
                  <w:tcPr>
                    <w:tcW w:w="922" w:type="pct"/>
                  </w:tcPr>
                  <w:p>
                    <w:pPr>
                      <w:jc w:val="center"/>
                      <w:rPr>
                        <w:szCs w:val="24"/>
                      </w:rPr>
                    </w:pPr>
                    <w:r>
                      <w:rPr>
                        <w:szCs w:val="24"/>
                      </w:rPr>
                      <w:t>12</w:t>
                    </w:r>
                  </w:p>
                </w:tc>
              </w:tr>
              <w:tr>
                <w:tc>
                  <w:tcPr>
                    <w:tcW w:w="634" w:type="pct"/>
                  </w:tcPr>
                  <w:p>
                    <w:pPr>
                      <w:ind w:firstLine="284"/>
                      <w:rPr>
                        <w:szCs w:val="24"/>
                      </w:rPr>
                    </w:pPr>
                    <w:r>
                      <w:rPr>
                        <w:szCs w:val="24"/>
                      </w:rPr>
                      <w:t>6.1.</w:t>
                    </w:r>
                  </w:p>
                </w:tc>
                <w:tc>
                  <w:tcPr>
                    <w:tcW w:w="3444" w:type="pct"/>
                  </w:tcPr>
                  <w:p>
                    <w:pPr>
                      <w:rPr>
                        <w:szCs w:val="24"/>
                      </w:rPr>
                    </w:pPr>
                    <w:r>
                      <w:rPr>
                        <w:szCs w:val="24"/>
                      </w:rPr>
                      <w:t xml:space="preserve">Skrandžio ir dvylikapirštės žarnos opaligė (remisijos fazė) </w:t>
                      <w:br/>
                      <w:t>K25–K28</w:t>
                    </w:r>
                  </w:p>
                </w:tc>
                <w:tc>
                  <w:tcPr>
                    <w:tcW w:w="922" w:type="pct"/>
                  </w:tcPr>
                  <w:p>
                    <w:pPr>
                      <w:jc w:val="center"/>
                      <w:rPr>
                        <w:szCs w:val="24"/>
                      </w:rPr>
                    </w:pPr>
                    <w:r>
                      <w:rPr>
                        <w:szCs w:val="24"/>
                      </w:rPr>
                      <w:t>12</w:t>
                    </w:r>
                  </w:p>
                </w:tc>
              </w:tr>
              <w:tr>
                <w:tc>
                  <w:tcPr>
                    <w:tcW w:w="634" w:type="pct"/>
                  </w:tcPr>
                  <w:p>
                    <w:pPr>
                      <w:ind w:firstLine="284"/>
                      <w:rPr>
                        <w:szCs w:val="24"/>
                      </w:rPr>
                    </w:pPr>
                    <w:r>
                      <w:rPr>
                        <w:szCs w:val="24"/>
                      </w:rPr>
                      <w:t>6.2.</w:t>
                    </w:r>
                  </w:p>
                </w:tc>
                <w:tc>
                  <w:tcPr>
                    <w:tcW w:w="3444" w:type="pct"/>
                  </w:tcPr>
                  <w:p>
                    <w:pPr>
                      <w:rPr>
                        <w:szCs w:val="24"/>
                      </w:rPr>
                    </w:pPr>
                    <w:r>
                      <w:rPr>
                        <w:szCs w:val="24"/>
                      </w:rPr>
                      <w:t>Lėtinis gastritas (remisijos fazė)</w:t>
                    </w:r>
                  </w:p>
                </w:tc>
                <w:tc>
                  <w:tcPr>
                    <w:tcW w:w="922" w:type="pct"/>
                  </w:tcPr>
                  <w:p>
                    <w:pPr>
                      <w:jc w:val="center"/>
                      <w:rPr>
                        <w:szCs w:val="24"/>
                      </w:rPr>
                    </w:pPr>
                    <w:r>
                      <w:rPr>
                        <w:szCs w:val="24"/>
                      </w:rPr>
                      <w:t>12</w:t>
                    </w:r>
                  </w:p>
                </w:tc>
              </w:tr>
              <w:tr>
                <w:tc>
                  <w:tcPr>
                    <w:tcW w:w="634" w:type="pct"/>
                  </w:tcPr>
                  <w:p>
                    <w:pPr>
                      <w:ind w:firstLine="284"/>
                      <w:rPr>
                        <w:szCs w:val="24"/>
                      </w:rPr>
                    </w:pPr>
                    <w:r>
                      <w:rPr>
                        <w:szCs w:val="24"/>
                      </w:rPr>
                      <w:t>6.3.</w:t>
                    </w:r>
                  </w:p>
                </w:tc>
                <w:tc>
                  <w:tcPr>
                    <w:tcW w:w="3444" w:type="pct"/>
                  </w:tcPr>
                  <w:p>
                    <w:pPr>
                      <w:rPr>
                        <w:szCs w:val="24"/>
                      </w:rPr>
                    </w:pPr>
                    <w:r>
                      <w:rPr>
                        <w:szCs w:val="24"/>
                      </w:rPr>
                      <w:t>Lėtinis kolitas ir enterokolitas (išskyrus infekcinės kilmės bei stenozuojantį) K50.0, K50.1, K51.0, K51.8</w:t>
                    </w:r>
                  </w:p>
                </w:tc>
                <w:tc>
                  <w:tcPr>
                    <w:tcW w:w="922" w:type="pct"/>
                  </w:tcPr>
                  <w:p>
                    <w:pPr>
                      <w:jc w:val="center"/>
                      <w:rPr>
                        <w:szCs w:val="24"/>
                      </w:rPr>
                    </w:pPr>
                    <w:r>
                      <w:rPr>
                        <w:szCs w:val="24"/>
                      </w:rPr>
                      <w:t>12</w:t>
                    </w:r>
                  </w:p>
                </w:tc>
              </w:tr>
              <w:tr>
                <w:tc>
                  <w:tcPr>
                    <w:tcW w:w="634" w:type="pct"/>
                  </w:tcPr>
                  <w:p>
                    <w:pPr>
                      <w:ind w:firstLine="284"/>
                      <w:rPr>
                        <w:szCs w:val="24"/>
                      </w:rPr>
                    </w:pPr>
                    <w:r>
                      <w:rPr>
                        <w:szCs w:val="24"/>
                      </w:rPr>
                      <w:t>6.4.</w:t>
                    </w:r>
                  </w:p>
                </w:tc>
                <w:tc>
                  <w:tcPr>
                    <w:tcW w:w="3444" w:type="pct"/>
                  </w:tcPr>
                  <w:p>
                    <w:pPr>
                      <w:rPr>
                        <w:szCs w:val="24"/>
                      </w:rPr>
                    </w:pPr>
                    <w:r>
                      <w:rPr>
                        <w:szCs w:val="24"/>
                      </w:rPr>
                      <w:t>Dirgliosios žarnos sindromas K58</w:t>
                    </w:r>
                  </w:p>
                </w:tc>
                <w:tc>
                  <w:tcPr>
                    <w:tcW w:w="922" w:type="pct"/>
                  </w:tcPr>
                  <w:p>
                    <w:pPr>
                      <w:jc w:val="center"/>
                      <w:rPr>
                        <w:szCs w:val="24"/>
                      </w:rPr>
                    </w:pPr>
                    <w:r>
                      <w:rPr>
                        <w:szCs w:val="24"/>
                      </w:rPr>
                      <w:t>12</w:t>
                    </w:r>
                  </w:p>
                </w:tc>
              </w:tr>
              <w:tr>
                <w:tc>
                  <w:tcPr>
                    <w:tcW w:w="634" w:type="pct"/>
                  </w:tcPr>
                  <w:p>
                    <w:pPr>
                      <w:ind w:firstLine="284"/>
                      <w:rPr>
                        <w:szCs w:val="24"/>
                      </w:rPr>
                    </w:pPr>
                    <w:r>
                      <w:rPr>
                        <w:szCs w:val="24"/>
                      </w:rPr>
                      <w:t>6.5.</w:t>
                    </w:r>
                  </w:p>
                </w:tc>
                <w:tc>
                  <w:tcPr>
                    <w:tcW w:w="3444" w:type="pct"/>
                  </w:tcPr>
                  <w:p>
                    <w:pPr>
                      <w:rPr>
                        <w:szCs w:val="24"/>
                      </w:rPr>
                    </w:pPr>
                    <w:r>
                      <w:rPr>
                        <w:szCs w:val="24"/>
                      </w:rPr>
                      <w:t>Lėtinis hepatitas K71.0–K71.6, K73.0–K73.2</w:t>
                    </w:r>
                  </w:p>
                </w:tc>
                <w:tc>
                  <w:tcPr>
                    <w:tcW w:w="922" w:type="pct"/>
                  </w:tcPr>
                  <w:p>
                    <w:pPr>
                      <w:jc w:val="center"/>
                      <w:rPr>
                        <w:szCs w:val="24"/>
                      </w:rPr>
                    </w:pPr>
                    <w:r>
                      <w:rPr>
                        <w:szCs w:val="24"/>
                      </w:rPr>
                      <w:t>12</w:t>
                    </w:r>
                  </w:p>
                </w:tc>
              </w:tr>
              <w:tr>
                <w:tc>
                  <w:tcPr>
                    <w:tcW w:w="634" w:type="pct"/>
                  </w:tcPr>
                  <w:p>
                    <w:pPr>
                      <w:ind w:firstLine="284"/>
                      <w:rPr>
                        <w:szCs w:val="24"/>
                      </w:rPr>
                    </w:pPr>
                    <w:r>
                      <w:rPr>
                        <w:szCs w:val="24"/>
                      </w:rPr>
                      <w:t>6.6.</w:t>
                    </w:r>
                  </w:p>
                </w:tc>
                <w:tc>
                  <w:tcPr>
                    <w:tcW w:w="3444" w:type="pct"/>
                  </w:tcPr>
                  <w:p>
                    <w:pPr>
                      <w:rPr>
                        <w:szCs w:val="24"/>
                      </w:rPr>
                    </w:pPr>
                    <w:r>
                      <w:rPr>
                        <w:szCs w:val="24"/>
                      </w:rPr>
                      <w:t>Cholecistitas, cholangitas (remisijos fazė) K81.1, K83.0</w:t>
                    </w:r>
                  </w:p>
                </w:tc>
                <w:tc>
                  <w:tcPr>
                    <w:tcW w:w="922" w:type="pct"/>
                  </w:tcPr>
                  <w:p>
                    <w:pPr>
                      <w:jc w:val="center"/>
                      <w:rPr>
                        <w:szCs w:val="24"/>
                      </w:rPr>
                    </w:pPr>
                    <w:r>
                      <w:rPr>
                        <w:szCs w:val="24"/>
                      </w:rPr>
                      <w:t>12</w:t>
                    </w:r>
                  </w:p>
                </w:tc>
              </w:tr>
              <w:tr>
                <w:tc>
                  <w:tcPr>
                    <w:tcW w:w="634" w:type="pct"/>
                  </w:tcPr>
                  <w:p>
                    <w:pPr>
                      <w:ind w:firstLine="284"/>
                      <w:rPr>
                        <w:szCs w:val="24"/>
                      </w:rPr>
                    </w:pPr>
                    <w:r>
                      <w:rPr>
                        <w:szCs w:val="24"/>
                      </w:rPr>
                      <w:t>6.7.</w:t>
                    </w:r>
                  </w:p>
                </w:tc>
                <w:tc>
                  <w:tcPr>
                    <w:tcW w:w="3444" w:type="pct"/>
                  </w:tcPr>
                  <w:p>
                    <w:pPr>
                      <w:rPr>
                        <w:szCs w:val="24"/>
                      </w:rPr>
                    </w:pPr>
                    <w:r>
                      <w:rPr>
                        <w:szCs w:val="24"/>
                      </w:rPr>
                      <w:t>Tulžies pūslės ir kepenų latakų diskinezija K82.8</w:t>
                    </w:r>
                  </w:p>
                </w:tc>
                <w:tc>
                  <w:tcPr>
                    <w:tcW w:w="922" w:type="pct"/>
                  </w:tcPr>
                  <w:p>
                    <w:pPr>
                      <w:jc w:val="center"/>
                      <w:rPr>
                        <w:szCs w:val="24"/>
                      </w:rPr>
                    </w:pPr>
                    <w:r>
                      <w:rPr>
                        <w:szCs w:val="24"/>
                      </w:rPr>
                      <w:t>12</w:t>
                    </w:r>
                  </w:p>
                </w:tc>
              </w:tr>
              <w:tr>
                <w:tc>
                  <w:tcPr>
                    <w:tcW w:w="634" w:type="pct"/>
                  </w:tcPr>
                  <w:p>
                    <w:pPr>
                      <w:ind w:firstLine="284"/>
                      <w:rPr>
                        <w:szCs w:val="24"/>
                      </w:rPr>
                    </w:pPr>
                    <w:r>
                      <w:rPr>
                        <w:szCs w:val="24"/>
                      </w:rPr>
                      <w:t>6.8.</w:t>
                    </w:r>
                  </w:p>
                </w:tc>
                <w:tc>
                  <w:tcPr>
                    <w:tcW w:w="3444" w:type="pct"/>
                  </w:tcPr>
                  <w:p>
                    <w:pPr>
                      <w:rPr>
                        <w:szCs w:val="24"/>
                      </w:rPr>
                    </w:pPr>
                    <w:r>
                      <w:rPr>
                        <w:spacing w:val="-2"/>
                        <w:szCs w:val="24"/>
                      </w:rPr>
                      <w:t>Tulžies pūslės akmenligė (be infekcinių komplikacijų, kolikų, kai neindikuotas chirurginis gydymas) K80.2, K80.5</w:t>
                    </w:r>
                  </w:p>
                </w:tc>
                <w:tc>
                  <w:tcPr>
                    <w:tcW w:w="922" w:type="pct"/>
                  </w:tcPr>
                  <w:p>
                    <w:pPr>
                      <w:jc w:val="center"/>
                      <w:rPr>
                        <w:szCs w:val="24"/>
                      </w:rPr>
                    </w:pPr>
                    <w:r>
                      <w:rPr>
                        <w:szCs w:val="24"/>
                      </w:rPr>
                      <w:t>12</w:t>
                    </w:r>
                  </w:p>
                </w:tc>
              </w:tr>
              <w:tr>
                <w:tc>
                  <w:tcPr>
                    <w:tcW w:w="634" w:type="pct"/>
                  </w:tcPr>
                  <w:p>
                    <w:pPr>
                      <w:ind w:firstLine="284"/>
                      <w:rPr>
                        <w:szCs w:val="24"/>
                      </w:rPr>
                    </w:pPr>
                    <w:r>
                      <w:rPr>
                        <w:szCs w:val="24"/>
                      </w:rPr>
                      <w:t>6.9.</w:t>
                    </w:r>
                  </w:p>
                </w:tc>
                <w:tc>
                  <w:tcPr>
                    <w:tcW w:w="3444" w:type="pct"/>
                  </w:tcPr>
                  <w:p>
                    <w:pPr>
                      <w:rPr>
                        <w:szCs w:val="24"/>
                      </w:rPr>
                    </w:pPr>
                    <w:r>
                      <w:rPr>
                        <w:szCs w:val="24"/>
                      </w:rPr>
                      <w:t>Lėtinis pankreatitas (remisijos fazė) K86.1</w:t>
                    </w:r>
                  </w:p>
                </w:tc>
                <w:tc>
                  <w:tcPr>
                    <w:tcW w:w="922" w:type="pct"/>
                  </w:tcPr>
                  <w:p>
                    <w:pPr>
                      <w:jc w:val="center"/>
                      <w:rPr>
                        <w:szCs w:val="24"/>
                      </w:rPr>
                    </w:pPr>
                    <w:r>
                      <w:rPr>
                        <w:szCs w:val="24"/>
                      </w:rPr>
                      <w:t>12</w:t>
                    </w:r>
                  </w:p>
                </w:tc>
              </w:tr>
              <w:tr>
                <w:tc>
                  <w:tcPr>
                    <w:tcW w:w="634" w:type="pct"/>
                  </w:tcPr>
                  <w:p>
                    <w:pPr>
                      <w:ind w:firstLine="284"/>
                      <w:rPr>
                        <w:szCs w:val="24"/>
                      </w:rPr>
                    </w:pPr>
                    <w:r>
                      <w:rPr>
                        <w:szCs w:val="24"/>
                      </w:rPr>
                      <w:t>6.10.</w:t>
                    </w:r>
                  </w:p>
                </w:tc>
                <w:tc>
                  <w:tcPr>
                    <w:tcW w:w="3444" w:type="pct"/>
                  </w:tcPr>
                  <w:p>
                    <w:pPr>
                      <w:rPr>
                        <w:szCs w:val="24"/>
                      </w:rPr>
                    </w:pPr>
                    <w:r>
                      <w:rPr>
                        <w:szCs w:val="24"/>
                      </w:rPr>
                      <w:t>Abdominalinės sąaugos (nesukeliančios nepraeinamumo reiškinių) K66.0</w:t>
                    </w:r>
                  </w:p>
                </w:tc>
                <w:tc>
                  <w:tcPr>
                    <w:tcW w:w="922" w:type="pct"/>
                  </w:tcPr>
                  <w:p>
                    <w:pPr>
                      <w:jc w:val="center"/>
                      <w:rPr>
                        <w:szCs w:val="24"/>
                      </w:rPr>
                    </w:pPr>
                    <w:r>
                      <w:rPr>
                        <w:szCs w:val="24"/>
                      </w:rPr>
                      <w:t>12</w:t>
                    </w:r>
                  </w:p>
                </w:tc>
              </w:tr>
              <w:tr>
                <w:tc>
                  <w:tcPr>
                    <w:tcW w:w="634" w:type="pct"/>
                  </w:tcPr>
                  <w:p>
                    <w:pPr>
                      <w:ind w:firstLine="284"/>
                      <w:rPr>
                        <w:szCs w:val="24"/>
                      </w:rPr>
                    </w:pPr>
                    <w:r>
                      <w:rPr>
                        <w:szCs w:val="24"/>
                      </w:rPr>
                      <w:t>7.</w:t>
                    </w:r>
                  </w:p>
                </w:tc>
                <w:tc>
                  <w:tcPr>
                    <w:tcW w:w="3444" w:type="pct"/>
                  </w:tcPr>
                  <w:p>
                    <w:pPr>
                      <w:rPr>
                        <w:szCs w:val="24"/>
                      </w:rPr>
                    </w:pPr>
                    <w:r>
                      <w:t>Judamojo-atramos aparato pažeidimai</w:t>
                    </w:r>
                  </w:p>
                </w:tc>
                <w:tc>
                  <w:tcPr>
                    <w:tcW w:w="922" w:type="pct"/>
                  </w:tcPr>
                  <w:p>
                    <w:pPr>
                      <w:jc w:val="center"/>
                      <w:rPr>
                        <w:szCs w:val="24"/>
                      </w:rPr>
                    </w:pPr>
                    <w:r>
                      <w:rPr>
                        <w:szCs w:val="24"/>
                      </w:rPr>
                      <w:t>12</w:t>
                    </w:r>
                  </w:p>
                </w:tc>
              </w:tr>
              <w:tr>
                <w:tc>
                  <w:tcPr>
                    <w:tcW w:w="634" w:type="pct"/>
                  </w:tcPr>
                  <w:p>
                    <w:pPr>
                      <w:ind w:firstLine="284"/>
                      <w:rPr>
                        <w:szCs w:val="24"/>
                      </w:rPr>
                    </w:pPr>
                    <w:r>
                      <w:rPr>
                        <w:szCs w:val="24"/>
                      </w:rPr>
                      <w:t>7.1.</w:t>
                    </w:r>
                  </w:p>
                </w:tc>
                <w:tc>
                  <w:tcPr>
                    <w:tcW w:w="3444" w:type="pct"/>
                  </w:tcPr>
                  <w:p>
                    <w:pPr>
                      <w:rPr>
                        <w:szCs w:val="24"/>
                      </w:rPr>
                    </w:pPr>
                    <w:r>
                      <w:rPr>
                        <w:szCs w:val="24"/>
                      </w:rPr>
                      <w:t>Reumatoidinis artritas (minimalus aktyvumas, kai pacientas gali apsitarnauti) M05, M06</w:t>
                    </w:r>
                  </w:p>
                </w:tc>
                <w:tc>
                  <w:tcPr>
                    <w:tcW w:w="922" w:type="pct"/>
                  </w:tcPr>
                  <w:p>
                    <w:pPr>
                      <w:jc w:val="center"/>
                      <w:rPr>
                        <w:szCs w:val="24"/>
                      </w:rPr>
                    </w:pPr>
                    <w:r>
                      <w:rPr>
                        <w:szCs w:val="24"/>
                      </w:rPr>
                      <w:t>12</w:t>
                    </w:r>
                  </w:p>
                </w:tc>
              </w:tr>
              <w:tr>
                <w:tc>
                  <w:tcPr>
                    <w:tcW w:w="634" w:type="pct"/>
                  </w:tcPr>
                  <w:p>
                    <w:pPr>
                      <w:ind w:firstLine="284"/>
                      <w:rPr>
                        <w:szCs w:val="24"/>
                      </w:rPr>
                    </w:pPr>
                    <w:r>
                      <w:rPr>
                        <w:szCs w:val="24"/>
                      </w:rPr>
                      <w:t>7.2.</w:t>
                    </w:r>
                  </w:p>
                </w:tc>
                <w:tc>
                  <w:tcPr>
                    <w:tcW w:w="3444" w:type="pct"/>
                  </w:tcPr>
                  <w:p>
                    <w:pPr>
                      <w:rPr>
                        <w:szCs w:val="24"/>
                      </w:rPr>
                    </w:pPr>
                    <w:r>
                      <w:rPr>
                        <w:szCs w:val="24"/>
                      </w:rPr>
                      <w:t>Poliartritas, artropatijos, neaptikslinta M02.8, M13.0</w:t>
                    </w:r>
                  </w:p>
                </w:tc>
                <w:tc>
                  <w:tcPr>
                    <w:tcW w:w="922" w:type="pct"/>
                  </w:tcPr>
                  <w:p>
                    <w:pPr>
                      <w:jc w:val="center"/>
                      <w:rPr>
                        <w:szCs w:val="24"/>
                      </w:rPr>
                    </w:pPr>
                    <w:r>
                      <w:rPr>
                        <w:szCs w:val="24"/>
                      </w:rPr>
                      <w:t>12</w:t>
                    </w:r>
                  </w:p>
                </w:tc>
              </w:tr>
              <w:tr>
                <w:tc>
                  <w:tcPr>
                    <w:tcW w:w="634" w:type="pct"/>
                  </w:tcPr>
                  <w:p>
                    <w:pPr>
                      <w:ind w:firstLine="284"/>
                      <w:rPr>
                        <w:szCs w:val="24"/>
                      </w:rPr>
                    </w:pPr>
                    <w:r>
                      <w:rPr>
                        <w:szCs w:val="24"/>
                      </w:rPr>
                      <w:t>7.3.</w:t>
                    </w:r>
                  </w:p>
                </w:tc>
                <w:tc>
                  <w:tcPr>
                    <w:tcW w:w="3444" w:type="pct"/>
                  </w:tcPr>
                  <w:p>
                    <w:pPr>
                      <w:rPr>
                        <w:szCs w:val="24"/>
                      </w:rPr>
                    </w:pPr>
                    <w:r>
                      <w:rPr>
                        <w:szCs w:val="24"/>
                      </w:rPr>
                      <w:t xml:space="preserve">Osteoartrozė. Lėtinis, pasikartojantis sąnarių skausmas </w:t>
                      <w:br/>
                      <w:t xml:space="preserve">M15.0, M15.3, M16.0–M16.7, M17.0–M17.5, </w:t>
                    </w:r>
                    <w:r>
                      <w:rPr>
                        <w:bCs/>
                      </w:rPr>
                      <w:t>M19.0 – M19.8, M23.2 M23.8</w:t>
                    </w:r>
                  </w:p>
                </w:tc>
                <w:tc>
                  <w:tcPr>
                    <w:tcW w:w="922" w:type="pct"/>
                  </w:tcPr>
                  <w:p>
                    <w:pPr>
                      <w:jc w:val="center"/>
                      <w:rPr>
                        <w:szCs w:val="24"/>
                      </w:rPr>
                    </w:pPr>
                    <w:r>
                      <w:rPr>
                        <w:szCs w:val="24"/>
                      </w:rPr>
                      <w:t>12</w:t>
                    </w:r>
                  </w:p>
                </w:tc>
              </w:tr>
              <w:tr>
                <w:tc>
                  <w:tcPr>
                    <w:tcW w:w="634" w:type="pct"/>
                  </w:tcPr>
                  <w:p>
                    <w:pPr>
                      <w:ind w:firstLine="284"/>
                      <w:rPr>
                        <w:szCs w:val="24"/>
                      </w:rPr>
                    </w:pPr>
                    <w:r>
                      <w:rPr>
                        <w:szCs w:val="24"/>
                      </w:rPr>
                      <w:t>7.4.</w:t>
                    </w:r>
                  </w:p>
                </w:tc>
                <w:tc>
                  <w:tcPr>
                    <w:tcW w:w="3444" w:type="pct"/>
                  </w:tcPr>
                  <w:p>
                    <w:pPr>
                      <w:rPr>
                        <w:szCs w:val="24"/>
                      </w:rPr>
                    </w:pPr>
                    <w:r>
                      <w:rPr>
                        <w:szCs w:val="24"/>
                      </w:rPr>
                      <w:t>Trauminis artritas (praėjus 4 mėnesiams po operacijos). M12.5</w:t>
                    </w:r>
                  </w:p>
                </w:tc>
                <w:tc>
                  <w:tcPr>
                    <w:tcW w:w="922" w:type="pct"/>
                  </w:tcPr>
                  <w:p>
                    <w:pPr>
                      <w:jc w:val="center"/>
                      <w:rPr>
                        <w:szCs w:val="24"/>
                      </w:rPr>
                    </w:pPr>
                    <w:r>
                      <w:rPr>
                        <w:szCs w:val="24"/>
                      </w:rPr>
                      <w:t>12</w:t>
                    </w:r>
                  </w:p>
                </w:tc>
              </w:tr>
              <w:tr>
                <w:tc>
                  <w:tcPr>
                    <w:tcW w:w="634" w:type="pct"/>
                  </w:tcPr>
                  <w:p>
                    <w:pPr>
                      <w:ind w:firstLine="284"/>
                      <w:rPr>
                        <w:szCs w:val="24"/>
                      </w:rPr>
                    </w:pPr>
                    <w:r>
                      <w:rPr>
                        <w:szCs w:val="24"/>
                      </w:rPr>
                      <w:t>7.5.</w:t>
                    </w:r>
                  </w:p>
                </w:tc>
                <w:tc>
                  <w:tcPr>
                    <w:tcW w:w="3444" w:type="pct"/>
                  </w:tcPr>
                  <w:p>
                    <w:pPr>
                      <w:rPr>
                        <w:szCs w:val="24"/>
                      </w:rPr>
                    </w:pPr>
                    <w:r>
                      <w:rPr>
                        <w:szCs w:val="24"/>
                      </w:rPr>
                      <w:t>Osteochondrozė. Lėtinis, pasikartojantis stuburo kaklinės, krūtininės ar juosmeninės srities skausmas M42.1</w:t>
                    </w:r>
                  </w:p>
                </w:tc>
                <w:tc>
                  <w:tcPr>
                    <w:tcW w:w="922" w:type="pct"/>
                  </w:tcPr>
                  <w:p>
                    <w:pPr>
                      <w:jc w:val="center"/>
                      <w:rPr>
                        <w:szCs w:val="24"/>
                      </w:rPr>
                    </w:pPr>
                    <w:r>
                      <w:rPr>
                        <w:szCs w:val="24"/>
                      </w:rPr>
                      <w:t>12</w:t>
                    </w:r>
                  </w:p>
                </w:tc>
              </w:tr>
              <w:tr>
                <w:tc>
                  <w:tcPr>
                    <w:tcW w:w="634" w:type="pct"/>
                  </w:tcPr>
                  <w:p>
                    <w:pPr>
                      <w:ind w:firstLine="284"/>
                      <w:rPr>
                        <w:szCs w:val="24"/>
                      </w:rPr>
                    </w:pPr>
                    <w:r>
                      <w:rPr>
                        <w:szCs w:val="24"/>
                      </w:rPr>
                      <w:t>7.6.</w:t>
                    </w:r>
                  </w:p>
                </w:tc>
                <w:tc>
                  <w:tcPr>
                    <w:tcW w:w="3444" w:type="pct"/>
                  </w:tcPr>
                  <w:p>
                    <w:pPr>
                      <w:rPr>
                        <w:szCs w:val="24"/>
                      </w:rPr>
                    </w:pPr>
                    <w:r>
                      <w:rPr>
                        <w:szCs w:val="24"/>
                      </w:rPr>
                      <w:t>Spondiliozė M47.8</w:t>
                    </w:r>
                  </w:p>
                </w:tc>
                <w:tc>
                  <w:tcPr>
                    <w:tcW w:w="922" w:type="pct"/>
                  </w:tcPr>
                  <w:p>
                    <w:pPr>
                      <w:jc w:val="center"/>
                      <w:rPr>
                        <w:szCs w:val="24"/>
                      </w:rPr>
                    </w:pPr>
                    <w:r>
                      <w:rPr>
                        <w:szCs w:val="24"/>
                      </w:rPr>
                      <w:t>12</w:t>
                    </w:r>
                  </w:p>
                </w:tc>
              </w:tr>
              <w:tr>
                <w:tc>
                  <w:tcPr>
                    <w:tcW w:w="634" w:type="pct"/>
                  </w:tcPr>
                  <w:p>
                    <w:pPr>
                      <w:ind w:firstLine="284"/>
                      <w:rPr>
                        <w:szCs w:val="24"/>
                      </w:rPr>
                    </w:pPr>
                    <w:r>
                      <w:rPr>
                        <w:szCs w:val="24"/>
                      </w:rPr>
                      <w:t>7.7.</w:t>
                    </w:r>
                  </w:p>
                </w:tc>
                <w:tc>
                  <w:tcPr>
                    <w:tcW w:w="3444" w:type="pct"/>
                  </w:tcPr>
                  <w:p>
                    <w:pPr>
                      <w:rPr>
                        <w:szCs w:val="24"/>
                      </w:rPr>
                    </w:pPr>
                    <w:r>
                      <w:rPr>
                        <w:szCs w:val="24"/>
                      </w:rPr>
                      <w:t>Ankilozinis spondilitas (remisijos fazėje) M45</w:t>
                    </w:r>
                  </w:p>
                </w:tc>
                <w:tc>
                  <w:tcPr>
                    <w:tcW w:w="922" w:type="pct"/>
                  </w:tcPr>
                  <w:p>
                    <w:pPr>
                      <w:jc w:val="center"/>
                      <w:rPr>
                        <w:szCs w:val="24"/>
                      </w:rPr>
                    </w:pPr>
                    <w:r>
                      <w:rPr>
                        <w:szCs w:val="24"/>
                      </w:rPr>
                      <w:t>12</w:t>
                    </w:r>
                  </w:p>
                </w:tc>
              </w:tr>
              <w:tr>
                <w:tc>
                  <w:tcPr>
                    <w:tcW w:w="634" w:type="pct"/>
                  </w:tcPr>
                  <w:p>
                    <w:pPr>
                      <w:ind w:firstLine="284"/>
                      <w:rPr>
                        <w:szCs w:val="24"/>
                      </w:rPr>
                    </w:pPr>
                    <w:r>
                      <w:rPr>
                        <w:szCs w:val="24"/>
                      </w:rPr>
                      <w:t>7.8.</w:t>
                    </w:r>
                  </w:p>
                </w:tc>
                <w:tc>
                  <w:tcPr>
                    <w:tcW w:w="3444" w:type="pct"/>
                  </w:tcPr>
                  <w:p>
                    <w:pPr>
                      <w:rPr>
                        <w:szCs w:val="24"/>
                      </w:rPr>
                    </w:pPr>
                    <w:r>
                      <w:rPr>
                        <w:szCs w:val="24"/>
                      </w:rPr>
                      <w:t xml:space="preserve">Periodiškai paūmėjančios infekcinės, toksinės, trauminės arba profesinės kilmės raumenų ligos M60.8, M61.0–M61.1, </w:t>
                      <w:br/>
                      <w:t>M62.4–M62.5</w:t>
                    </w:r>
                  </w:p>
                </w:tc>
                <w:tc>
                  <w:tcPr>
                    <w:tcW w:w="922" w:type="pct"/>
                  </w:tcPr>
                  <w:p>
                    <w:pPr>
                      <w:jc w:val="center"/>
                      <w:rPr>
                        <w:szCs w:val="24"/>
                      </w:rPr>
                    </w:pPr>
                    <w:r>
                      <w:rPr>
                        <w:szCs w:val="24"/>
                      </w:rPr>
                      <w:t>12</w:t>
                    </w:r>
                  </w:p>
                </w:tc>
              </w:tr>
              <w:tr>
                <w:tc>
                  <w:tcPr>
                    <w:tcW w:w="634" w:type="pct"/>
                  </w:tcPr>
                  <w:p>
                    <w:pPr>
                      <w:ind w:firstLine="284"/>
                      <w:rPr>
                        <w:szCs w:val="24"/>
                      </w:rPr>
                    </w:pPr>
                    <w:r>
                      <w:rPr>
                        <w:szCs w:val="24"/>
                      </w:rPr>
                      <w:t>7.9.</w:t>
                    </w:r>
                  </w:p>
                </w:tc>
                <w:tc>
                  <w:tcPr>
                    <w:tcW w:w="3444" w:type="pct"/>
                  </w:tcPr>
                  <w:p>
                    <w:pPr>
                      <w:rPr>
                        <w:szCs w:val="24"/>
                      </w:rPr>
                    </w:pPr>
                    <w:r>
                      <w:rPr>
                        <w:szCs w:val="24"/>
                      </w:rPr>
                      <w:t>Fibrozitas, miozitas, tendovaginitas, bursitas. Lėtinė eiga, periodiški paūmėjimai M65.1–M65.4, M65.9, M70.0–M70.9</w:t>
                    </w:r>
                  </w:p>
                </w:tc>
                <w:tc>
                  <w:tcPr>
                    <w:tcW w:w="922" w:type="pct"/>
                  </w:tcPr>
                  <w:p>
                    <w:pPr>
                      <w:jc w:val="center"/>
                      <w:rPr>
                        <w:szCs w:val="24"/>
                      </w:rPr>
                    </w:pPr>
                    <w:r>
                      <w:rPr>
                        <w:szCs w:val="24"/>
                      </w:rPr>
                      <w:t>12</w:t>
                    </w:r>
                  </w:p>
                </w:tc>
              </w:tr>
              <w:tr>
                <w:tc>
                  <w:tcPr>
                    <w:tcW w:w="634" w:type="pct"/>
                  </w:tcPr>
                  <w:p>
                    <w:pPr>
                      <w:ind w:firstLine="284"/>
                      <w:rPr>
                        <w:szCs w:val="24"/>
                      </w:rPr>
                    </w:pPr>
                    <w:r>
                      <w:rPr>
                        <w:szCs w:val="24"/>
                      </w:rPr>
                      <w:t>7.10.</w:t>
                    </w:r>
                  </w:p>
                </w:tc>
                <w:tc>
                  <w:tcPr>
                    <w:tcW w:w="3444" w:type="pct"/>
                  </w:tcPr>
                  <w:p>
                    <w:pPr>
                      <w:rPr>
                        <w:szCs w:val="24"/>
                      </w:rPr>
                    </w:pPr>
                    <w:r>
                      <w:rPr>
                        <w:szCs w:val="24"/>
                      </w:rPr>
                      <w:t>Sąnarių kontraktūros (netrukdančios pacientui vaikščioti) M24.5, M25.8</w:t>
                    </w:r>
                  </w:p>
                </w:tc>
                <w:tc>
                  <w:tcPr>
                    <w:tcW w:w="922" w:type="pct"/>
                  </w:tcPr>
                  <w:p>
                    <w:pPr>
                      <w:jc w:val="center"/>
                      <w:rPr>
                        <w:szCs w:val="24"/>
                      </w:rPr>
                    </w:pPr>
                    <w:r>
                      <w:rPr>
                        <w:szCs w:val="24"/>
                      </w:rPr>
                      <w:t>12</w:t>
                    </w:r>
                  </w:p>
                </w:tc>
              </w:tr>
            </w:tbl>
            <w:p>
              <w:pPr>
                <w:rPr>
                  <w:b/>
                  <w:szCs w:val="24"/>
                </w:rPr>
              </w:pPr>
            </w:p>
          </w:sdtContent>
        </w:sdt>
        <w:sdt>
          <w:sdtPr>
            <w:alias w:val="skyrius"/>
            <w:tag w:val="part_7b1126a9bee3484088319d655e64c4f5"/>
            <w:lock w:val="sdtLocked"/>
            <w:richText/>
          </w:sdtPr>
          <w:sdtContent>
            <w:p>
              <w:pPr>
                <w:jc w:val="center"/>
                <w:rPr>
                  <w:b/>
                  <w:szCs w:val="24"/>
                </w:rPr>
              </w:pPr>
              <w:sdt>
                <w:sdtPr>
                  <w:alias w:val="Numeris"/>
                  <w:tag w:val="nr_7b1126a9bee3484088319d655e64c4f5"/>
                  <w:lock w:val="sdtLocked"/>
                  <w:richText/>
                </w:sdtPr>
                <w:sdtContent>
                  <w:r>
                    <w:rPr>
                      <w:b/>
                      <w:szCs w:val="24"/>
                    </w:rPr>
                    <w:t>V</w:t>
                  </w:r>
                </w:sdtContent>
              </w:sdt>
              <w:r>
                <w:rPr>
                  <w:b/>
                  <w:szCs w:val="24"/>
                </w:rPr>
                <w:t xml:space="preserve"> SKYRIUS</w:t>
              </w:r>
            </w:p>
            <w:p>
              <w:pPr>
                <w:suppressAutoHyphens/>
                <w:jc w:val="center"/>
                <w:rPr>
                  <w:b/>
                  <w:szCs w:val="24"/>
                </w:rPr>
              </w:pPr>
              <w:sdt>
                <w:sdtPr>
                  <w:alias w:val="Pavadinimas"/>
                  <w:tag w:val="title_7b1126a9bee3484088319d655e64c4f5"/>
                  <w:lock w:val="sdtLocked"/>
                  <w:richText/>
                </w:sdtPr>
                <w:sdtContent>
                  <w:r>
                    <w:rPr>
                      <w:b/>
                      <w:szCs w:val="24"/>
                    </w:rPr>
                    <w:t>PREVENCINĖS IR POSTVENCINĖS MEDICININĖS PSICHOLOGINĖS REABILITACIJOS</w:t>
                  </w:r>
                  <w:r>
                    <w:rPr>
                      <w:b/>
                      <w:iCs/>
                      <w:szCs w:val="24"/>
                    </w:rPr>
                    <w:t xml:space="preserve"> PASLAUGŲ TEIKIMO SPECIALIEJI REIKALAVIMAI IR INDIKACIJOS</w:t>
                  </w:r>
                </w:sdtContent>
              </w:sdt>
            </w:p>
            <w:p>
              <w:pPr>
                <w:rPr>
                  <w:szCs w:val="24"/>
                </w:rPr>
              </w:pPr>
            </w:p>
            <w:p>
              <w:pPr>
                <w:suppressAutoHyphens/>
                <w:jc w:val="center"/>
                <w:rPr>
                  <w:b/>
                  <w:szCs w:val="24"/>
                </w:rPr>
              </w:pPr>
              <w:r>
                <w:rPr>
                  <w:b/>
                  <w:szCs w:val="24"/>
                </w:rPr>
                <w:t>Specialieji reikalavimai</w:t>
              </w:r>
            </w:p>
            <w:p>
              <w:pPr>
                <w:rPr>
                  <w:szCs w:val="24"/>
                </w:rPr>
              </w:pPr>
            </w:p>
            <w:tbl>
              <w:tblPr>
                <w:tblW w:w="5000" w:type="pct"/>
                <w:tblBorders>
                  <w:top w:val="single" w:sz="4" w:space="0" w:color="auto"/>
                  <w:left w:val="single" w:sz="4" w:space="0" w:color="auto"/>
                  <w:bottom w:val="single" w:sz="4" w:space="0" w:color="auto"/>
                  <w:right w:val="single" w:sz="4" w:space="0" w:color="auto"/>
                </w:tblBorders>
                <w:tblLook w:val="00A0" w:firstRow="1" w:lastRow="0" w:firstColumn="1" w:lastColumn="0" w:noHBand="0" w:noVBand="0"/>
              </w:tblPr>
              <w:tblGrid>
                <w:gridCol w:w="9854"/>
              </w:tblGrid>
              <w:tr>
                <w:trPr>
                  <w:cantSplit/>
                  <w:trHeight w:val="20"/>
                </w:trPr>
                <w:tc>
                  <w:tcPr>
                    <w:tcW w:w="5000" w:type="pct"/>
                    <w:tcBorders>
                      <w:top w:val="single" w:sz="4" w:space="0" w:color="auto"/>
                      <w:bottom w:val="single" w:sz="4" w:space="0" w:color="auto"/>
                    </w:tcBorders>
                    <w:vAlign w:val="center"/>
                  </w:tcPr>
                  <w:p>
                    <w:pPr>
                      <w:widowControl w:val="0"/>
                      <w:ind w:firstLine="22"/>
                      <w:jc w:val="both"/>
                      <w:rPr>
                        <w:szCs w:val="24"/>
                        <w:lang w:eastAsia="lt-LT"/>
                      </w:rPr>
                    </w:pPr>
                    <w:r>
                      <w:rPr>
                        <w:szCs w:val="24"/>
                        <w:lang w:eastAsia="lt-LT"/>
                      </w:rPr>
                      <w:t xml:space="preserve">Paslaugos vienam pacientui per 7 kalendorines dienas: medicinos psichologo konsultacijų - 2, individualios ir (ar) grupinės psichoterapijos paslaugų skaičius – pagal poreikį, atsižvelgiant į paciento būklę ir indikacijas; kineziterapija – 6 procedūros, </w:t>
                    </w:r>
                    <w:r>
                      <w:rPr>
                        <w:szCs w:val="24"/>
                      </w:rPr>
                      <w:t>gydomasis</w:t>
                    </w:r>
                    <w:r>
                      <w:rPr>
                        <w:szCs w:val="24"/>
                        <w:lang w:eastAsia="lt-LT"/>
                      </w:rPr>
                      <w:t xml:space="preserve"> masažas – 4 procedūros, fizioterapija – 3 procedūros. </w:t>
                    </w:r>
                  </w:p>
                  <w:p>
                    <w:pPr>
                      <w:widowControl w:val="0"/>
                      <w:ind w:firstLine="22"/>
                      <w:jc w:val="both"/>
                      <w:rPr>
                        <w:szCs w:val="24"/>
                        <w:lang w:eastAsia="lt-LT"/>
                      </w:rPr>
                    </w:pPr>
                    <w:r>
                      <w:rPr>
                        <w:szCs w:val="24"/>
                        <w:lang w:eastAsia="lt-LT"/>
                      </w:rPr>
                      <w:t>Tyrimų mastas vienam pacientui per reabilitacijos ciklą: psichologinės savijautos tyrimai – 2, kiti tyrimai – pagal indikacijas.</w:t>
                    </w:r>
                  </w:p>
                  <w:p>
                    <w:pPr>
                      <w:widowControl w:val="0"/>
                      <w:ind w:firstLine="22"/>
                      <w:jc w:val="both"/>
                      <w:rPr>
                        <w:szCs w:val="24"/>
                        <w:lang w:eastAsia="lt-LT"/>
                      </w:rPr>
                    </w:pPr>
                    <w:r>
                      <w:rPr>
                        <w:szCs w:val="24"/>
                        <w:lang w:eastAsia="lt-LT"/>
                      </w:rPr>
                      <w:t>Paūmėjus gretutiniam susirgimui užtikrinama reikiama antrinio lygio gydytojo specialisto konsultacija.</w:t>
                    </w:r>
                  </w:p>
                  <w:p>
                    <w:pPr>
                      <w:widowControl w:val="0"/>
                      <w:ind w:firstLine="22"/>
                      <w:jc w:val="both"/>
                      <w:rPr>
                        <w:szCs w:val="24"/>
                        <w:lang w:eastAsia="lt-LT"/>
                      </w:rPr>
                    </w:pPr>
                  </w:p>
                  <w:p>
                    <w:pPr>
                      <w:suppressAutoHyphens/>
                      <w:ind w:firstLine="22"/>
                      <w:jc w:val="both"/>
                      <w:rPr>
                        <w:szCs w:val="24"/>
                        <w:lang w:eastAsia="lt-LT"/>
                      </w:rPr>
                    </w:pPr>
                    <w:r>
                      <w:rPr>
                        <w:szCs w:val="24"/>
                        <w:lang w:eastAsia="lt-LT"/>
                      </w:rPr>
                      <w:t xml:space="preserve">Pastaba. </w:t>
                    </w:r>
                    <w:r>
                      <w:rPr>
                        <w:szCs w:val="24"/>
                      </w:rPr>
                      <w:t>Paslaugų skaičius vienam pacientui, nustatytas šiuose reikalavimuose, gali būti didinamas arba mažinamas, atsižvelgiant į paciento būklę ir indikacijas, tai pagrindžiant ir padarius atitinkamus įrašus gydymo stacionare ligos istorijoje (forma Nr. 003/a).</w:t>
                    </w:r>
                  </w:p>
                </w:tc>
              </w:tr>
            </w:tbl>
            <w:p>
              <w:pPr>
                <w:suppressAutoHyphens/>
                <w:jc w:val="center"/>
                <w:rPr>
                  <w:szCs w:val="24"/>
                </w:rPr>
              </w:pPr>
            </w:p>
            <w:p>
              <w:pPr>
                <w:jc w:val="center"/>
                <w:rPr>
                  <w:b/>
                  <w:szCs w:val="24"/>
                </w:rPr>
              </w:pPr>
              <w:r>
                <w:rPr>
                  <w:szCs w:val="24"/>
                </w:rPr>
                <w:br w:type="page"/>
              </w:r>
              <w:r>
                <w:rPr>
                  <w:b/>
                  <w:szCs w:val="24"/>
                </w:rPr>
                <w:t>Prevencinės ir postvencinės medicininės psichologinės reabilitacijos paslaugų teikimo indikacijos</w:t>
              </w:r>
            </w:p>
            <w:p>
              <w:pPr>
                <w:suppressAutoHyphens/>
                <w:jc w:val="center"/>
                <w:rPr>
                  <w:szCs w:val="24"/>
                </w:rPr>
              </w:pPr>
            </w:p>
            <w:tbl>
              <w:tblPr>
                <w:tblW w:w="5000" w:type="pct"/>
                <w:tblBorders>
                  <w:top w:val="single" w:sz="8" w:space="0" w:color="auto"/>
                  <w:left w:val="single" w:sz="8" w:space="0" w:color="auto"/>
                  <w:bottom w:val="single" w:sz="8" w:space="0" w:color="auto"/>
                  <w:right w:val="single" w:sz="8" w:space="0" w:color="auto"/>
                  <w:insideH w:val="single" w:sz="6" w:space="0" w:color="auto"/>
                  <w:insideV w:val="single" w:sz="6" w:space="0" w:color="auto"/>
                </w:tblBorders>
                <w:tblCellMar>
                  <w:left w:w="0" w:type="dxa"/>
                  <w:right w:w="0" w:type="dxa"/>
                </w:tblCellMar>
                <w:tblLook w:val="00A0" w:firstRow="1" w:lastRow="0" w:firstColumn="1" w:lastColumn="0" w:noHBand="0" w:noVBand="0"/>
              </w:tblPr>
              <w:tblGrid>
                <w:gridCol w:w="1003"/>
                <w:gridCol w:w="6975"/>
                <w:gridCol w:w="1876"/>
              </w:tblGrid>
              <w:tr>
                <w:tc>
                  <w:tcPr>
                    <w:tcW w:w="509" w:type="pct"/>
                    <w:tcMar>
                      <w:top w:w="0" w:type="dxa"/>
                      <w:left w:w="108" w:type="dxa"/>
                      <w:bottom w:w="0" w:type="dxa"/>
                      <w:right w:w="108" w:type="dxa"/>
                    </w:tcMar>
                    <w:vAlign w:val="center"/>
                  </w:tcPr>
                  <w:p>
                    <w:pPr>
                      <w:ind w:firstLine="62"/>
                      <w:jc w:val="center"/>
                      <w:rPr>
                        <w:szCs w:val="24"/>
                        <w:lang w:eastAsia="lt-LT"/>
                      </w:rPr>
                    </w:pPr>
                    <w:r>
                      <w:rPr>
                        <w:bCs/>
                        <w:szCs w:val="24"/>
                        <w:lang w:eastAsia="lt-LT"/>
                      </w:rPr>
                      <w:t>Eil. Nr.</w:t>
                    </w:r>
                  </w:p>
                </w:tc>
                <w:tc>
                  <w:tcPr>
                    <w:tcW w:w="3539" w:type="pct"/>
                    <w:tcMar>
                      <w:top w:w="0" w:type="dxa"/>
                      <w:left w:w="108" w:type="dxa"/>
                      <w:bottom w:w="0" w:type="dxa"/>
                      <w:right w:w="108" w:type="dxa"/>
                    </w:tcMar>
                    <w:vAlign w:val="center"/>
                  </w:tcPr>
                  <w:p>
                    <w:pPr>
                      <w:jc w:val="center"/>
                      <w:rPr>
                        <w:szCs w:val="24"/>
                        <w:lang w:eastAsia="lt-LT"/>
                      </w:rPr>
                    </w:pPr>
                    <w:r>
                      <w:rPr>
                        <w:bCs/>
                        <w:szCs w:val="24"/>
                        <w:lang w:eastAsia="lt-LT"/>
                      </w:rPr>
                      <w:t xml:space="preserve">Indikacijos </w:t>
                    </w:r>
                  </w:p>
                </w:tc>
                <w:tc>
                  <w:tcPr>
                    <w:tcW w:w="952" w:type="pct"/>
                    <w:tcMar>
                      <w:top w:w="0" w:type="dxa"/>
                      <w:left w:w="108" w:type="dxa"/>
                      <w:bottom w:w="0" w:type="dxa"/>
                      <w:right w:w="108" w:type="dxa"/>
                    </w:tcMar>
                    <w:vAlign w:val="center"/>
                  </w:tcPr>
                  <w:p>
                    <w:pPr>
                      <w:jc w:val="center"/>
                      <w:rPr>
                        <w:szCs w:val="24"/>
                        <w:lang w:eastAsia="lt-LT"/>
                      </w:rPr>
                    </w:pPr>
                    <w:r>
                      <w:rPr>
                        <w:bCs/>
                        <w:szCs w:val="24"/>
                        <w:lang w:eastAsia="lt-LT"/>
                      </w:rPr>
                      <w:t>Reabilitacijos trukmė</w:t>
                    </w:r>
                  </w:p>
                  <w:p>
                    <w:pPr>
                      <w:jc w:val="center"/>
                      <w:rPr>
                        <w:szCs w:val="24"/>
                        <w:lang w:eastAsia="lt-LT"/>
                      </w:rPr>
                    </w:pPr>
                    <w:r>
                      <w:rPr>
                        <w:bCs/>
                        <w:szCs w:val="24"/>
                        <w:lang w:eastAsia="lt-LT"/>
                      </w:rPr>
                      <w:t>(kalendorinėmis dienomis)</w:t>
                    </w:r>
                  </w:p>
                </w:tc>
              </w:tr>
              <w:tr>
                <w:tc>
                  <w:tcPr>
                    <w:tcW w:w="509" w:type="pct"/>
                    <w:tcMar>
                      <w:top w:w="0" w:type="dxa"/>
                      <w:left w:w="108" w:type="dxa"/>
                      <w:bottom w:w="0" w:type="dxa"/>
                      <w:right w:w="108" w:type="dxa"/>
                    </w:tcMar>
                  </w:tcPr>
                  <w:p>
                    <w:pPr>
                      <w:ind w:firstLine="284"/>
                      <w:jc w:val="center"/>
                      <w:rPr>
                        <w:szCs w:val="24"/>
                        <w:lang w:eastAsia="lt-LT"/>
                      </w:rPr>
                    </w:pPr>
                    <w:r>
                      <w:rPr>
                        <w:szCs w:val="24"/>
                        <w:lang w:eastAsia="lt-LT"/>
                      </w:rPr>
                      <w:t>1.</w:t>
                    </w:r>
                  </w:p>
                </w:tc>
                <w:tc>
                  <w:tcPr>
                    <w:tcW w:w="3539" w:type="pct"/>
                    <w:tcMar>
                      <w:top w:w="0" w:type="dxa"/>
                      <w:left w:w="108" w:type="dxa"/>
                      <w:bottom w:w="0" w:type="dxa"/>
                      <w:right w:w="108" w:type="dxa"/>
                    </w:tcMar>
                  </w:tcPr>
                  <w:p>
                    <w:pPr>
                      <w:jc w:val="both"/>
                      <w:rPr>
                        <w:strike/>
                        <w:szCs w:val="24"/>
                        <w:lang w:eastAsia="lt-LT"/>
                      </w:rPr>
                    </w:pPr>
                    <w:r>
                      <w:rPr>
                        <w:szCs w:val="24"/>
                      </w:rPr>
                      <w:t>R</w:t>
                    </w:r>
                    <w:r>
                      <w:rPr>
                        <w:szCs w:val="24"/>
                        <w:lang w:eastAsia="lt-LT"/>
                      </w:rPr>
                      <w:t>eakcijos į stiprų stresą bei adaptacijos sutrikimai F43 Somatoforminiai sutrikimai F45</w:t>
                    </w:r>
                  </w:p>
                </w:tc>
                <w:tc>
                  <w:tcPr>
                    <w:tcW w:w="952" w:type="pct"/>
                    <w:tcMar>
                      <w:top w:w="0" w:type="dxa"/>
                      <w:left w:w="108" w:type="dxa"/>
                      <w:bottom w:w="0" w:type="dxa"/>
                      <w:right w:w="108" w:type="dxa"/>
                    </w:tcMar>
                  </w:tcPr>
                  <w:p>
                    <w:pPr>
                      <w:jc w:val="center"/>
                      <w:rPr>
                        <w:szCs w:val="24"/>
                        <w:lang w:eastAsia="lt-LT"/>
                      </w:rPr>
                    </w:pPr>
                    <w:r>
                      <w:rPr>
                        <w:szCs w:val="24"/>
                        <w:lang w:eastAsia="lt-LT"/>
                      </w:rPr>
                      <w:t>10</w:t>
                    </w:r>
                  </w:p>
                </w:tc>
              </w:tr>
              <w:tr>
                <w:tc>
                  <w:tcPr>
                    <w:tcW w:w="509" w:type="pct"/>
                    <w:tcMar>
                      <w:top w:w="0" w:type="dxa"/>
                      <w:left w:w="108" w:type="dxa"/>
                      <w:bottom w:w="0" w:type="dxa"/>
                      <w:right w:w="108" w:type="dxa"/>
                    </w:tcMar>
                  </w:tcPr>
                  <w:p>
                    <w:pPr>
                      <w:keepNext/>
                      <w:keepLines/>
                      <w:ind w:firstLine="284"/>
                      <w:jc w:val="center"/>
                      <w:outlineLvl w:val="1"/>
                      <w:rPr>
                        <w:strike/>
                        <w:szCs w:val="24"/>
                        <w:lang w:eastAsia="lt-LT"/>
                      </w:rPr>
                    </w:pPr>
                    <w:r>
                      <w:rPr>
                        <w:szCs w:val="24"/>
                        <w:lang w:eastAsia="lt-LT"/>
                      </w:rPr>
                      <w:t>2.</w:t>
                    </w:r>
                  </w:p>
                </w:tc>
                <w:tc>
                  <w:tcPr>
                    <w:tcW w:w="3539" w:type="pct"/>
                    <w:tcMar>
                      <w:top w:w="0" w:type="dxa"/>
                      <w:left w:w="108" w:type="dxa"/>
                      <w:bottom w:w="0" w:type="dxa"/>
                      <w:right w:w="108" w:type="dxa"/>
                    </w:tcMar>
                  </w:tcPr>
                  <w:p>
                    <w:pPr>
                      <w:jc w:val="both"/>
                      <w:rPr>
                        <w:szCs w:val="24"/>
                        <w:lang w:eastAsia="lt-LT"/>
                      </w:rPr>
                    </w:pPr>
                    <w:r>
                      <w:rPr>
                        <w:szCs w:val="24"/>
                        <w:lang w:eastAsia="lt-LT"/>
                      </w:rPr>
                      <w:t>Kita fizinė ir psichinė įtampa, susijusi su darbu Z56.6</w:t>
                    </w:r>
                  </w:p>
                </w:tc>
                <w:tc>
                  <w:tcPr>
                    <w:tcW w:w="952" w:type="pct"/>
                    <w:tcMar>
                      <w:top w:w="0" w:type="dxa"/>
                      <w:left w:w="108" w:type="dxa"/>
                      <w:bottom w:w="0" w:type="dxa"/>
                      <w:right w:w="108" w:type="dxa"/>
                    </w:tcMar>
                  </w:tcPr>
                  <w:p>
                    <w:pPr>
                      <w:jc w:val="center"/>
                      <w:rPr>
                        <w:szCs w:val="24"/>
                        <w:lang w:eastAsia="lt-LT"/>
                      </w:rPr>
                    </w:pPr>
                    <w:r>
                      <w:rPr>
                        <w:szCs w:val="24"/>
                        <w:lang w:eastAsia="lt-LT"/>
                      </w:rPr>
                      <w:t>7</w:t>
                    </w:r>
                  </w:p>
                </w:tc>
              </w:tr>
              <w:tr>
                <w:tc>
                  <w:tcPr>
                    <w:tcW w:w="509" w:type="pct"/>
                    <w:tcMar>
                      <w:top w:w="0" w:type="dxa"/>
                      <w:left w:w="108" w:type="dxa"/>
                      <w:bottom w:w="0" w:type="dxa"/>
                      <w:right w:w="108" w:type="dxa"/>
                    </w:tcMar>
                  </w:tcPr>
                  <w:p>
                    <w:pPr>
                      <w:ind w:firstLine="284"/>
                      <w:jc w:val="center"/>
                      <w:rPr>
                        <w:szCs w:val="24"/>
                        <w:lang w:eastAsia="lt-LT"/>
                      </w:rPr>
                    </w:pPr>
                    <w:r>
                      <w:rPr>
                        <w:szCs w:val="24"/>
                        <w:lang w:eastAsia="lt-LT"/>
                      </w:rPr>
                      <w:t>3.</w:t>
                    </w:r>
                  </w:p>
                </w:tc>
                <w:tc>
                  <w:tcPr>
                    <w:tcW w:w="3539" w:type="pct"/>
                    <w:tcMar>
                      <w:top w:w="0" w:type="dxa"/>
                      <w:left w:w="108" w:type="dxa"/>
                      <w:bottom w:w="0" w:type="dxa"/>
                      <w:right w:w="108" w:type="dxa"/>
                    </w:tcMar>
                  </w:tcPr>
                  <w:p>
                    <w:pPr>
                      <w:jc w:val="both"/>
                      <w:rPr>
                        <w:strike/>
                        <w:szCs w:val="24"/>
                        <w:lang w:eastAsia="lt-LT"/>
                      </w:rPr>
                    </w:pPr>
                    <w:r>
                      <w:rPr>
                        <w:szCs w:val="24"/>
                        <w:lang w:eastAsia="lt-LT"/>
                      </w:rPr>
                      <w:t>Šeimos nario dingimas arba mirtis, savižudybė Z63.4</w:t>
                    </w:r>
                  </w:p>
                </w:tc>
                <w:tc>
                  <w:tcPr>
                    <w:tcW w:w="952" w:type="pct"/>
                    <w:tcMar>
                      <w:top w:w="0" w:type="dxa"/>
                      <w:left w:w="108" w:type="dxa"/>
                      <w:bottom w:w="0" w:type="dxa"/>
                      <w:right w:w="108" w:type="dxa"/>
                    </w:tcMar>
                  </w:tcPr>
                  <w:p>
                    <w:pPr>
                      <w:jc w:val="center"/>
                      <w:rPr>
                        <w:szCs w:val="24"/>
                        <w:lang w:eastAsia="lt-LT"/>
                      </w:rPr>
                    </w:pPr>
                    <w:r>
                      <w:rPr>
                        <w:szCs w:val="24"/>
                        <w:lang w:eastAsia="lt-LT"/>
                      </w:rPr>
                      <w:t>7</w:t>
                    </w:r>
                  </w:p>
                </w:tc>
              </w:tr>
              <w:tr>
                <w:tc>
                  <w:tcPr>
                    <w:tcW w:w="509" w:type="pct"/>
                    <w:tcMar>
                      <w:top w:w="0" w:type="dxa"/>
                      <w:left w:w="108" w:type="dxa"/>
                      <w:bottom w:w="0" w:type="dxa"/>
                      <w:right w:w="108" w:type="dxa"/>
                    </w:tcMar>
                  </w:tcPr>
                  <w:p>
                    <w:pPr>
                      <w:ind w:firstLine="346"/>
                      <w:jc w:val="center"/>
                      <w:rPr>
                        <w:szCs w:val="24"/>
                        <w:lang w:eastAsia="lt-LT"/>
                      </w:rPr>
                    </w:pPr>
                    <w:r>
                      <w:rPr>
                        <w:szCs w:val="24"/>
                        <w:lang w:eastAsia="lt-LT"/>
                      </w:rPr>
                      <w:t>4.</w:t>
                    </w:r>
                  </w:p>
                </w:tc>
                <w:tc>
                  <w:tcPr>
                    <w:tcW w:w="3539" w:type="pct"/>
                    <w:tcMar>
                      <w:top w:w="0" w:type="dxa"/>
                      <w:left w:w="108" w:type="dxa"/>
                      <w:bottom w:w="0" w:type="dxa"/>
                      <w:right w:w="108" w:type="dxa"/>
                    </w:tcMar>
                  </w:tcPr>
                  <w:p>
                    <w:pPr>
                      <w:ind w:firstLine="62"/>
                      <w:jc w:val="both"/>
                      <w:rPr>
                        <w:strike/>
                        <w:szCs w:val="24"/>
                        <w:lang w:eastAsia="lt-LT"/>
                      </w:rPr>
                    </w:pPr>
                    <w:r>
                      <w:rPr>
                        <w:szCs w:val="24"/>
                        <w:lang w:eastAsia="lt-LT"/>
                      </w:rPr>
                      <w:t>„Perdegimo“ sindromas (emocinis išsekimas) Z73.0</w:t>
                    </w:r>
                  </w:p>
                </w:tc>
                <w:tc>
                  <w:tcPr>
                    <w:tcW w:w="952" w:type="pct"/>
                    <w:tcMar>
                      <w:top w:w="0" w:type="dxa"/>
                      <w:left w:w="108" w:type="dxa"/>
                      <w:bottom w:w="0" w:type="dxa"/>
                      <w:right w:w="108" w:type="dxa"/>
                    </w:tcMar>
                  </w:tcPr>
                  <w:p>
                    <w:pPr>
                      <w:jc w:val="center"/>
                      <w:rPr>
                        <w:szCs w:val="24"/>
                        <w:lang w:eastAsia="lt-LT"/>
                      </w:rPr>
                    </w:pPr>
                    <w:r>
                      <w:rPr>
                        <w:szCs w:val="24"/>
                        <w:lang w:eastAsia="lt-LT"/>
                      </w:rPr>
                      <w:t>7</w:t>
                    </w:r>
                    <w:r>
                      <w:rPr>
                        <w:bCs/>
                        <w:szCs w:val="24"/>
                        <w:lang w:eastAsia="lt-LT"/>
                      </w:rPr>
                      <w:t xml:space="preserve"> (pastaba)</w:t>
                    </w:r>
                  </w:p>
                </w:tc>
              </w:tr>
              <w:tr>
                <w:tc>
                  <w:tcPr>
                    <w:tcW w:w="509" w:type="pct"/>
                    <w:tcMar>
                      <w:top w:w="0" w:type="dxa"/>
                      <w:left w:w="108" w:type="dxa"/>
                      <w:bottom w:w="0" w:type="dxa"/>
                      <w:right w:w="108" w:type="dxa"/>
                    </w:tcMar>
                  </w:tcPr>
                  <w:p>
                    <w:pPr>
                      <w:ind w:firstLine="346"/>
                      <w:jc w:val="center"/>
                      <w:rPr>
                        <w:szCs w:val="24"/>
                        <w:lang w:eastAsia="lt-LT"/>
                      </w:rPr>
                    </w:pPr>
                    <w:r>
                      <w:rPr>
                        <w:szCs w:val="24"/>
                        <w:lang w:eastAsia="lt-LT"/>
                      </w:rPr>
                      <w:t>5.</w:t>
                    </w:r>
                  </w:p>
                </w:tc>
                <w:tc>
                  <w:tcPr>
                    <w:tcW w:w="3539" w:type="pct"/>
                    <w:tcMar>
                      <w:top w:w="0" w:type="dxa"/>
                      <w:left w:w="108" w:type="dxa"/>
                      <w:bottom w:w="0" w:type="dxa"/>
                      <w:right w:w="108" w:type="dxa"/>
                    </w:tcMar>
                  </w:tcPr>
                  <w:p>
                    <w:pPr>
                      <w:jc w:val="both"/>
                      <w:rPr>
                        <w:szCs w:val="24"/>
                        <w:lang w:eastAsia="lt-LT"/>
                      </w:rPr>
                    </w:pPr>
                    <w:r>
                      <w:rPr>
                        <w:szCs w:val="24"/>
                        <w:lang w:eastAsia="lt-LT"/>
                      </w:rPr>
                      <w:t>Nesutarimai su viršininku ir bendradarbiais Z56.4</w:t>
                    </w:r>
                  </w:p>
                </w:tc>
                <w:tc>
                  <w:tcPr>
                    <w:tcW w:w="952" w:type="pct"/>
                    <w:tcMar>
                      <w:top w:w="0" w:type="dxa"/>
                      <w:left w:w="108" w:type="dxa"/>
                      <w:bottom w:w="0" w:type="dxa"/>
                      <w:right w:w="108" w:type="dxa"/>
                    </w:tcMar>
                  </w:tcPr>
                  <w:p>
                    <w:pPr>
                      <w:jc w:val="center"/>
                      <w:rPr>
                        <w:szCs w:val="24"/>
                        <w:lang w:eastAsia="lt-LT"/>
                      </w:rPr>
                    </w:pPr>
                    <w:r>
                      <w:rPr>
                        <w:szCs w:val="24"/>
                        <w:lang w:eastAsia="lt-LT"/>
                      </w:rPr>
                      <w:t>7</w:t>
                    </w:r>
                  </w:p>
                </w:tc>
              </w:tr>
              <w:tr>
                <w:tc>
                  <w:tcPr>
                    <w:tcW w:w="509" w:type="pct"/>
                    <w:tcMar>
                      <w:top w:w="0" w:type="dxa"/>
                      <w:left w:w="108" w:type="dxa"/>
                      <w:bottom w:w="0" w:type="dxa"/>
                      <w:right w:w="108" w:type="dxa"/>
                    </w:tcMar>
                  </w:tcPr>
                  <w:p>
                    <w:pPr>
                      <w:ind w:firstLine="284"/>
                      <w:jc w:val="center"/>
                      <w:rPr>
                        <w:szCs w:val="24"/>
                        <w:lang w:eastAsia="lt-LT"/>
                      </w:rPr>
                    </w:pPr>
                    <w:r>
                      <w:rPr>
                        <w:szCs w:val="24"/>
                        <w:lang w:eastAsia="lt-LT"/>
                      </w:rPr>
                      <w:t>6.</w:t>
                    </w:r>
                  </w:p>
                </w:tc>
                <w:tc>
                  <w:tcPr>
                    <w:tcW w:w="3539" w:type="pct"/>
                    <w:tcMar>
                      <w:top w:w="0" w:type="dxa"/>
                      <w:left w:w="108" w:type="dxa"/>
                      <w:bottom w:w="0" w:type="dxa"/>
                      <w:right w:w="108" w:type="dxa"/>
                    </w:tcMar>
                  </w:tcPr>
                  <w:p>
                    <w:pPr>
                      <w:jc w:val="both"/>
                      <w:rPr>
                        <w:szCs w:val="24"/>
                        <w:lang w:eastAsia="lt-LT"/>
                      </w:rPr>
                    </w:pPr>
                    <w:r>
                      <w:rPr>
                        <w:szCs w:val="24"/>
                        <w:lang w:eastAsia="lt-LT"/>
                      </w:rPr>
                      <w:t>Profesinis rizikos faktorių poveikis arba išorinės priežastys, galinčios turėti įtakos sergamumui Z57.8</w:t>
                    </w:r>
                  </w:p>
                </w:tc>
                <w:tc>
                  <w:tcPr>
                    <w:tcW w:w="952" w:type="pct"/>
                    <w:tcMar>
                      <w:top w:w="0" w:type="dxa"/>
                      <w:left w:w="108" w:type="dxa"/>
                      <w:bottom w:w="0" w:type="dxa"/>
                      <w:right w:w="108" w:type="dxa"/>
                    </w:tcMar>
                  </w:tcPr>
                  <w:p>
                    <w:pPr>
                      <w:jc w:val="center"/>
                      <w:rPr>
                        <w:szCs w:val="24"/>
                        <w:lang w:eastAsia="lt-LT"/>
                      </w:rPr>
                    </w:pPr>
                    <w:r>
                      <w:rPr>
                        <w:szCs w:val="24"/>
                        <w:lang w:eastAsia="lt-LT"/>
                      </w:rPr>
                      <w:t>7–10</w:t>
                    </w:r>
                  </w:p>
                </w:tc>
              </w:tr>
              <w:tr>
                <w:trPr>
                  <w:trHeight w:val="273"/>
                </w:trPr>
                <w:tc>
                  <w:tcPr>
                    <w:tcW w:w="509" w:type="pct"/>
                    <w:tcMar>
                      <w:top w:w="0" w:type="dxa"/>
                      <w:left w:w="108" w:type="dxa"/>
                      <w:bottom w:w="0" w:type="dxa"/>
                      <w:right w:w="108" w:type="dxa"/>
                    </w:tcMar>
                  </w:tcPr>
                  <w:p>
                    <w:pPr>
                      <w:ind w:firstLine="284"/>
                      <w:jc w:val="center"/>
                      <w:rPr>
                        <w:szCs w:val="24"/>
                        <w:lang w:eastAsia="lt-LT"/>
                      </w:rPr>
                    </w:pPr>
                    <w:r>
                      <w:rPr>
                        <w:szCs w:val="24"/>
                        <w:lang w:eastAsia="lt-LT"/>
                      </w:rPr>
                      <w:t>6.1.</w:t>
                    </w:r>
                  </w:p>
                </w:tc>
                <w:tc>
                  <w:tcPr>
                    <w:tcW w:w="3539" w:type="pct"/>
                    <w:tcMar>
                      <w:top w:w="0" w:type="dxa"/>
                      <w:left w:w="108" w:type="dxa"/>
                      <w:bottom w:w="0" w:type="dxa"/>
                      <w:right w:w="108" w:type="dxa"/>
                    </w:tcMar>
                  </w:tcPr>
                  <w:p>
                    <w:pPr>
                      <w:jc w:val="both"/>
                      <w:rPr>
                        <w:strike/>
                        <w:szCs w:val="24"/>
                        <w:lang w:eastAsia="lt-LT"/>
                      </w:rPr>
                    </w:pPr>
                    <w:r>
                      <w:rPr>
                        <w:szCs w:val="24"/>
                        <w:lang w:eastAsia="lt-LT"/>
                      </w:rPr>
                      <w:t>Teisėtas prievartos priemonių panaudojimas</w:t>
                    </w:r>
                  </w:p>
                </w:tc>
                <w:tc>
                  <w:tcPr>
                    <w:tcW w:w="952" w:type="pct"/>
                    <w:tcMar>
                      <w:top w:w="0" w:type="dxa"/>
                      <w:left w:w="108" w:type="dxa"/>
                      <w:bottom w:w="0" w:type="dxa"/>
                      <w:right w:w="108" w:type="dxa"/>
                    </w:tcMar>
                  </w:tcPr>
                  <w:p>
                    <w:pPr>
                      <w:jc w:val="center"/>
                      <w:rPr>
                        <w:szCs w:val="24"/>
                        <w:lang w:eastAsia="lt-LT"/>
                      </w:rPr>
                    </w:pPr>
                    <w:r>
                      <w:rPr>
                        <w:szCs w:val="24"/>
                        <w:lang w:eastAsia="lt-LT"/>
                      </w:rPr>
                      <w:t>10 (pastaba)</w:t>
                    </w:r>
                  </w:p>
                </w:tc>
              </w:tr>
              <w:tr>
                <w:trPr>
                  <w:trHeight w:val="499"/>
                </w:trPr>
                <w:tc>
                  <w:tcPr>
                    <w:tcW w:w="509" w:type="pct"/>
                    <w:tcMar>
                      <w:top w:w="0" w:type="dxa"/>
                      <w:left w:w="108" w:type="dxa"/>
                      <w:bottom w:w="0" w:type="dxa"/>
                      <w:right w:w="108" w:type="dxa"/>
                    </w:tcMar>
                  </w:tcPr>
                  <w:p>
                    <w:pPr>
                      <w:ind w:firstLine="284"/>
                      <w:jc w:val="center"/>
                      <w:rPr>
                        <w:szCs w:val="24"/>
                        <w:lang w:eastAsia="lt-LT"/>
                      </w:rPr>
                    </w:pPr>
                    <w:r>
                      <w:rPr>
                        <w:szCs w:val="24"/>
                        <w:lang w:eastAsia="lt-LT"/>
                      </w:rPr>
                      <w:t>6.2.</w:t>
                    </w:r>
                  </w:p>
                </w:tc>
                <w:tc>
                  <w:tcPr>
                    <w:tcW w:w="3539" w:type="pct"/>
                    <w:tcMar>
                      <w:top w:w="0" w:type="dxa"/>
                      <w:left w:w="108" w:type="dxa"/>
                      <w:bottom w:w="0" w:type="dxa"/>
                      <w:right w:w="108" w:type="dxa"/>
                    </w:tcMar>
                  </w:tcPr>
                  <w:p>
                    <w:pPr>
                      <w:jc w:val="both"/>
                      <w:rPr>
                        <w:strike/>
                        <w:szCs w:val="24"/>
                        <w:lang w:eastAsia="lt-LT"/>
                      </w:rPr>
                    </w:pPr>
                    <w:r>
                      <w:rPr>
                        <w:szCs w:val="24"/>
                        <w:lang w:eastAsia="lt-LT"/>
                      </w:rPr>
                      <w:t>Ugniagesiai gelbėtojai, dirbantys kvėpuoti netinkamoje aplinkoje su autonominiu atvirojo kvėpavimo suslėgtojo oro aparatu, – po sukėlusio nelaimingą atsitikimą įregistruoto avarinio įvykio, dirbant kvėpuoti netinkamoje aplinkoje su autonominiu atvirojo kvėpavimo suslėgtojo oro aparatu</w:t>
                    </w:r>
                  </w:p>
                </w:tc>
                <w:tc>
                  <w:tcPr>
                    <w:tcW w:w="952" w:type="pct"/>
                    <w:tcMar>
                      <w:top w:w="0" w:type="dxa"/>
                      <w:left w:w="108" w:type="dxa"/>
                      <w:bottom w:w="0" w:type="dxa"/>
                      <w:right w:w="108" w:type="dxa"/>
                    </w:tcMar>
                  </w:tcPr>
                  <w:p>
                    <w:pPr>
                      <w:jc w:val="center"/>
                      <w:rPr>
                        <w:szCs w:val="24"/>
                        <w:lang w:eastAsia="lt-LT"/>
                      </w:rPr>
                    </w:pPr>
                    <w:r>
                      <w:rPr>
                        <w:szCs w:val="24"/>
                        <w:lang w:eastAsia="lt-LT"/>
                      </w:rPr>
                      <w:t>10</w:t>
                    </w:r>
                  </w:p>
                </w:tc>
              </w:tr>
              <w:tr>
                <w:trPr>
                  <w:trHeight w:val="499"/>
                </w:trPr>
                <w:tc>
                  <w:tcPr>
                    <w:tcW w:w="509" w:type="pct"/>
                    <w:tcMar>
                      <w:top w:w="0" w:type="dxa"/>
                      <w:left w:w="108" w:type="dxa"/>
                      <w:bottom w:w="0" w:type="dxa"/>
                      <w:right w:w="108" w:type="dxa"/>
                    </w:tcMar>
                  </w:tcPr>
                  <w:p>
                    <w:pPr>
                      <w:ind w:firstLine="284"/>
                      <w:jc w:val="center"/>
                      <w:rPr>
                        <w:szCs w:val="24"/>
                        <w:lang w:eastAsia="lt-LT"/>
                      </w:rPr>
                    </w:pPr>
                    <w:r>
                      <w:rPr>
                        <w:szCs w:val="24"/>
                        <w:lang w:eastAsia="lt-LT"/>
                      </w:rPr>
                      <w:t>6.3.</w:t>
                    </w:r>
                  </w:p>
                </w:tc>
                <w:tc>
                  <w:tcPr>
                    <w:tcW w:w="3539" w:type="pct"/>
                    <w:tcMar>
                      <w:top w:w="0" w:type="dxa"/>
                      <w:left w:w="108" w:type="dxa"/>
                      <w:bottom w:w="0" w:type="dxa"/>
                      <w:right w:w="108" w:type="dxa"/>
                    </w:tcMar>
                  </w:tcPr>
                  <w:p>
                    <w:pPr>
                      <w:jc w:val="both"/>
                      <w:rPr>
                        <w:strike/>
                        <w:szCs w:val="24"/>
                        <w:lang w:eastAsia="lt-LT"/>
                      </w:rPr>
                    </w:pPr>
                    <w:r>
                      <w:rPr>
                        <w:szCs w:val="24"/>
                        <w:lang w:eastAsia="lt-LT"/>
                      </w:rPr>
                      <w:t>Aviacijos tarnybų skraidantysis personalas – po sukėlusio lengvą nelaimingą atsitikimą įregistruoto avarinio įvykio skrydžio metu</w:t>
                    </w:r>
                  </w:p>
                </w:tc>
                <w:tc>
                  <w:tcPr>
                    <w:tcW w:w="952" w:type="pct"/>
                    <w:tcMar>
                      <w:top w:w="0" w:type="dxa"/>
                      <w:left w:w="108" w:type="dxa"/>
                      <w:bottom w:w="0" w:type="dxa"/>
                      <w:right w:w="108" w:type="dxa"/>
                    </w:tcMar>
                  </w:tcPr>
                  <w:p>
                    <w:pPr>
                      <w:jc w:val="center"/>
                      <w:rPr>
                        <w:szCs w:val="24"/>
                        <w:lang w:eastAsia="lt-LT"/>
                      </w:rPr>
                    </w:pPr>
                    <w:r>
                      <w:rPr>
                        <w:szCs w:val="24"/>
                        <w:lang w:eastAsia="lt-LT"/>
                      </w:rPr>
                      <w:t>10</w:t>
                    </w:r>
                  </w:p>
                </w:tc>
              </w:tr>
              <w:tr>
                <w:trPr>
                  <w:trHeight w:val="499"/>
                </w:trPr>
                <w:tc>
                  <w:tcPr>
                    <w:tcW w:w="509" w:type="pct"/>
                    <w:tcMar>
                      <w:top w:w="0" w:type="dxa"/>
                      <w:left w:w="108" w:type="dxa"/>
                      <w:bottom w:w="0" w:type="dxa"/>
                      <w:right w:w="108" w:type="dxa"/>
                    </w:tcMar>
                  </w:tcPr>
                  <w:p>
                    <w:pPr>
                      <w:ind w:firstLine="284"/>
                      <w:jc w:val="center"/>
                      <w:rPr>
                        <w:szCs w:val="24"/>
                        <w:lang w:eastAsia="lt-LT"/>
                      </w:rPr>
                    </w:pPr>
                    <w:r>
                      <w:rPr>
                        <w:szCs w:val="24"/>
                        <w:lang w:eastAsia="lt-LT"/>
                      </w:rPr>
                      <w:t>6.4.</w:t>
                    </w:r>
                  </w:p>
                </w:tc>
                <w:tc>
                  <w:tcPr>
                    <w:tcW w:w="3539" w:type="pct"/>
                    <w:tcMar>
                      <w:top w:w="0" w:type="dxa"/>
                      <w:left w:w="108" w:type="dxa"/>
                      <w:bottom w:w="0" w:type="dxa"/>
                      <w:right w:w="108" w:type="dxa"/>
                    </w:tcMar>
                  </w:tcPr>
                  <w:p>
                    <w:pPr>
                      <w:jc w:val="both"/>
                      <w:rPr>
                        <w:strike/>
                        <w:szCs w:val="24"/>
                        <w:lang w:eastAsia="lt-LT"/>
                      </w:rPr>
                    </w:pPr>
                    <w:r>
                      <w:rPr>
                        <w:szCs w:val="24"/>
                        <w:lang w:eastAsia="lt-LT"/>
                      </w:rPr>
                      <w:t>Laivų įgulų nariai ir kitas plaukiojantysis personalas – po sukėlusio nelaimingą atsitikimą įregistruoto avarinio įvykio jūroje metu</w:t>
                    </w:r>
                  </w:p>
                </w:tc>
                <w:tc>
                  <w:tcPr>
                    <w:tcW w:w="952" w:type="pct"/>
                    <w:tcMar>
                      <w:top w:w="0" w:type="dxa"/>
                      <w:left w:w="108" w:type="dxa"/>
                      <w:bottom w:w="0" w:type="dxa"/>
                      <w:right w:w="108" w:type="dxa"/>
                    </w:tcMar>
                  </w:tcPr>
                  <w:p>
                    <w:pPr>
                      <w:jc w:val="center"/>
                      <w:rPr>
                        <w:szCs w:val="24"/>
                        <w:lang w:eastAsia="lt-LT"/>
                      </w:rPr>
                    </w:pPr>
                    <w:r>
                      <w:rPr>
                        <w:szCs w:val="24"/>
                        <w:lang w:eastAsia="lt-LT"/>
                      </w:rPr>
                      <w:t>10</w:t>
                    </w:r>
                  </w:p>
                </w:tc>
              </w:tr>
              <w:tr>
                <w:trPr>
                  <w:trHeight w:val="499"/>
                </w:trPr>
                <w:tc>
                  <w:tcPr>
                    <w:tcW w:w="509" w:type="pct"/>
                    <w:tcMar>
                      <w:top w:w="0" w:type="dxa"/>
                      <w:left w:w="108" w:type="dxa"/>
                      <w:bottom w:w="0" w:type="dxa"/>
                      <w:right w:w="108" w:type="dxa"/>
                    </w:tcMar>
                  </w:tcPr>
                  <w:p>
                    <w:pPr>
                      <w:ind w:firstLine="284"/>
                      <w:jc w:val="center"/>
                      <w:rPr>
                        <w:szCs w:val="24"/>
                        <w:lang w:eastAsia="lt-LT"/>
                      </w:rPr>
                    </w:pPr>
                    <w:r>
                      <w:rPr>
                        <w:szCs w:val="24"/>
                        <w:lang w:eastAsia="lt-LT"/>
                      </w:rPr>
                      <w:t>6.5.</w:t>
                    </w:r>
                  </w:p>
                </w:tc>
                <w:tc>
                  <w:tcPr>
                    <w:tcW w:w="3539" w:type="pct"/>
                    <w:tcMar>
                      <w:top w:w="0" w:type="dxa"/>
                      <w:left w:w="108" w:type="dxa"/>
                      <w:bottom w:w="0" w:type="dxa"/>
                      <w:right w:w="108" w:type="dxa"/>
                    </w:tcMar>
                  </w:tcPr>
                  <w:p>
                    <w:pPr>
                      <w:jc w:val="both"/>
                      <w:rPr>
                        <w:strike/>
                        <w:szCs w:val="24"/>
                        <w:lang w:eastAsia="lt-LT"/>
                      </w:rPr>
                    </w:pPr>
                    <w:r>
                      <w:rPr>
                        <w:szCs w:val="24"/>
                        <w:lang w:eastAsia="lt-LT"/>
                      </w:rPr>
                      <w:t>Narai, dirbantys kvėpuoti netinkamoje aplinkoje su autonominiu atvirojo kvėpavimo suslėgtojo oro aparatu, – po sukėlusio nelaimingą atsitikimą įregistruoto avarinio įvykio, dirbant kvėpuoti netinkamoje aplinkoje su autonominiu atvirojo kvėpavimo suslėgtojo oro aparatu</w:t>
                    </w:r>
                  </w:p>
                </w:tc>
                <w:tc>
                  <w:tcPr>
                    <w:tcW w:w="952" w:type="pct"/>
                    <w:tcMar>
                      <w:top w:w="0" w:type="dxa"/>
                      <w:left w:w="108" w:type="dxa"/>
                      <w:bottom w:w="0" w:type="dxa"/>
                      <w:right w:w="108" w:type="dxa"/>
                    </w:tcMar>
                  </w:tcPr>
                  <w:p>
                    <w:pPr>
                      <w:jc w:val="center"/>
                      <w:rPr>
                        <w:szCs w:val="24"/>
                        <w:lang w:eastAsia="lt-LT"/>
                      </w:rPr>
                    </w:pPr>
                    <w:r>
                      <w:rPr>
                        <w:szCs w:val="24"/>
                        <w:lang w:eastAsia="lt-LT"/>
                      </w:rPr>
                      <w:t>10</w:t>
                    </w:r>
                  </w:p>
                </w:tc>
              </w:tr>
              <w:tr>
                <w:trPr>
                  <w:trHeight w:val="499"/>
                </w:trPr>
                <w:tc>
                  <w:tcPr>
                    <w:tcW w:w="509" w:type="pct"/>
                    <w:tcMar>
                      <w:top w:w="0" w:type="dxa"/>
                      <w:left w:w="108" w:type="dxa"/>
                      <w:bottom w:w="0" w:type="dxa"/>
                      <w:right w:w="108" w:type="dxa"/>
                    </w:tcMar>
                  </w:tcPr>
                  <w:p>
                    <w:pPr>
                      <w:ind w:firstLine="284"/>
                      <w:jc w:val="center"/>
                      <w:rPr>
                        <w:szCs w:val="24"/>
                        <w:lang w:eastAsia="lt-LT"/>
                      </w:rPr>
                    </w:pPr>
                    <w:r>
                      <w:rPr>
                        <w:szCs w:val="24"/>
                        <w:lang w:eastAsia="lt-LT"/>
                      </w:rPr>
                      <w:t>6.6.</w:t>
                    </w:r>
                  </w:p>
                </w:tc>
                <w:tc>
                  <w:tcPr>
                    <w:tcW w:w="3539" w:type="pct"/>
                    <w:tcMar>
                      <w:top w:w="0" w:type="dxa"/>
                      <w:left w:w="108" w:type="dxa"/>
                      <w:bottom w:w="0" w:type="dxa"/>
                      <w:right w:w="108" w:type="dxa"/>
                    </w:tcMar>
                  </w:tcPr>
                  <w:p>
                    <w:pPr>
                      <w:jc w:val="both"/>
                      <w:rPr>
                        <w:strike/>
                        <w:szCs w:val="24"/>
                        <w:lang w:eastAsia="lt-LT"/>
                      </w:rPr>
                    </w:pPr>
                    <w:r>
                      <w:rPr>
                        <w:szCs w:val="24"/>
                        <w:lang w:eastAsia="lt-LT"/>
                      </w:rPr>
                      <w:t>Ugniagesiai gelbėtojai, dirbantys kvėpuoti netinkamoje aplinkoje su autonominiu atvirojo kvėpavimo suslėgtojo oro aparatu, – po 80 darbo valandų</w:t>
                    </w:r>
                  </w:p>
                </w:tc>
                <w:tc>
                  <w:tcPr>
                    <w:tcW w:w="952" w:type="pct"/>
                    <w:tcMar>
                      <w:top w:w="0" w:type="dxa"/>
                      <w:left w:w="108" w:type="dxa"/>
                      <w:bottom w:w="0" w:type="dxa"/>
                      <w:right w:w="108" w:type="dxa"/>
                    </w:tcMar>
                  </w:tcPr>
                  <w:p>
                    <w:pPr>
                      <w:jc w:val="center"/>
                      <w:rPr>
                        <w:szCs w:val="24"/>
                        <w:lang w:eastAsia="lt-LT"/>
                      </w:rPr>
                    </w:pPr>
                    <w:r>
                      <w:rPr>
                        <w:szCs w:val="24"/>
                        <w:lang w:eastAsia="lt-LT"/>
                      </w:rPr>
                      <w:t>7</w:t>
                    </w:r>
                  </w:p>
                </w:tc>
              </w:tr>
              <w:tr>
                <w:trPr>
                  <w:trHeight w:val="499"/>
                </w:trPr>
                <w:tc>
                  <w:tcPr>
                    <w:tcW w:w="509" w:type="pct"/>
                    <w:tcMar>
                      <w:top w:w="0" w:type="dxa"/>
                      <w:left w:w="108" w:type="dxa"/>
                      <w:bottom w:w="0" w:type="dxa"/>
                      <w:right w:w="108" w:type="dxa"/>
                    </w:tcMar>
                  </w:tcPr>
                  <w:p>
                    <w:pPr>
                      <w:ind w:firstLine="284"/>
                      <w:jc w:val="center"/>
                      <w:rPr>
                        <w:szCs w:val="24"/>
                        <w:lang w:eastAsia="lt-LT"/>
                      </w:rPr>
                    </w:pPr>
                    <w:r>
                      <w:rPr>
                        <w:szCs w:val="24"/>
                        <w:lang w:eastAsia="lt-LT"/>
                      </w:rPr>
                      <w:t>6.7.</w:t>
                    </w:r>
                  </w:p>
                </w:tc>
                <w:tc>
                  <w:tcPr>
                    <w:tcW w:w="3539" w:type="pct"/>
                    <w:tcMar>
                      <w:top w:w="0" w:type="dxa"/>
                      <w:left w:w="108" w:type="dxa"/>
                      <w:bottom w:w="0" w:type="dxa"/>
                      <w:right w:w="108" w:type="dxa"/>
                    </w:tcMar>
                  </w:tcPr>
                  <w:p>
                    <w:pPr>
                      <w:jc w:val="both"/>
                      <w:rPr>
                        <w:szCs w:val="24"/>
                        <w:lang w:eastAsia="lt-LT"/>
                      </w:rPr>
                    </w:pPr>
                    <w:r>
                      <w:rPr>
                        <w:szCs w:val="24"/>
                        <w:lang w:eastAsia="lt-LT"/>
                      </w:rPr>
                      <w:t>Aviacijos tarnybų skraidantysis personalas – po 70 valandų skraidymo sraigtasparniais</w:t>
                    </w:r>
                  </w:p>
                </w:tc>
                <w:tc>
                  <w:tcPr>
                    <w:tcW w:w="952" w:type="pct"/>
                    <w:tcMar>
                      <w:top w:w="0" w:type="dxa"/>
                      <w:left w:w="108" w:type="dxa"/>
                      <w:bottom w:w="0" w:type="dxa"/>
                      <w:right w:w="108" w:type="dxa"/>
                    </w:tcMar>
                  </w:tcPr>
                  <w:p>
                    <w:pPr>
                      <w:jc w:val="center"/>
                      <w:rPr>
                        <w:szCs w:val="24"/>
                        <w:lang w:eastAsia="lt-LT"/>
                      </w:rPr>
                    </w:pPr>
                    <w:r>
                      <w:rPr>
                        <w:szCs w:val="24"/>
                        <w:lang w:eastAsia="lt-LT"/>
                      </w:rPr>
                      <w:t>7</w:t>
                    </w:r>
                  </w:p>
                </w:tc>
              </w:tr>
              <w:tr>
                <w:trPr>
                  <w:trHeight w:val="499"/>
                </w:trPr>
                <w:tc>
                  <w:tcPr>
                    <w:tcW w:w="509" w:type="pct"/>
                    <w:tcMar>
                      <w:top w:w="0" w:type="dxa"/>
                      <w:left w:w="108" w:type="dxa"/>
                      <w:bottom w:w="0" w:type="dxa"/>
                      <w:right w:w="108" w:type="dxa"/>
                    </w:tcMar>
                  </w:tcPr>
                  <w:p>
                    <w:pPr>
                      <w:ind w:firstLine="284"/>
                      <w:jc w:val="center"/>
                      <w:rPr>
                        <w:szCs w:val="24"/>
                        <w:lang w:eastAsia="lt-LT"/>
                      </w:rPr>
                    </w:pPr>
                    <w:r>
                      <w:rPr>
                        <w:szCs w:val="24"/>
                        <w:lang w:eastAsia="lt-LT"/>
                      </w:rPr>
                      <w:t>6.8.</w:t>
                    </w:r>
                  </w:p>
                </w:tc>
                <w:tc>
                  <w:tcPr>
                    <w:tcW w:w="3539" w:type="pct"/>
                    <w:tcMar>
                      <w:top w:w="0" w:type="dxa"/>
                      <w:left w:w="108" w:type="dxa"/>
                      <w:bottom w:w="0" w:type="dxa"/>
                      <w:right w:w="108" w:type="dxa"/>
                    </w:tcMar>
                  </w:tcPr>
                  <w:p>
                    <w:pPr>
                      <w:jc w:val="both"/>
                      <w:rPr>
                        <w:szCs w:val="24"/>
                        <w:lang w:eastAsia="lt-LT"/>
                      </w:rPr>
                    </w:pPr>
                    <w:r>
                      <w:rPr>
                        <w:szCs w:val="24"/>
                        <w:lang w:eastAsia="lt-LT"/>
                      </w:rPr>
                      <w:t>Aviacijos tarnybų skraidantysis personalas – po 100 valandų skraidymo kitais orlaiviais</w:t>
                    </w:r>
                  </w:p>
                </w:tc>
                <w:tc>
                  <w:tcPr>
                    <w:tcW w:w="952" w:type="pct"/>
                    <w:tcMar>
                      <w:top w:w="0" w:type="dxa"/>
                      <w:left w:w="108" w:type="dxa"/>
                      <w:bottom w:w="0" w:type="dxa"/>
                      <w:right w:w="108" w:type="dxa"/>
                    </w:tcMar>
                  </w:tcPr>
                  <w:p>
                    <w:pPr>
                      <w:jc w:val="center"/>
                      <w:rPr>
                        <w:szCs w:val="24"/>
                        <w:lang w:eastAsia="lt-LT"/>
                      </w:rPr>
                    </w:pPr>
                    <w:r>
                      <w:rPr>
                        <w:szCs w:val="24"/>
                        <w:lang w:eastAsia="lt-LT"/>
                      </w:rPr>
                      <w:t>7</w:t>
                    </w:r>
                  </w:p>
                </w:tc>
              </w:tr>
              <w:tr>
                <w:trPr>
                  <w:trHeight w:val="499"/>
                </w:trPr>
                <w:tc>
                  <w:tcPr>
                    <w:tcW w:w="509" w:type="pct"/>
                    <w:tcMar>
                      <w:top w:w="0" w:type="dxa"/>
                      <w:left w:w="108" w:type="dxa"/>
                      <w:bottom w:w="0" w:type="dxa"/>
                      <w:right w:w="108" w:type="dxa"/>
                    </w:tcMar>
                  </w:tcPr>
                  <w:p>
                    <w:pPr>
                      <w:ind w:firstLine="284"/>
                      <w:jc w:val="center"/>
                      <w:rPr>
                        <w:szCs w:val="24"/>
                        <w:lang w:eastAsia="lt-LT"/>
                      </w:rPr>
                    </w:pPr>
                    <w:r>
                      <w:rPr>
                        <w:szCs w:val="24"/>
                        <w:lang w:eastAsia="lt-LT"/>
                      </w:rPr>
                      <w:t>6.9.</w:t>
                    </w:r>
                  </w:p>
                </w:tc>
                <w:tc>
                  <w:tcPr>
                    <w:tcW w:w="3539" w:type="pct"/>
                    <w:tcMar>
                      <w:top w:w="0" w:type="dxa"/>
                      <w:left w:w="108" w:type="dxa"/>
                      <w:bottom w:w="0" w:type="dxa"/>
                      <w:right w:w="108" w:type="dxa"/>
                    </w:tcMar>
                  </w:tcPr>
                  <w:p>
                    <w:pPr>
                      <w:jc w:val="both"/>
                      <w:rPr>
                        <w:strike/>
                        <w:szCs w:val="24"/>
                        <w:lang w:eastAsia="lt-LT"/>
                      </w:rPr>
                    </w:pPr>
                    <w:r>
                      <w:rPr>
                        <w:szCs w:val="24"/>
                        <w:lang w:eastAsia="lt-LT"/>
                      </w:rPr>
                      <w:t>Narai, dirbantys kvėpuoti netinkamoje aplinkoje su autonominiu atvirojo kvėpavimo suslėgtojo oro aparatu, – po 60 darbo valandų</w:t>
                    </w:r>
                  </w:p>
                </w:tc>
                <w:tc>
                  <w:tcPr>
                    <w:tcW w:w="952" w:type="pct"/>
                    <w:tcMar>
                      <w:top w:w="0" w:type="dxa"/>
                      <w:left w:w="108" w:type="dxa"/>
                      <w:bottom w:w="0" w:type="dxa"/>
                      <w:right w:w="108" w:type="dxa"/>
                    </w:tcMar>
                  </w:tcPr>
                  <w:p>
                    <w:pPr>
                      <w:jc w:val="center"/>
                      <w:rPr>
                        <w:szCs w:val="24"/>
                        <w:lang w:eastAsia="lt-LT"/>
                      </w:rPr>
                    </w:pPr>
                    <w:r>
                      <w:rPr>
                        <w:szCs w:val="24"/>
                        <w:lang w:eastAsia="lt-LT"/>
                      </w:rPr>
                      <w:t>7</w:t>
                    </w:r>
                  </w:p>
                </w:tc>
              </w:tr>
              <w:tr>
                <w:trPr>
                  <w:trHeight w:val="499"/>
                </w:trPr>
                <w:tc>
                  <w:tcPr>
                    <w:tcW w:w="509" w:type="pct"/>
                    <w:tcMar>
                      <w:top w:w="0" w:type="dxa"/>
                      <w:left w:w="108" w:type="dxa"/>
                      <w:bottom w:w="0" w:type="dxa"/>
                      <w:right w:w="108" w:type="dxa"/>
                    </w:tcMar>
                  </w:tcPr>
                  <w:p>
                    <w:pPr>
                      <w:ind w:firstLine="284"/>
                      <w:jc w:val="center"/>
                      <w:rPr>
                        <w:szCs w:val="24"/>
                        <w:lang w:eastAsia="lt-LT"/>
                      </w:rPr>
                    </w:pPr>
                    <w:r>
                      <w:rPr>
                        <w:szCs w:val="24"/>
                        <w:lang w:eastAsia="lt-LT"/>
                      </w:rPr>
                      <w:t>6.10.</w:t>
                    </w:r>
                  </w:p>
                </w:tc>
                <w:tc>
                  <w:tcPr>
                    <w:tcW w:w="3539" w:type="pct"/>
                    <w:tcMar>
                      <w:top w:w="0" w:type="dxa"/>
                      <w:left w:w="108" w:type="dxa"/>
                      <w:bottom w:w="0" w:type="dxa"/>
                      <w:right w:w="108" w:type="dxa"/>
                    </w:tcMar>
                  </w:tcPr>
                  <w:p>
                    <w:pPr>
                      <w:jc w:val="both"/>
                      <w:rPr>
                        <w:strike/>
                        <w:szCs w:val="24"/>
                        <w:lang w:eastAsia="lt-LT"/>
                      </w:rPr>
                    </w:pPr>
                    <w:r>
                      <w:rPr>
                        <w:szCs w:val="24"/>
                        <w:lang w:eastAsia="lt-LT"/>
                      </w:rPr>
                      <w:t>Išminuotojai, per paskutinius kalendorinius metus bent kartą betarpiškai nukenksminę sprogiąsias medžiagas</w:t>
                    </w:r>
                  </w:p>
                </w:tc>
                <w:tc>
                  <w:tcPr>
                    <w:tcW w:w="952" w:type="pct"/>
                    <w:tcMar>
                      <w:top w:w="0" w:type="dxa"/>
                      <w:left w:w="108" w:type="dxa"/>
                      <w:bottom w:w="0" w:type="dxa"/>
                      <w:right w:w="108" w:type="dxa"/>
                    </w:tcMar>
                  </w:tcPr>
                  <w:p>
                    <w:pPr>
                      <w:jc w:val="center"/>
                      <w:rPr>
                        <w:szCs w:val="24"/>
                        <w:lang w:eastAsia="lt-LT"/>
                      </w:rPr>
                    </w:pPr>
                    <w:r>
                      <w:rPr>
                        <w:szCs w:val="24"/>
                        <w:lang w:eastAsia="lt-LT"/>
                      </w:rPr>
                      <w:t>7</w:t>
                    </w:r>
                  </w:p>
                </w:tc>
              </w:tr>
              <w:tr>
                <w:tc>
                  <w:tcPr>
                    <w:tcW w:w="509" w:type="pct"/>
                    <w:tcMar>
                      <w:top w:w="0" w:type="dxa"/>
                      <w:left w:w="108" w:type="dxa"/>
                      <w:bottom w:w="0" w:type="dxa"/>
                      <w:right w:w="108" w:type="dxa"/>
                    </w:tcMar>
                  </w:tcPr>
                  <w:p>
                    <w:pPr>
                      <w:ind w:firstLine="346"/>
                      <w:jc w:val="center"/>
                      <w:rPr>
                        <w:szCs w:val="24"/>
                        <w:lang w:eastAsia="lt-LT"/>
                      </w:rPr>
                    </w:pPr>
                    <w:r>
                      <w:rPr>
                        <w:szCs w:val="24"/>
                        <w:lang w:eastAsia="lt-LT"/>
                      </w:rPr>
                      <w:t>7.</w:t>
                    </w:r>
                  </w:p>
                </w:tc>
                <w:tc>
                  <w:tcPr>
                    <w:tcW w:w="3539" w:type="pct"/>
                    <w:tcMar>
                      <w:top w:w="0" w:type="dxa"/>
                      <w:left w:w="108" w:type="dxa"/>
                      <w:bottom w:w="0" w:type="dxa"/>
                      <w:right w:w="108" w:type="dxa"/>
                    </w:tcMar>
                  </w:tcPr>
                  <w:p>
                    <w:pPr>
                      <w:jc w:val="both"/>
                      <w:rPr>
                        <w:szCs w:val="24"/>
                        <w:lang w:eastAsia="lt-LT"/>
                      </w:rPr>
                    </w:pPr>
                    <w:r>
                      <w:rPr>
                        <w:szCs w:val="24"/>
                        <w:lang w:eastAsia="lt-LT"/>
                      </w:rPr>
                      <w:t xml:space="preserve">Katastrofų, karo ir kitų priešiškų veiksnių poveikis (taip pat pareigūnams, grįžusiems iš tarptautinių misijų) Z65.5 </w:t>
                    </w:r>
                  </w:p>
                  <w:p>
                    <w:pPr>
                      <w:jc w:val="both"/>
                      <w:rPr>
                        <w:strike/>
                        <w:szCs w:val="24"/>
                        <w:lang w:eastAsia="lt-LT"/>
                      </w:rPr>
                    </w:pPr>
                    <w:r>
                      <w:rPr>
                        <w:szCs w:val="24"/>
                        <w:lang w:eastAsia="lt-LT"/>
                      </w:rPr>
                      <w:t>Nusikaltimo ir terorizmo auka Z65.4</w:t>
                    </w:r>
                  </w:p>
                </w:tc>
                <w:tc>
                  <w:tcPr>
                    <w:tcW w:w="952" w:type="pct"/>
                    <w:tcMar>
                      <w:top w:w="0" w:type="dxa"/>
                      <w:left w:w="108" w:type="dxa"/>
                      <w:bottom w:w="0" w:type="dxa"/>
                      <w:right w:w="108" w:type="dxa"/>
                    </w:tcMar>
                  </w:tcPr>
                  <w:p>
                    <w:pPr>
                      <w:jc w:val="center"/>
                      <w:rPr>
                        <w:strike/>
                        <w:szCs w:val="24"/>
                        <w:lang w:eastAsia="lt-LT"/>
                      </w:rPr>
                    </w:pPr>
                    <w:r>
                      <w:rPr>
                        <w:szCs w:val="24"/>
                        <w:lang w:eastAsia="lt-LT"/>
                      </w:rPr>
                      <w:t>10</w:t>
                    </w:r>
                  </w:p>
                </w:tc>
              </w:tr>
              <w:tr>
                <w:tc>
                  <w:tcPr>
                    <w:tcW w:w="509" w:type="pct"/>
                    <w:tcMar>
                      <w:top w:w="0" w:type="dxa"/>
                      <w:left w:w="108" w:type="dxa"/>
                      <w:bottom w:w="0" w:type="dxa"/>
                      <w:right w:w="108" w:type="dxa"/>
                    </w:tcMar>
                  </w:tcPr>
                  <w:p>
                    <w:pPr>
                      <w:widowControl w:val="0"/>
                      <w:ind w:firstLine="284"/>
                      <w:jc w:val="center"/>
                      <w:rPr>
                        <w:szCs w:val="24"/>
                        <w:lang w:eastAsia="lt-LT"/>
                      </w:rPr>
                    </w:pPr>
                    <w:r>
                      <w:rPr>
                        <w:szCs w:val="24"/>
                        <w:lang w:eastAsia="lt-LT"/>
                      </w:rPr>
                      <w:t>8.</w:t>
                    </w:r>
                  </w:p>
                </w:tc>
                <w:tc>
                  <w:tcPr>
                    <w:tcW w:w="3539" w:type="pct"/>
                    <w:tcMar>
                      <w:top w:w="0" w:type="dxa"/>
                      <w:left w:w="108" w:type="dxa"/>
                      <w:bottom w:w="0" w:type="dxa"/>
                      <w:right w:w="108" w:type="dxa"/>
                    </w:tcMar>
                  </w:tcPr>
                  <w:p>
                    <w:pPr>
                      <w:widowControl w:val="0"/>
                      <w:jc w:val="both"/>
                      <w:rPr>
                        <w:szCs w:val="24"/>
                        <w:lang w:eastAsia="lt-LT"/>
                      </w:rPr>
                    </w:pPr>
                    <w:r>
                      <w:rPr>
                        <w:szCs w:val="24"/>
                        <w:lang w:eastAsia="lt-LT"/>
                      </w:rPr>
                      <w:t>Nekontroliuojamos ugnies pastate ar statinyje poveikis X00</w:t>
                    </w:r>
                  </w:p>
                </w:tc>
                <w:tc>
                  <w:tcPr>
                    <w:tcW w:w="952" w:type="pct"/>
                    <w:tcMar>
                      <w:top w:w="0" w:type="dxa"/>
                      <w:left w:w="108" w:type="dxa"/>
                      <w:bottom w:w="0" w:type="dxa"/>
                      <w:right w:w="108" w:type="dxa"/>
                    </w:tcMar>
                  </w:tcPr>
                  <w:p>
                    <w:pPr>
                      <w:widowControl w:val="0"/>
                      <w:jc w:val="center"/>
                      <w:rPr>
                        <w:szCs w:val="24"/>
                        <w:lang w:eastAsia="lt-LT"/>
                      </w:rPr>
                    </w:pPr>
                    <w:r>
                      <w:rPr>
                        <w:szCs w:val="24"/>
                        <w:lang w:eastAsia="lt-LT"/>
                      </w:rPr>
                      <w:t>10</w:t>
                    </w:r>
                  </w:p>
                </w:tc>
              </w:tr>
            </w:tbl>
            <w:p>
              <w:pPr>
                <w:suppressAutoHyphens/>
                <w:jc w:val="center"/>
                <w:rPr>
                  <w:szCs w:val="24"/>
                </w:rPr>
              </w:pPr>
            </w:p>
            <w:p>
              <w:pPr>
                <w:tabs>
                  <w:tab w:val="left" w:pos="7797"/>
                </w:tabs>
                <w:jc w:val="both"/>
                <w:rPr>
                  <w:iCs/>
                  <w:szCs w:val="24"/>
                </w:rPr>
              </w:pPr>
              <w:r>
                <w:rPr>
                  <w:szCs w:val="24"/>
                </w:rPr>
                <w:t>Pastaba. Lietuvos Respublikos Vyriausybei paskelbus valstybės lygio ekstremaliąją situaciją visoje Lietuvos Respublikos teritorijoje ir 6 mėnesius po šios ekstremaliosios situacijos pabaigos</w:t>
              </w:r>
              <w:r>
                <w:rPr>
                  <w:iCs/>
                  <w:szCs w:val="24"/>
                </w:rPr>
                <w:t xml:space="preserve"> reabilitacijos trukmė gali būti trumpinama mažinant </w:t>
              </w:r>
              <w:r>
                <w:rPr>
                  <w:szCs w:val="24"/>
                </w:rPr>
                <w:t>paslaugų ar tyrimų skaičių</w:t>
              </w:r>
              <w:r>
                <w:rPr>
                  <w:iCs/>
                  <w:szCs w:val="24"/>
                </w:rPr>
                <w:t>.</w:t>
              </w:r>
            </w:p>
            <w:p>
              <w:pPr/>
            </w:p>
            <w:p>
              <w:pPr>
                <w:jc w:val="center"/>
              </w:pPr>
              <w:r>
                <w:rPr>
                  <w:szCs w:val="24"/>
                </w:rPr>
                <w:t xml:space="preserve">________________________ </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vidaus reikalų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c465fe04e3e11e6b72ff16034f7f796">
            <w:r w:rsidRPr="00532B9F">
              <w:rPr>
                <w:rFonts w:ascii="Times New Roman" w:eastAsia="MS Mincho" w:hAnsi="Times New Roman"/>
                <w:sz w:val="20"/>
                <w:iCs/>
                <w:color w:val="0000FF" w:themeColor="hyperlink"/>
                <w:u w:val="single"/>
              </w:rPr>
              <w:t>1V-503</w:t>
            </w:r>
          </w:fldSimple>
          <w:r>
            <w:rPr>
              <w:rFonts w:ascii="Times New Roman" w:eastAsia="MS Mincho" w:hAnsi="Times New Roman"/>
              <w:sz w:val="20"/>
              <w:iCs/>
            </w:rPr>
            <w:t>,
2016-07-20,
paskelbta TAR 2016-07-20, i. k. 2016-20812                </w:t>
          </w:r>
        </w:p>
        <w:p>
          <w:pPr>
            <w:jc w:val="both"/>
            <w:rPr>
              <w:rFonts w:ascii="Times New Roman" w:hAnsi="Times New Roman"/>
            </w:rPr>
          </w:pPr>
          <w:r>
            <w:rPr>
              <w:rFonts w:ascii="Times New Roman" w:hAnsi="Times New Roman"/>
              <w:sz w:val="20"/>
            </w:rPr>
            <w:t>Dėl Lietuvos Respublikos vidaus reikalų ministro 2015 m. rugsėjo 30 d. įsakymo Nr. 1V-762 „Dėl Vidaus tarnybos sistemos pareigūnų stacionarinės medicininės reabilitacijos, prevencinės ir postvencinės medicininės psichologinės reabilitacijos, sveikatos grąžinamojo, antirecidyvinio gydymo, kai jis apmokamas iš dalies arba neapmokamas iš privalomojo sveikatos draudimo fondo biudžeto,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vidaus reikalų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02d7aa00d6e11e79800e8266c1e5d1b">
            <w:r w:rsidRPr="00532B9F">
              <w:rPr>
                <w:rFonts w:ascii="Times New Roman" w:eastAsia="MS Mincho" w:hAnsi="Times New Roman"/>
                <w:sz w:val="20"/>
                <w:iCs/>
                <w:color w:val="0000FF" w:themeColor="hyperlink"/>
                <w:u w:val="single"/>
              </w:rPr>
              <w:t>1V-203</w:t>
            </w:r>
          </w:fldSimple>
          <w:r>
            <w:rPr>
              <w:rFonts w:ascii="Times New Roman" w:eastAsia="MS Mincho" w:hAnsi="Times New Roman"/>
              <w:sz w:val="20"/>
              <w:iCs/>
            </w:rPr>
            <w:t>,
2017-03-20,
paskelbta TAR 2017-03-20, i. k. 2017-04619                </w:t>
          </w:r>
        </w:p>
        <w:p>
          <w:pPr>
            <w:jc w:val="both"/>
            <w:rPr>
              <w:rFonts w:ascii="Times New Roman" w:hAnsi="Times New Roman"/>
            </w:rPr>
          </w:pPr>
          <w:r>
            <w:rPr>
              <w:rFonts w:ascii="Times New Roman" w:hAnsi="Times New Roman"/>
              <w:sz w:val="20"/>
            </w:rPr>
            <w:t>Dėl Lietuvos Respublikos vidaus reikalų ministro 2015 m. rugsėjo 30 d. įsakymo Nr. 1V-762 „Dėl Vidaus tarnybos sistemos pareigūnų medicininės reabilitacijos, prevencinės medicininės ir psichologinės reabilitacijos, sveikatos grąžinamojo ir antirecidyvinio gydymo, kai tai iš dalies apmokama arba neapmokama iš privalomojo sveikatos draudimo fondo biudžeto,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vidaus reikalų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ebece5076d911e9b81587fcbd5a76f6">
            <w:r w:rsidRPr="00532B9F">
              <w:rPr>
                <w:rFonts w:ascii="Times New Roman" w:eastAsia="MS Mincho" w:hAnsi="Times New Roman"/>
                <w:sz w:val="20"/>
                <w:iCs/>
                <w:color w:val="0000FF" w:themeColor="hyperlink"/>
                <w:u w:val="single"/>
              </w:rPr>
              <w:t>1V-456</w:t>
            </w:r>
          </w:fldSimple>
          <w:r>
            <w:rPr>
              <w:rFonts w:ascii="Times New Roman" w:eastAsia="MS Mincho" w:hAnsi="Times New Roman"/>
              <w:sz w:val="20"/>
              <w:iCs/>
            </w:rPr>
            <w:t>,
2019-05-15,
paskelbta TAR 2019-05-15, i. k. 2019-07691                </w:t>
          </w:r>
        </w:p>
        <w:p>
          <w:pPr>
            <w:jc w:val="both"/>
            <w:rPr>
              <w:rFonts w:ascii="Times New Roman" w:hAnsi="Times New Roman"/>
            </w:rPr>
          </w:pPr>
          <w:r>
            <w:rPr>
              <w:rFonts w:ascii="Times New Roman" w:hAnsi="Times New Roman"/>
              <w:sz w:val="20"/>
            </w:rPr>
            <w:t>Dėl Lietuvos Respublikos vidaus reikalų ministro 2015 m. rugsėjo 30 d. įsakymo Nr. 1V-762 „Dėl Vidaus tarnybos sistemos pareigūnų medicininės reabilitacijos, prevencinės medicininės ir psichologinės reabilitacijos, sveikatos grąžinamojo ir antirecidyvinio gydymo, kai tai iš dalies apmokama arba neapmokama iš privalomojo sveikatos draudimo fondo biudžeto,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vidaus reikalų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6d529b0359811eb932eb1ed7f923910">
            <w:r w:rsidRPr="00532B9F">
              <w:rPr>
                <w:rFonts w:ascii="Times New Roman" w:eastAsia="MS Mincho" w:hAnsi="Times New Roman"/>
                <w:sz w:val="20"/>
                <w:iCs/>
                <w:color w:val="0000FF" w:themeColor="hyperlink"/>
                <w:u w:val="single"/>
              </w:rPr>
              <w:t>1V-1250</w:t>
            </w:r>
          </w:fldSimple>
          <w:r>
            <w:rPr>
              <w:rFonts w:ascii="Times New Roman" w:eastAsia="MS Mincho" w:hAnsi="Times New Roman"/>
              <w:sz w:val="20"/>
              <w:iCs/>
            </w:rPr>
            <w:t>,
2020-12-03,
paskelbta TAR 2020-12-04, i. k. 2020-26192                </w:t>
          </w:r>
        </w:p>
        <w:p>
          <w:pPr>
            <w:jc w:val="both"/>
            <w:rPr>
              <w:rFonts w:ascii="Times New Roman" w:hAnsi="Times New Roman"/>
            </w:rPr>
          </w:pPr>
          <w:r>
            <w:rPr>
              <w:rFonts w:ascii="Times New Roman" w:hAnsi="Times New Roman"/>
              <w:sz w:val="20"/>
            </w:rPr>
            <w:t>Dėl Lietuvos Respublikos vidaus reikalų ministro 2015 m. rugsėjo 30 d. įsakymo Nr. 1V-762 „Dėl Vidaus tarnybos sistemos pareigūnų medicininės reabilitacijos, prevencinės medicininės ir psichologinės reabilitacijos, sveikatos grąžinamojo ir antirecidyvinio gydymo, kai tai iš dalies apmokama arba neapmokama iš Privalomojo sveikatos draudimo fondo biudžeto,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vidaus reikalų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4bf1ce005a411ec9f09e7df20500045">
            <w:r w:rsidRPr="00532B9F">
              <w:rPr>
                <w:rFonts w:ascii="Times New Roman" w:eastAsia="MS Mincho" w:hAnsi="Times New Roman"/>
                <w:sz w:val="20"/>
                <w:iCs/>
                <w:color w:val="0000FF" w:themeColor="hyperlink"/>
                <w:u w:val="single"/>
              </w:rPr>
              <w:t>1V-678</w:t>
            </w:r>
          </w:fldSimple>
          <w:r>
            <w:rPr>
              <w:rFonts w:ascii="Times New Roman" w:eastAsia="MS Mincho" w:hAnsi="Times New Roman"/>
              <w:sz w:val="20"/>
              <w:iCs/>
            </w:rPr>
            <w:t>,
2021-08-25,
paskelbta TAR 2021-08-25, i. k. 2021-17914                </w:t>
          </w:r>
        </w:p>
        <w:p>
          <w:pPr>
            <w:jc w:val="both"/>
            <w:rPr>
              <w:rFonts w:ascii="Times New Roman" w:hAnsi="Times New Roman"/>
            </w:rPr>
          </w:pPr>
          <w:r>
            <w:rPr>
              <w:rFonts w:ascii="Times New Roman" w:hAnsi="Times New Roman"/>
              <w:sz w:val="20"/>
            </w:rPr>
            <w:t>Dėl Lietuvos Respublikos vidaus reikalų ministro 2015 m. rugsėjo 30 d. įsakymo Nr. 1V-762 „Dėl Vidaus tarnybos sistemos ir Lietuvos Respublikos vadovybės apsaugos tarnybos pareigūnų medicininės reabilitacijos, prevencinės medicininės ir psichologinės reabilitacijos, sveikatos grąžinamojo ir antirecidyvinio gydymo, kai tai iš dalies apmokama arba neapmokama iš Privalomojo sveikatos draudimo fondo biudžeto,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vidaus reikalų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e49dc51b0b611ef88c08519262548c4">
            <w:r w:rsidRPr="00532B9F">
              <w:rPr>
                <w:rFonts w:ascii="Times New Roman" w:eastAsia="MS Mincho" w:hAnsi="Times New Roman"/>
                <w:sz w:val="20"/>
                <w:iCs/>
                <w:color w:val="0000FF" w:themeColor="hyperlink"/>
                <w:u w:val="single"/>
              </w:rPr>
              <w:t>1V-696</w:t>
            </w:r>
          </w:fldSimple>
          <w:r>
            <w:rPr>
              <w:rFonts w:ascii="Times New Roman" w:eastAsia="MS Mincho" w:hAnsi="Times New Roman"/>
              <w:sz w:val="20"/>
              <w:iCs/>
            </w:rPr>
            <w:t>,
2024-12-02,
paskelbta TAR 2024-12-02, i. k. 2024-21213                </w:t>
          </w:r>
        </w:p>
        <w:p>
          <w:pPr>
            <w:jc w:val="both"/>
            <w:rPr>
              <w:rFonts w:ascii="Times New Roman" w:hAnsi="Times New Roman"/>
            </w:rPr>
          </w:pPr>
          <w:r>
            <w:rPr>
              <w:rFonts w:ascii="Times New Roman" w:hAnsi="Times New Roman"/>
              <w:sz w:val="20"/>
            </w:rPr>
            <w:t>Dėl Lietuvos Respublikos vidaus reikalų ministro 2015 m. rugsėjo 30 d. įsakymo Nr. 1V-762 „Dėl Vidaus tarnybos sistemos ir Lietuvos Respublikos vadovybės apsaugos tarnybos pareigūnų medicininės reabilitacijos, prevencinės medicininės ir psichologinės reabilitacijos, sveikatos grąžinamojo ir antirecidyvinio gydymo, kai tai iš dalies apmokama arba neapmokama iš Privalomojo sveikatos draudimo fondo biudžeto,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6" w:h="16838"/>
      <w:pgMar w:top="1135" w:right="567" w:bottom="1134" w:left="1701" w:header="571" w:footer="567"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rFonts w:ascii="Calibri" w:eastAsia="Calibri" w:hAnsi="Calibri"/>
          <w:sz w:val="22"/>
          <w:szCs w:val="22"/>
        </w:rPr>
      </w:pPr>
      <w:r>
        <w:rPr>
          <w:rFonts w:ascii="Calibri" w:eastAsia="Calibri" w:hAnsi="Calibri"/>
          <w:sz w:val="22"/>
          <w:szCs w:val="22"/>
        </w:rPr>
        <w:separator/>
      </w:r>
    </w:p>
  </w:endnote>
  <w:endnote w:type="continuationSeparator" w:id="0">
    <w:p>
      <w:pPr>
        <w:rPr>
          <w:rFonts w:ascii="Calibri" w:eastAsia="Calibri" w:hAnsi="Calibri"/>
          <w:sz w:val="22"/>
          <w:szCs w:val="22"/>
        </w:rPr>
      </w:pPr>
      <w:r>
        <w:rPr>
          <w:rFonts w:ascii="Calibri" w:eastAsia="Calibri" w:hAnsi="Calibri"/>
          <w:sz w:val="22"/>
          <w:szCs w:val="22"/>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Calibri">
    <w:panose1 w:val="020F0502020204030204"/>
    <w:charset w:val="BA"/>
    <w:family w:val="swiss"/>
    <w:pitch w:val="variable"/>
    <w:sig w:usb0="E4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Calibri" w:eastAsia="Calibri" w:hAnsi="Calibri"/>
        <w:sz w:val="22"/>
        <w:szCs w:val="22"/>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Calibri" w:eastAsia="Calibri" w:hAnsi="Calibri"/>
        <w:sz w:val="22"/>
        <w:szCs w:val="22"/>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Calibri" w:eastAsia="Calibri" w:hAnsi="Calibri"/>
        <w:sz w:val="22"/>
        <w:szCs w:val="22"/>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Calibri" w:eastAsia="Calibri" w:hAnsi="Calibri"/>
        <w:sz w:val="22"/>
        <w:szCs w:val="22"/>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Calibri" w:eastAsia="Calibri" w:hAnsi="Calibri"/>
        <w:sz w:val="22"/>
        <w:szCs w:val="22"/>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Calibri" w:eastAsia="Calibri" w:hAnsi="Calibri"/>
        <w:sz w:val="22"/>
        <w:szCs w:val="22"/>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Calibri" w:eastAsia="Calibri" w:hAnsi="Calibri"/>
        <w:sz w:val="22"/>
        <w:szCs w:val="22"/>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Calibri" w:eastAsia="Calibri" w:hAnsi="Calibri"/>
        <w:sz w:val="22"/>
        <w:szCs w:val="22"/>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Calibri" w:eastAsia="Calibri" w:hAnsi="Calibri"/>
        <w:sz w:val="22"/>
        <w:szCs w:val="22"/>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Calibri" w:eastAsia="Calibri" w:hAnsi="Calibri"/>
        <w:sz w:val="22"/>
        <w:szCs w:val="22"/>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Calibri" w:eastAsia="Calibri" w:hAnsi="Calibri"/>
        <w:sz w:val="22"/>
        <w:szCs w:val="22"/>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Calibri" w:eastAsia="Calibri" w:hAnsi="Calibri"/>
        <w:sz w:val="22"/>
        <w:szCs w:val="22"/>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Calibri" w:eastAsia="Calibri" w:hAnsi="Calibri"/>
        <w:sz w:val="22"/>
        <w:szCs w:val="22"/>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Calibri" w:eastAsia="Calibri" w:hAnsi="Calibri"/>
        <w:sz w:val="22"/>
        <w:szCs w:val="22"/>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Calibri" w:eastAsia="Calibri" w:hAnsi="Calibri"/>
        <w:sz w:val="22"/>
        <w:szCs w:val="22"/>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Calibri" w:eastAsia="Calibri" w:hAnsi="Calibri"/>
        <w:sz w:val="22"/>
        <w:szCs w:val="22"/>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Calibri" w:eastAsia="Calibri" w:hAnsi="Calibri"/>
        <w:sz w:val="22"/>
        <w:szCs w:val="22"/>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Calibri" w:eastAsia="Calibri" w:hAnsi="Calibri"/>
        <w:sz w:val="22"/>
        <w:szCs w:val="22"/>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Calibri" w:eastAsia="Calibri" w:hAnsi="Calibri"/>
        <w:sz w:val="22"/>
        <w:szCs w:val="22"/>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Calibri" w:eastAsia="Calibri" w:hAnsi="Calibri"/>
        <w:sz w:val="22"/>
        <w:szCs w:val="22"/>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Calibri" w:eastAsia="Calibri" w:hAnsi="Calibri"/>
        <w:sz w:val="22"/>
        <w:szCs w:val="22"/>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Calibri" w:eastAsia="Calibri" w:hAnsi="Calibri"/>
        <w:sz w:val="22"/>
        <w:szCs w:val="22"/>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Calibri" w:eastAsia="Calibri" w:hAnsi="Calibri"/>
        <w:sz w:val="22"/>
        <w:szCs w:val="22"/>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Calibri" w:eastAsia="Calibri" w:hAnsi="Calibri"/>
        <w:sz w:val="22"/>
        <w:szCs w:val="22"/>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Calibri" w:eastAsia="Calibri" w:hAnsi="Calibri"/>
        <w:sz w:val="22"/>
        <w:szCs w:val="22"/>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Calibri" w:eastAsia="Calibri" w:hAnsi="Calibri"/>
        <w:sz w:val="22"/>
        <w:szCs w:val="22"/>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Calibri" w:eastAsia="Calibri" w:hAnsi="Calibri"/>
        <w:sz w:val="22"/>
        <w:szCs w:val="22"/>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Calibri" w:eastAsia="Calibri" w:hAnsi="Calibri"/>
        <w:sz w:val="22"/>
        <w:szCs w:val="22"/>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Calibri" w:eastAsia="Calibri" w:hAnsi="Calibri"/>
        <w:sz w:val="22"/>
        <w:szCs w:val="22"/>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Calibri" w:eastAsia="Calibri" w:hAnsi="Calibri"/>
        <w:sz w:val="22"/>
        <w:szCs w:val="22"/>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Calibri" w:eastAsia="Calibri" w:hAnsi="Calibri"/>
        <w:sz w:val="22"/>
        <w:szCs w:val="22"/>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Calibri" w:eastAsia="Calibri" w:hAnsi="Calibri"/>
        <w:sz w:val="22"/>
        <w:szCs w:val="22"/>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Calibri" w:eastAsia="Calibri" w:hAnsi="Calibri"/>
        <w:sz w:val="22"/>
        <w:szCs w:val="22"/>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Calibri" w:eastAsia="Calibri" w:hAnsi="Calibri"/>
        <w:sz w:val="22"/>
        <w:szCs w:val="22"/>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Calibri" w:eastAsia="Calibri" w:hAnsi="Calibri"/>
        <w:sz w:val="22"/>
        <w:szCs w:val="22"/>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Calibri" w:eastAsia="Calibri" w:hAnsi="Calibri"/>
        <w:sz w:val="22"/>
        <w:szCs w:val="22"/>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Calibri" w:eastAsia="Calibri" w:hAnsi="Calibri"/>
        <w:sz w:val="22"/>
        <w:szCs w:val="22"/>
      </w:rPr>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Calibri" w:eastAsia="Calibri" w:hAnsi="Calibri"/>
        <w:sz w:val="22"/>
        <w:szCs w:val="22"/>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Calibri" w:eastAsia="Calibri" w:hAnsi="Calibri"/>
        <w:sz w:val="22"/>
        <w:szCs w:val="22"/>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Calibri" w:eastAsia="Calibri" w:hAnsi="Calibri"/>
        <w:sz w:val="22"/>
        <w:szCs w:val="22"/>
      </w:rPr>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Calibri" w:eastAsia="Calibri" w:hAnsi="Calibri"/>
        <w:sz w:val="22"/>
        <w:szCs w:val="22"/>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Calibri" w:eastAsia="Calibri" w:hAnsi="Calibri"/>
        <w:sz w:val="22"/>
        <w:szCs w:val="22"/>
      </w:rPr>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Calibri" w:eastAsia="Calibri" w:hAnsi="Calibri"/>
        <w:sz w:val="22"/>
        <w:szCs w:val="22"/>
      </w:rPr>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Calibri" w:eastAsia="Calibri" w:hAnsi="Calibri"/>
        <w:sz w:val="22"/>
        <w:szCs w:val="22"/>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Calibri" w:eastAsia="Calibri" w:hAnsi="Calibri"/>
        <w:sz w:val="22"/>
        <w:szCs w:val="22"/>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Calibri" w:eastAsia="Calibri" w:hAnsi="Calibri"/>
        <w:sz w:val="22"/>
        <w:szCs w:val="22"/>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Calibri" w:eastAsia="Calibri" w:hAnsi="Calibri"/>
        <w:sz w:val="22"/>
        <w:szCs w:val="22"/>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Calibri" w:eastAsia="Calibri" w:hAnsi="Calibri"/>
        <w:sz w:val="22"/>
        <w:szCs w:val="22"/>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rFonts w:ascii="Calibri" w:eastAsia="Calibri" w:hAnsi="Calibri"/>
          <w:sz w:val="22"/>
          <w:szCs w:val="22"/>
        </w:rPr>
      </w:pPr>
      <w:r>
        <w:rPr>
          <w:rFonts w:ascii="Calibri" w:eastAsia="Calibri" w:hAnsi="Calibri"/>
          <w:sz w:val="22"/>
          <w:szCs w:val="22"/>
        </w:rPr>
        <w:separator/>
      </w:r>
    </w:p>
  </w:footnote>
  <w:footnote w:type="continuationSeparator" w:id="0">
    <w:p>
      <w:pPr>
        <w:rPr>
          <w:rFonts w:ascii="Calibri" w:eastAsia="Calibri" w:hAnsi="Calibri"/>
          <w:sz w:val="22"/>
          <w:szCs w:val="22"/>
        </w:rPr>
      </w:pPr>
      <w:r>
        <w:rPr>
          <w:rFonts w:ascii="Calibri" w:eastAsia="Calibri" w:hAnsi="Calibri"/>
          <w:sz w:val="22"/>
          <w:szCs w:val="22"/>
        </w:rPr>
        <w:continuationSeparator/>
      </w:r>
    </w:p>
  </w:footnote>
</w:footnotes>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rFonts w:ascii="Calibri" w:eastAsia="Calibri" w:hAnsi="Calibri"/>
        <w:sz w:val="22"/>
        <w:szCs w:val="22"/>
      </w:rPr>
    </w:pPr>
    <w:r>
      <w:rPr>
        <w:rFonts w:ascii="Calibri" w:eastAsia="Calibri" w:hAnsi="Calibri"/>
        <w:sz w:val="22"/>
        <w:szCs w:val="22"/>
      </w:rPr>
      <w:fldChar w:fldCharType="begin"/>
    </w:r>
    <w:r>
      <w:rPr>
        <w:rFonts w:ascii="Calibri" w:eastAsia="Calibri" w:hAnsi="Calibri"/>
        <w:sz w:val="22"/>
        <w:szCs w:val="22"/>
      </w:rPr>
      <w:instrText xml:space="preserve"> PAGE   \* MERGEFORMAT </w:instrText>
    </w:r>
    <w:r>
      <w:rPr>
        <w:rFonts w:ascii="Calibri" w:eastAsia="Calibri" w:hAnsi="Calibri"/>
        <w:sz w:val="22"/>
        <w:szCs w:val="22"/>
      </w:rPr>
      <w:fldChar w:fldCharType="separate"/>
    </w:r>
    <w:r>
      <w:rPr>
        <w:rFonts w:ascii="Calibri" w:eastAsia="Calibri" w:hAnsi="Calibri"/>
        <w:sz w:val="22"/>
        <w:szCs w:val="22"/>
      </w:rPr>
      <w:t>2</w:t>
    </w:r>
    <w:r>
      <w:rPr>
        <w:rFonts w:ascii="Calibri" w:eastAsia="Calibri" w:hAnsi="Calibri"/>
        <w:sz w:val="22"/>
        <w:szCs w:val="22"/>
      </w:rPr>
      <w:fldChar w:fldCharType="end"/>
    </w:r>
  </w:p>
  <w:p>
    <w:pPr>
      <w:tabs>
        <w:tab w:val="center" w:pos="4819"/>
        <w:tab w:val="right" w:pos="9638"/>
      </w:tabs>
      <w:rPr>
        <w:rFonts w:ascii="Calibri" w:eastAsia="Calibri" w:hAnsi="Calibri"/>
        <w:sz w:val="22"/>
        <w:szCs w:val="22"/>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eastAsia="Calibri"/>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rFonts w:ascii="Calibri" w:eastAsia="Calibri" w:hAnsi="Calibri"/>
        <w:sz w:val="22"/>
        <w:szCs w:val="22"/>
      </w:rPr>
    </w:pPr>
    <w:r>
      <w:rPr>
        <w:rFonts w:ascii="Calibri" w:eastAsia="Calibri" w:hAnsi="Calibri"/>
        <w:sz w:val="22"/>
        <w:szCs w:val="22"/>
      </w:rPr>
      <w:fldChar w:fldCharType="begin"/>
    </w:r>
    <w:r>
      <w:rPr>
        <w:rFonts w:ascii="Calibri" w:eastAsia="Calibri" w:hAnsi="Calibri"/>
        <w:sz w:val="22"/>
        <w:szCs w:val="22"/>
      </w:rPr>
      <w:instrText xml:space="preserve"> PAGE   \* MERGEFORMAT </w:instrText>
    </w:r>
    <w:r>
      <w:rPr>
        <w:rFonts w:ascii="Calibri" w:eastAsia="Calibri" w:hAnsi="Calibri"/>
        <w:sz w:val="22"/>
        <w:szCs w:val="22"/>
      </w:rPr>
      <w:fldChar w:fldCharType="separate"/>
    </w:r>
    <w:r>
      <w:rPr>
        <w:rFonts w:ascii="Calibri" w:eastAsia="Calibri" w:hAnsi="Calibri"/>
        <w:sz w:val="22"/>
        <w:szCs w:val="22"/>
      </w:rPr>
      <w:t>2</w:t>
    </w:r>
    <w:r>
      <w:rPr>
        <w:rFonts w:ascii="Calibri" w:eastAsia="Calibri" w:hAnsi="Calibri"/>
        <w:sz w:val="22"/>
        <w:szCs w:val="22"/>
      </w:rPr>
      <w:fldChar w:fldCharType="end"/>
    </w:r>
  </w:p>
  <w:p>
    <w:pPr>
      <w:tabs>
        <w:tab w:val="center" w:pos="4819"/>
        <w:tab w:val="right" w:pos="9638"/>
      </w:tabs>
      <w:rPr>
        <w:rFonts w:ascii="Calibri" w:eastAsia="Calibri" w:hAnsi="Calibri"/>
        <w:sz w:val="22"/>
        <w:szCs w:val="22"/>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eastAsia="Calibri"/>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rFonts w:ascii="Calibri" w:eastAsia="Calibri" w:hAnsi="Calibri"/>
        <w:sz w:val="22"/>
        <w:szCs w:val="22"/>
      </w:rPr>
    </w:pPr>
    <w:r>
      <w:rPr>
        <w:rFonts w:ascii="Calibri" w:eastAsia="Calibri" w:hAnsi="Calibri"/>
        <w:sz w:val="22"/>
        <w:szCs w:val="22"/>
      </w:rPr>
      <w:fldChar w:fldCharType="begin"/>
    </w:r>
    <w:r>
      <w:rPr>
        <w:rFonts w:ascii="Calibri" w:eastAsia="Calibri" w:hAnsi="Calibri"/>
        <w:sz w:val="22"/>
        <w:szCs w:val="22"/>
      </w:rPr>
      <w:instrText xml:space="preserve"> PAGE   \* MERGEFORMAT </w:instrText>
    </w:r>
    <w:r>
      <w:rPr>
        <w:rFonts w:ascii="Calibri" w:eastAsia="Calibri" w:hAnsi="Calibri"/>
        <w:sz w:val="22"/>
        <w:szCs w:val="22"/>
      </w:rPr>
      <w:fldChar w:fldCharType="separate"/>
    </w:r>
    <w:r>
      <w:rPr>
        <w:rFonts w:ascii="Calibri" w:eastAsia="Calibri" w:hAnsi="Calibri"/>
        <w:sz w:val="22"/>
        <w:szCs w:val="22"/>
      </w:rPr>
      <w:t>2</w:t>
    </w:r>
    <w:r>
      <w:rPr>
        <w:rFonts w:ascii="Calibri" w:eastAsia="Calibri" w:hAnsi="Calibri"/>
        <w:sz w:val="22"/>
        <w:szCs w:val="22"/>
      </w:rPr>
      <w:fldChar w:fldCharType="end"/>
    </w:r>
  </w:p>
  <w:p>
    <w:pPr>
      <w:tabs>
        <w:tab w:val="center" w:pos="4819"/>
        <w:tab w:val="right" w:pos="9638"/>
      </w:tabs>
      <w:rPr>
        <w:rFonts w:ascii="Calibri" w:eastAsia="Calibri" w:hAnsi="Calibri"/>
        <w:sz w:val="22"/>
        <w:szCs w:val="22"/>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18</w:t>
    </w:r>
    <w:r>
      <w:fldChar w:fldCharType="end"/>
    </w:r>
  </w:p>
  <w:p>
    <w:pPr>
      <w:tabs>
        <w:tab w:val="center" w:pos="4819"/>
        <w:tab w:val="right" w:pos="9638"/>
      </w:tabs>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eastAsia="Calibri"/>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rFonts w:ascii="Calibri" w:eastAsia="Calibri" w:hAnsi="Calibri"/>
        <w:sz w:val="22"/>
        <w:szCs w:val="22"/>
      </w:rPr>
    </w:pPr>
    <w:r>
      <w:rPr>
        <w:rFonts w:ascii="Calibri" w:eastAsia="Calibri" w:hAnsi="Calibri"/>
        <w:sz w:val="22"/>
        <w:szCs w:val="22"/>
      </w:rPr>
      <w:fldChar w:fldCharType="begin"/>
    </w:r>
    <w:r>
      <w:rPr>
        <w:rFonts w:ascii="Calibri" w:eastAsia="Calibri" w:hAnsi="Calibri"/>
        <w:sz w:val="22"/>
        <w:szCs w:val="22"/>
      </w:rPr>
      <w:instrText xml:space="preserve"> PAGE   \* MERGEFORMAT </w:instrText>
    </w:r>
    <w:r>
      <w:rPr>
        <w:rFonts w:ascii="Calibri" w:eastAsia="Calibri" w:hAnsi="Calibri"/>
        <w:sz w:val="22"/>
        <w:szCs w:val="22"/>
      </w:rPr>
      <w:fldChar w:fldCharType="separate"/>
    </w:r>
    <w:r>
      <w:rPr>
        <w:rFonts w:ascii="Calibri" w:eastAsia="Calibri" w:hAnsi="Calibri"/>
        <w:sz w:val="22"/>
        <w:szCs w:val="22"/>
      </w:rPr>
      <w:t>2</w:t>
    </w:r>
    <w:r>
      <w:rPr>
        <w:rFonts w:ascii="Calibri" w:eastAsia="Calibri" w:hAnsi="Calibri"/>
        <w:sz w:val="22"/>
        <w:szCs w:val="22"/>
      </w:rPr>
      <w:fldChar w:fldCharType="end"/>
    </w:r>
  </w:p>
  <w:p>
    <w:pPr>
      <w:tabs>
        <w:tab w:val="center" w:pos="4819"/>
        <w:tab w:val="right" w:pos="9638"/>
      </w:tabs>
      <w:rPr>
        <w:rFonts w:ascii="Calibri" w:eastAsia="Calibri" w:hAnsi="Calibri"/>
        <w:sz w:val="22"/>
        <w:szCs w:val="22"/>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43</w:t>
    </w:r>
    <w:r>
      <w:fldChar w:fldCharType="end"/>
    </w:r>
  </w:p>
  <w:p>
    <w:pPr>
      <w:tabs>
        <w:tab w:val="center" w:pos="4819"/>
        <w:tab w:val="right" w:pos="9638"/>
      </w:tabs>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eastAsia="Calibri"/>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rFonts w:ascii="Calibri" w:eastAsia="Calibri" w:hAnsi="Calibri"/>
        <w:sz w:val="22"/>
        <w:szCs w:val="22"/>
      </w:rPr>
    </w:pPr>
    <w:r>
      <w:rPr>
        <w:rFonts w:ascii="Calibri" w:eastAsia="Calibri" w:hAnsi="Calibri"/>
        <w:sz w:val="22"/>
        <w:szCs w:val="22"/>
      </w:rPr>
      <w:fldChar w:fldCharType="begin"/>
    </w:r>
    <w:r>
      <w:rPr>
        <w:rFonts w:ascii="Calibri" w:eastAsia="Calibri" w:hAnsi="Calibri"/>
        <w:sz w:val="22"/>
        <w:szCs w:val="22"/>
      </w:rPr>
      <w:instrText xml:space="preserve"> PAGE   \* MERGEFORMAT </w:instrText>
    </w:r>
    <w:r>
      <w:rPr>
        <w:rFonts w:ascii="Calibri" w:eastAsia="Calibri" w:hAnsi="Calibri"/>
        <w:sz w:val="22"/>
        <w:szCs w:val="22"/>
      </w:rPr>
      <w:fldChar w:fldCharType="separate"/>
    </w:r>
    <w:r>
      <w:rPr>
        <w:rFonts w:ascii="Calibri" w:eastAsia="Calibri" w:hAnsi="Calibri"/>
        <w:sz w:val="22"/>
        <w:szCs w:val="22"/>
      </w:rPr>
      <w:t>2</w:t>
    </w:r>
    <w:r>
      <w:rPr>
        <w:rFonts w:ascii="Calibri" w:eastAsia="Calibri" w:hAnsi="Calibri"/>
        <w:sz w:val="22"/>
        <w:szCs w:val="22"/>
      </w:rPr>
      <w:fldChar w:fldCharType="end"/>
    </w:r>
  </w:p>
  <w:p>
    <w:pPr>
      <w:tabs>
        <w:tab w:val="center" w:pos="4819"/>
        <w:tab w:val="right" w:pos="9638"/>
      </w:tabs>
      <w:rPr>
        <w:rFonts w:ascii="Calibri" w:eastAsia="Calibri" w:hAnsi="Calibri"/>
        <w:sz w:val="22"/>
        <w:szCs w:val="22"/>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13</w:t>
    </w:r>
    <w:r>
      <w:fldChar w:fldCharType="end"/>
    </w:r>
  </w:p>
  <w:p>
    <w:pPr>
      <w:tabs>
        <w:tab w:val="center" w:pos="4819"/>
        <w:tab w:val="right" w:pos="9638"/>
      </w:tabs>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eastAsia="Calibri"/>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rFonts w:ascii="Calibri" w:eastAsia="Calibri" w:hAnsi="Calibri"/>
        <w:sz w:val="22"/>
        <w:szCs w:val="22"/>
      </w:rPr>
    </w:pPr>
    <w:r>
      <w:rPr>
        <w:rFonts w:ascii="Calibri" w:eastAsia="Calibri" w:hAnsi="Calibri"/>
        <w:sz w:val="22"/>
        <w:szCs w:val="22"/>
      </w:rPr>
      <w:fldChar w:fldCharType="begin"/>
    </w:r>
    <w:r>
      <w:rPr>
        <w:rFonts w:ascii="Calibri" w:eastAsia="Calibri" w:hAnsi="Calibri"/>
        <w:sz w:val="22"/>
        <w:szCs w:val="22"/>
      </w:rPr>
      <w:instrText xml:space="preserve"> PAGE   \* MERGEFORMAT </w:instrText>
    </w:r>
    <w:r>
      <w:rPr>
        <w:rFonts w:ascii="Calibri" w:eastAsia="Calibri" w:hAnsi="Calibri"/>
        <w:sz w:val="22"/>
        <w:szCs w:val="22"/>
      </w:rPr>
      <w:fldChar w:fldCharType="separate"/>
    </w:r>
    <w:r>
      <w:rPr>
        <w:rFonts w:ascii="Calibri" w:eastAsia="Calibri" w:hAnsi="Calibri"/>
        <w:sz w:val="22"/>
        <w:szCs w:val="22"/>
      </w:rPr>
      <w:t>2</w:t>
    </w:r>
    <w:r>
      <w:rPr>
        <w:rFonts w:ascii="Calibri" w:eastAsia="Calibri" w:hAnsi="Calibri"/>
        <w:sz w:val="22"/>
        <w:szCs w:val="22"/>
      </w:rPr>
      <w:fldChar w:fldCharType="end"/>
    </w:r>
  </w:p>
  <w:p>
    <w:pPr>
      <w:tabs>
        <w:tab w:val="center" w:pos="4819"/>
        <w:tab w:val="right" w:pos="9638"/>
      </w:tabs>
      <w:rPr>
        <w:rFonts w:ascii="Calibri" w:eastAsia="Calibri" w:hAnsi="Calibri"/>
        <w:sz w:val="22"/>
        <w:szCs w:val="22"/>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10</w:t>
    </w:r>
    <w:r>
      <w:fldChar w:fldCharType="end"/>
    </w:r>
  </w:p>
  <w:p>
    <w:pPr>
      <w:tabs>
        <w:tab w:val="center" w:pos="4819"/>
        <w:tab w:val="right" w:pos="9638"/>
      </w:tabs>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eastAsia="Calibri"/>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rFonts w:ascii="Calibri" w:eastAsia="Calibri" w:hAnsi="Calibri"/>
        <w:sz w:val="22"/>
        <w:szCs w:val="22"/>
      </w:rPr>
    </w:pPr>
    <w:r>
      <w:rPr>
        <w:rFonts w:ascii="Calibri" w:eastAsia="Calibri" w:hAnsi="Calibri"/>
        <w:sz w:val="22"/>
        <w:szCs w:val="22"/>
      </w:rPr>
      <w:fldChar w:fldCharType="begin"/>
    </w:r>
    <w:r>
      <w:rPr>
        <w:rFonts w:ascii="Calibri" w:eastAsia="Calibri" w:hAnsi="Calibri"/>
        <w:sz w:val="22"/>
        <w:szCs w:val="22"/>
      </w:rPr>
      <w:instrText xml:space="preserve"> PAGE   \* MERGEFORMAT </w:instrText>
    </w:r>
    <w:r>
      <w:rPr>
        <w:rFonts w:ascii="Calibri" w:eastAsia="Calibri" w:hAnsi="Calibri"/>
        <w:sz w:val="22"/>
        <w:szCs w:val="22"/>
      </w:rPr>
      <w:fldChar w:fldCharType="separate"/>
    </w:r>
    <w:r>
      <w:rPr>
        <w:rFonts w:ascii="Calibri" w:eastAsia="Calibri" w:hAnsi="Calibri"/>
        <w:sz w:val="22"/>
        <w:szCs w:val="22"/>
      </w:rPr>
      <w:t>2</w:t>
    </w:r>
    <w:r>
      <w:rPr>
        <w:rFonts w:ascii="Calibri" w:eastAsia="Calibri" w:hAnsi="Calibri"/>
        <w:sz w:val="22"/>
        <w:szCs w:val="22"/>
      </w:rPr>
      <w:fldChar w:fldCharType="end"/>
    </w:r>
  </w:p>
  <w:p>
    <w:pPr>
      <w:tabs>
        <w:tab w:val="center" w:pos="4819"/>
        <w:tab w:val="right" w:pos="9638"/>
      </w:tabs>
      <w:rPr>
        <w:rFonts w:ascii="Calibri" w:eastAsia="Calibri" w:hAnsi="Calibri"/>
        <w:sz w:val="22"/>
        <w:szCs w:val="22"/>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16</w:t>
    </w:r>
    <w:r>
      <w:fldChar w:fldCharType="end"/>
    </w:r>
  </w:p>
  <w:p>
    <w:pPr>
      <w:tabs>
        <w:tab w:val="center" w:pos="4819"/>
        <w:tab w:val="right" w:pos="9638"/>
      </w:tabs>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eastAsia="Calibri"/>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rFonts w:ascii="Calibri" w:eastAsia="Calibri" w:hAnsi="Calibri"/>
        <w:sz w:val="22"/>
        <w:szCs w:val="22"/>
      </w:rPr>
    </w:pPr>
    <w:r>
      <w:rPr>
        <w:rFonts w:ascii="Calibri" w:eastAsia="Calibri" w:hAnsi="Calibri"/>
        <w:sz w:val="22"/>
        <w:szCs w:val="22"/>
      </w:rPr>
      <w:fldChar w:fldCharType="begin"/>
    </w:r>
    <w:r>
      <w:rPr>
        <w:rFonts w:ascii="Calibri" w:eastAsia="Calibri" w:hAnsi="Calibri"/>
        <w:sz w:val="22"/>
        <w:szCs w:val="22"/>
      </w:rPr>
      <w:instrText xml:space="preserve"> PAGE   \* MERGEFORMAT </w:instrText>
    </w:r>
    <w:r>
      <w:rPr>
        <w:rFonts w:ascii="Calibri" w:eastAsia="Calibri" w:hAnsi="Calibri"/>
        <w:sz w:val="22"/>
        <w:szCs w:val="22"/>
      </w:rPr>
      <w:fldChar w:fldCharType="separate"/>
    </w:r>
    <w:r>
      <w:rPr>
        <w:rFonts w:ascii="Calibri" w:eastAsia="Calibri" w:hAnsi="Calibri"/>
        <w:sz w:val="22"/>
        <w:szCs w:val="22"/>
      </w:rPr>
      <w:t>2</w:t>
    </w:r>
    <w:r>
      <w:rPr>
        <w:rFonts w:ascii="Calibri" w:eastAsia="Calibri" w:hAnsi="Calibri"/>
        <w:sz w:val="22"/>
        <w:szCs w:val="22"/>
      </w:rPr>
      <w:fldChar w:fldCharType="end"/>
    </w:r>
  </w:p>
  <w:p>
    <w:pPr>
      <w:tabs>
        <w:tab w:val="center" w:pos="4819"/>
        <w:tab w:val="right" w:pos="9638"/>
      </w:tabs>
      <w:rPr>
        <w:rFonts w:ascii="Calibri" w:eastAsia="Calibri" w:hAnsi="Calibri"/>
        <w:sz w:val="22"/>
        <w:szCs w:val="22"/>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17</w:t>
    </w:r>
    <w:r>
      <w:rPr>
        <w:sz w:val="22"/>
        <w:szCs w:val="22"/>
        <w:lang w:eastAsia="lt-LT"/>
      </w:rPr>
      <w:fldChar w:fldCharType="end"/>
    </w:r>
  </w:p>
  <w:p>
    <w:pPr>
      <w:tabs>
        <w:tab w:val="center" w:pos="4819"/>
        <w:tab w:val="right" w:pos="9638"/>
      </w:tabs>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rFonts w:ascii="Calibri" w:eastAsia="Calibri" w:hAnsi="Calibri"/>
        <w:sz w:val="22"/>
        <w:szCs w:val="22"/>
      </w:rPr>
    </w:pPr>
    <w:r>
      <w:rPr>
        <w:rFonts w:ascii="Calibri" w:eastAsia="Calibri" w:hAnsi="Calibri"/>
        <w:sz w:val="22"/>
        <w:szCs w:val="22"/>
      </w:rPr>
      <w:fldChar w:fldCharType="begin"/>
    </w:r>
    <w:r>
      <w:rPr>
        <w:rFonts w:ascii="Calibri" w:eastAsia="Calibri" w:hAnsi="Calibri"/>
        <w:sz w:val="22"/>
        <w:szCs w:val="22"/>
      </w:rPr>
      <w:instrText xml:space="preserve"> PAGE   \* MERGEFORMAT </w:instrText>
    </w:r>
    <w:r>
      <w:rPr>
        <w:rFonts w:ascii="Calibri" w:eastAsia="Calibri" w:hAnsi="Calibri"/>
        <w:sz w:val="22"/>
        <w:szCs w:val="22"/>
      </w:rPr>
      <w:fldChar w:fldCharType="separate"/>
    </w:r>
    <w:r>
      <w:rPr>
        <w:rFonts w:ascii="Calibri" w:eastAsia="Calibri" w:hAnsi="Calibri"/>
        <w:sz w:val="22"/>
        <w:szCs w:val="22"/>
      </w:rPr>
      <w:t>9</w:t>
    </w:r>
    <w:r>
      <w:rPr>
        <w:rFonts w:ascii="Calibri" w:eastAsia="Calibri" w:hAnsi="Calibri"/>
        <w:sz w:val="22"/>
        <w:szCs w:val="22"/>
      </w:rPr>
      <w:fldChar w:fldCharType="end"/>
    </w:r>
  </w:p>
  <w:p>
    <w:pPr>
      <w:tabs>
        <w:tab w:val="center" w:pos="4819"/>
        <w:tab w:val="right" w:pos="9638"/>
      </w:tabs>
      <w:rPr>
        <w:rFonts w:ascii="Calibri" w:eastAsia="Calibri" w:hAnsi="Calibri"/>
        <w:sz w:val="22"/>
        <w:szCs w:val="22"/>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819"/>
        <w:tab w:val="right" w:pos="9638"/>
      </w:tabs>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rFonts w:ascii="Calibri" w:eastAsia="Calibri" w:hAnsi="Calibri"/>
        <w:sz w:val="22"/>
        <w:szCs w:val="22"/>
      </w:rPr>
    </w:pPr>
    <w:r>
      <w:rPr>
        <w:rFonts w:ascii="Calibri" w:eastAsia="Calibri" w:hAnsi="Calibri"/>
        <w:sz w:val="22"/>
        <w:szCs w:val="22"/>
      </w:rPr>
      <w:fldChar w:fldCharType="begin"/>
    </w:r>
    <w:r>
      <w:rPr>
        <w:rFonts w:ascii="Calibri" w:eastAsia="Calibri" w:hAnsi="Calibri"/>
        <w:sz w:val="22"/>
        <w:szCs w:val="22"/>
      </w:rPr>
      <w:instrText xml:space="preserve"> PAGE   \* </w:instrText>
    </w:r>
    <w:r>
      <w:rPr>
        <w:rFonts w:ascii="Calibri" w:eastAsia="Calibri" w:hAnsi="Calibri"/>
        <w:sz w:val="22"/>
        <w:szCs w:val="22"/>
      </w:rPr>
      <w:instrText xml:space="preserve">MERGEFORMAT </w:instrText>
    </w:r>
    <w:r>
      <w:rPr>
        <w:rFonts w:ascii="Calibri" w:eastAsia="Calibri" w:hAnsi="Calibri"/>
        <w:sz w:val="22"/>
        <w:szCs w:val="22"/>
      </w:rPr>
      <w:fldChar w:fldCharType="separate"/>
    </w:r>
    <w:r>
      <w:rPr>
        <w:rFonts w:ascii="Calibri" w:eastAsia="Calibri" w:hAnsi="Calibri"/>
        <w:sz w:val="22"/>
        <w:szCs w:val="22"/>
      </w:rPr>
      <w:t>9</w:t>
    </w:r>
    <w:r>
      <w:rPr>
        <w:rFonts w:ascii="Calibri" w:eastAsia="Calibri" w:hAnsi="Calibri"/>
        <w:sz w:val="22"/>
        <w:szCs w:val="22"/>
      </w:rPr>
      <w:fldChar w:fldCharType="end"/>
    </w:r>
  </w:p>
  <w:p>
    <w:pPr>
      <w:tabs>
        <w:tab w:val="center" w:pos="4819"/>
        <w:tab w:val="right" w:pos="9638"/>
      </w:tabs>
      <w:rPr>
        <w:rFonts w:ascii="Calibri" w:eastAsia="Calibri" w:hAnsi="Calibri"/>
        <w:sz w:val="22"/>
        <w:szCs w:val="22"/>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7</w:t>
    </w:r>
    <w:r>
      <w:rPr>
        <w:sz w:val="22"/>
        <w:szCs w:val="22"/>
        <w:lang w:eastAsia="lt-LT"/>
      </w:rPr>
      <w:fldChar w:fldCharType="end"/>
    </w:r>
  </w:p>
  <w:p>
    <w:pPr>
      <w:tabs>
        <w:tab w:val="center" w:pos="4819"/>
        <w:tab w:val="right" w:pos="9638"/>
      </w:tabs>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rFonts w:ascii="Calibri" w:eastAsia="Calibri" w:hAnsi="Calibri"/>
        <w:sz w:val="22"/>
        <w:szCs w:val="22"/>
      </w:rPr>
    </w:pPr>
    <w:r>
      <w:rPr>
        <w:rFonts w:ascii="Calibri" w:eastAsia="Calibri" w:hAnsi="Calibri"/>
        <w:sz w:val="22"/>
        <w:szCs w:val="22"/>
      </w:rPr>
      <w:fldChar w:fldCharType="begin"/>
    </w:r>
    <w:r>
      <w:rPr>
        <w:rFonts w:ascii="Calibri" w:eastAsia="Calibri" w:hAnsi="Calibri"/>
        <w:sz w:val="22"/>
        <w:szCs w:val="22"/>
      </w:rPr>
      <w:instrText xml:space="preserve"> PAGE   \* MERGEFORMAT </w:instrText>
    </w:r>
    <w:r>
      <w:rPr>
        <w:rFonts w:ascii="Calibri" w:eastAsia="Calibri" w:hAnsi="Calibri"/>
        <w:sz w:val="22"/>
        <w:szCs w:val="22"/>
      </w:rPr>
      <w:fldChar w:fldCharType="separate"/>
    </w:r>
    <w:r>
      <w:rPr>
        <w:rFonts w:ascii="Calibri" w:eastAsia="Calibri" w:hAnsi="Calibri"/>
        <w:sz w:val="22"/>
        <w:szCs w:val="22"/>
      </w:rPr>
      <w:t>2</w:t>
    </w:r>
    <w:r>
      <w:rPr>
        <w:rFonts w:ascii="Calibri" w:eastAsia="Calibri" w:hAnsi="Calibri"/>
        <w:sz w:val="22"/>
        <w:szCs w:val="22"/>
      </w:rPr>
      <w:fldChar w:fldCharType="end"/>
    </w:r>
  </w:p>
  <w:p>
    <w:pPr>
      <w:tabs>
        <w:tab w:val="center" w:pos="4819"/>
        <w:tab w:val="right" w:pos="9638"/>
      </w:tabs>
      <w:rPr>
        <w:rFonts w:ascii="Calibri" w:eastAsia="Calibri" w:hAnsi="Calibri"/>
        <w:sz w:val="22"/>
        <w:szCs w:val="22"/>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rFonts w:ascii="Calibri" w:eastAsia="Calibri" w:hAnsi="Calibri"/>
        <w:sz w:val="22"/>
        <w:szCs w:val="22"/>
      </w:rPr>
    </w:pPr>
    <w:r>
      <w:rPr>
        <w:rFonts w:ascii="Calibri" w:eastAsia="Calibri" w:hAnsi="Calibri"/>
        <w:sz w:val="22"/>
        <w:szCs w:val="22"/>
      </w:rPr>
      <w:fldChar w:fldCharType="begin"/>
    </w:r>
    <w:r>
      <w:rPr>
        <w:rFonts w:ascii="Calibri" w:eastAsia="Calibri" w:hAnsi="Calibri"/>
        <w:sz w:val="22"/>
        <w:szCs w:val="22"/>
      </w:rPr>
      <w:instrText xml:space="preserve"> PAGE   \* MERGEFORMAT </w:instrText>
    </w:r>
    <w:r>
      <w:rPr>
        <w:rFonts w:ascii="Calibri" w:eastAsia="Calibri" w:hAnsi="Calibri"/>
        <w:sz w:val="22"/>
        <w:szCs w:val="22"/>
      </w:rPr>
      <w:fldChar w:fldCharType="separate"/>
    </w:r>
    <w:r>
      <w:rPr>
        <w:rFonts w:ascii="Calibri" w:eastAsia="Calibri" w:hAnsi="Calibri"/>
        <w:sz w:val="22"/>
        <w:szCs w:val="22"/>
      </w:rPr>
      <w:t>9</w:t>
    </w:r>
    <w:r>
      <w:rPr>
        <w:rFonts w:ascii="Calibri" w:eastAsia="Calibri" w:hAnsi="Calibri"/>
        <w:sz w:val="22"/>
        <w:szCs w:val="22"/>
      </w:rPr>
      <w:fldChar w:fldCharType="end"/>
    </w:r>
  </w:p>
  <w:p>
    <w:pPr>
      <w:tabs>
        <w:tab w:val="center" w:pos="4819"/>
        <w:tab w:val="right" w:pos="9638"/>
      </w:tabs>
      <w:rPr>
        <w:rFonts w:ascii="Calibri" w:eastAsia="Calibri" w:hAnsi="Calibri"/>
        <w:sz w:val="22"/>
        <w:szCs w:val="22"/>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819"/>
        <w:tab w:val="right" w:pos="9638"/>
      </w:tabs>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rFonts w:ascii="Calibri" w:eastAsia="Calibri" w:hAnsi="Calibri"/>
        <w:sz w:val="22"/>
        <w:szCs w:val="22"/>
      </w:rPr>
    </w:pPr>
    <w:r>
      <w:rPr>
        <w:rFonts w:ascii="Calibri" w:eastAsia="Calibri" w:hAnsi="Calibri"/>
        <w:sz w:val="22"/>
        <w:szCs w:val="22"/>
      </w:rPr>
      <w:fldChar w:fldCharType="begin"/>
    </w:r>
    <w:r>
      <w:rPr>
        <w:rFonts w:ascii="Calibri" w:eastAsia="Calibri" w:hAnsi="Calibri"/>
        <w:sz w:val="22"/>
        <w:szCs w:val="22"/>
      </w:rPr>
      <w:instrText xml:space="preserve"> PAGE   \* MERGEFORMAT </w:instrText>
    </w:r>
    <w:r>
      <w:rPr>
        <w:rFonts w:ascii="Calibri" w:eastAsia="Calibri" w:hAnsi="Calibri"/>
        <w:sz w:val="22"/>
        <w:szCs w:val="22"/>
      </w:rPr>
      <w:fldChar w:fldCharType="separate"/>
    </w:r>
    <w:r>
      <w:rPr>
        <w:rFonts w:ascii="Calibri" w:eastAsia="Calibri" w:hAnsi="Calibri"/>
        <w:sz w:val="22"/>
        <w:szCs w:val="22"/>
      </w:rPr>
      <w:t>2</w:t>
    </w:r>
    <w:r>
      <w:rPr>
        <w:rFonts w:ascii="Calibri" w:eastAsia="Calibri" w:hAnsi="Calibri"/>
        <w:sz w:val="22"/>
        <w:szCs w:val="22"/>
      </w:rPr>
      <w:fldChar w:fldCharType="end"/>
    </w:r>
  </w:p>
  <w:p>
    <w:pPr>
      <w:tabs>
        <w:tab w:val="center" w:pos="4819"/>
        <w:tab w:val="right" w:pos="9638"/>
      </w:tabs>
      <w:rPr>
        <w:rFonts w:ascii="Calibri" w:eastAsia="Calibri" w:hAnsi="Calibri"/>
        <w:sz w:val="22"/>
        <w:szCs w:val="22"/>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8</w:t>
    </w:r>
    <w:r>
      <w:rPr>
        <w:sz w:val="22"/>
        <w:szCs w:val="22"/>
        <w:lang w:eastAsia="lt-LT"/>
      </w:rPr>
      <w:fldChar w:fldCharType="end"/>
    </w:r>
  </w:p>
  <w:p>
    <w:pPr>
      <w:tabs>
        <w:tab w:val="center" w:pos="4819"/>
        <w:tab w:val="right" w:pos="9638"/>
      </w:tabs>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rFonts w:ascii="Calibri" w:eastAsia="Calibri" w:hAnsi="Calibri"/>
        <w:sz w:val="22"/>
        <w:szCs w:val="22"/>
      </w:rPr>
    </w:pPr>
    <w:r>
      <w:rPr>
        <w:rFonts w:ascii="Calibri" w:eastAsia="Calibri" w:hAnsi="Calibri"/>
        <w:sz w:val="22"/>
        <w:szCs w:val="22"/>
      </w:rPr>
      <w:fldChar w:fldCharType="begin"/>
    </w:r>
    <w:r>
      <w:rPr>
        <w:rFonts w:ascii="Calibri" w:eastAsia="Calibri" w:hAnsi="Calibri"/>
        <w:sz w:val="22"/>
        <w:szCs w:val="22"/>
      </w:rPr>
      <w:instrText xml:space="preserve"> PAGE   \* MERGEFORMAT </w:instrText>
    </w:r>
    <w:r>
      <w:rPr>
        <w:rFonts w:ascii="Calibri" w:eastAsia="Calibri" w:hAnsi="Calibri"/>
        <w:sz w:val="22"/>
        <w:szCs w:val="22"/>
      </w:rPr>
      <w:fldChar w:fldCharType="separate"/>
    </w:r>
    <w:r>
      <w:rPr>
        <w:rFonts w:ascii="Calibri" w:eastAsia="Calibri" w:hAnsi="Calibri"/>
        <w:sz w:val="22"/>
        <w:szCs w:val="22"/>
      </w:rPr>
      <w:t>2</w:t>
    </w:r>
    <w:r>
      <w:rPr>
        <w:rFonts w:ascii="Calibri" w:eastAsia="Calibri" w:hAnsi="Calibri"/>
        <w:sz w:val="22"/>
        <w:szCs w:val="22"/>
      </w:rPr>
      <w:fldChar w:fldCharType="end"/>
    </w:r>
  </w:p>
  <w:p>
    <w:pPr>
      <w:tabs>
        <w:tab w:val="center" w:pos="4819"/>
        <w:tab w:val="right" w:pos="9638"/>
      </w:tabs>
      <w:rPr>
        <w:rFonts w:ascii="Calibri" w:eastAsia="Calibri" w:hAnsi="Calibri"/>
        <w:sz w:val="22"/>
        <w:szCs w:val="22"/>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8</w:t>
    </w:r>
    <w:r>
      <w:rPr>
        <w:sz w:val="22"/>
        <w:szCs w:val="22"/>
        <w:lang w:eastAsia="lt-LT"/>
      </w:rPr>
      <w:fldChar w:fldCharType="end"/>
    </w:r>
  </w:p>
  <w:p>
    <w:pPr>
      <w:tabs>
        <w:tab w:val="center" w:pos="4819"/>
        <w:tab w:val="right" w:pos="9638"/>
      </w:tabs>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rFonts w:ascii="Calibri" w:eastAsia="Calibri" w:hAnsi="Calibri"/>
        <w:sz w:val="22"/>
        <w:szCs w:val="22"/>
      </w:rPr>
    </w:pPr>
    <w:r>
      <w:rPr>
        <w:rFonts w:ascii="Calibri" w:eastAsia="Calibri" w:hAnsi="Calibri"/>
        <w:sz w:val="22"/>
        <w:szCs w:val="22"/>
      </w:rPr>
      <w:fldChar w:fldCharType="begin"/>
    </w:r>
    <w:r>
      <w:rPr>
        <w:rFonts w:ascii="Calibri" w:eastAsia="Calibri" w:hAnsi="Calibri"/>
        <w:sz w:val="22"/>
        <w:szCs w:val="22"/>
      </w:rPr>
      <w:instrText xml:space="preserve"> PAGE   \* MERGEFORMAT </w:instrText>
    </w:r>
    <w:r>
      <w:rPr>
        <w:rFonts w:ascii="Calibri" w:eastAsia="Calibri" w:hAnsi="Calibri"/>
        <w:sz w:val="22"/>
        <w:szCs w:val="22"/>
      </w:rPr>
      <w:fldChar w:fldCharType="separate"/>
    </w:r>
    <w:r>
      <w:rPr>
        <w:rFonts w:ascii="Calibri" w:eastAsia="Calibri" w:hAnsi="Calibri"/>
        <w:sz w:val="22"/>
        <w:szCs w:val="22"/>
      </w:rPr>
      <w:t>2</w:t>
    </w:r>
    <w:r>
      <w:rPr>
        <w:rFonts w:ascii="Calibri" w:eastAsia="Calibri" w:hAnsi="Calibri"/>
        <w:sz w:val="22"/>
        <w:szCs w:val="22"/>
      </w:rPr>
      <w:fldChar w:fldCharType="end"/>
    </w:r>
  </w:p>
  <w:p>
    <w:pPr>
      <w:tabs>
        <w:tab w:val="center" w:pos="4819"/>
        <w:tab w:val="right" w:pos="9638"/>
      </w:tabs>
      <w:rPr>
        <w:rFonts w:ascii="Calibri" w:eastAsia="Calibri" w:hAnsi="Calibri"/>
        <w:sz w:val="22"/>
        <w:szCs w:val="22"/>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9</w:t>
    </w:r>
    <w:r>
      <w:rPr>
        <w:sz w:val="22"/>
        <w:szCs w:val="22"/>
        <w:lang w:eastAsia="lt-LT"/>
      </w:rPr>
      <w:fldChar w:fldCharType="end"/>
    </w:r>
  </w:p>
  <w:p>
    <w:pPr>
      <w:tabs>
        <w:tab w:val="center" w:pos="4819"/>
        <w:tab w:val="right" w:pos="9638"/>
      </w:tabs>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eastAsia="Calibri"/>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rFonts w:ascii="Calibri" w:eastAsia="Calibri" w:hAnsi="Calibri"/>
        <w:sz w:val="22"/>
        <w:szCs w:val="22"/>
      </w:rPr>
    </w:pPr>
    <w:r>
      <w:rPr>
        <w:rFonts w:ascii="Calibri" w:eastAsia="Calibri" w:hAnsi="Calibri"/>
        <w:sz w:val="22"/>
        <w:szCs w:val="22"/>
      </w:rPr>
      <w:fldChar w:fldCharType="begin"/>
    </w:r>
    <w:r>
      <w:rPr>
        <w:rFonts w:ascii="Calibri" w:eastAsia="Calibri" w:hAnsi="Calibri"/>
        <w:sz w:val="22"/>
        <w:szCs w:val="22"/>
      </w:rPr>
      <w:instrText xml:space="preserve"> PAGE   \* </w:instrText>
    </w:r>
    <w:r>
      <w:rPr>
        <w:rFonts w:ascii="Calibri" w:eastAsia="Calibri" w:hAnsi="Calibri"/>
        <w:sz w:val="22"/>
        <w:szCs w:val="22"/>
      </w:rPr>
      <w:instrText xml:space="preserve">MERGEFORMAT </w:instrText>
    </w:r>
    <w:r>
      <w:rPr>
        <w:rFonts w:ascii="Calibri" w:eastAsia="Calibri" w:hAnsi="Calibri"/>
        <w:sz w:val="22"/>
        <w:szCs w:val="22"/>
      </w:rPr>
      <w:fldChar w:fldCharType="separate"/>
    </w:r>
    <w:r>
      <w:rPr>
        <w:rFonts w:ascii="Calibri" w:eastAsia="Calibri" w:hAnsi="Calibri"/>
        <w:sz w:val="22"/>
        <w:szCs w:val="22"/>
      </w:rPr>
      <w:t>9</w:t>
    </w:r>
    <w:r>
      <w:rPr>
        <w:rFonts w:ascii="Calibri" w:eastAsia="Calibri" w:hAnsi="Calibri"/>
        <w:sz w:val="22"/>
        <w:szCs w:val="22"/>
      </w:rPr>
      <w:fldChar w:fldCharType="end"/>
    </w:r>
  </w:p>
  <w:p>
    <w:pPr>
      <w:tabs>
        <w:tab w:val="center" w:pos="4819"/>
        <w:tab w:val="right" w:pos="9638"/>
      </w:tabs>
      <w:rPr>
        <w:rFonts w:ascii="Calibri" w:eastAsia="Calibri" w:hAnsi="Calibri"/>
        <w:sz w:val="22"/>
        <w:szCs w:val="22"/>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11</w:t>
    </w:r>
    <w:r>
      <w:rPr>
        <w:sz w:val="22"/>
        <w:szCs w:val="22"/>
        <w:lang w:eastAsia="lt-LT"/>
      </w:rPr>
      <w:fldChar w:fldCharType="end"/>
    </w:r>
  </w:p>
  <w:p>
    <w:pPr>
      <w:tabs>
        <w:tab w:val="center" w:pos="4819"/>
        <w:tab w:val="right" w:pos="9638"/>
      </w:tabs>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62"/>
  <w:proofState w:spelling="clean" w:grammar="clean"/>
  <w:defaultTabStop w:val="1296"/>
  <w:hyphenationZone w:val="396"/>
  <w:doNotHyphenateCaps/>
  <w:drawingGridHorizontalSpacing w:val="110"/>
  <w:displayHorizontalDrawingGridEvery w:val="2"/>
  <w:characterSpacingControl w:val="doNotCompress"/>
  <w:hdrShapeDefaults>
    <o:shapedefaults v:ext="edit" spidmax="3891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F7543"/>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38913"/>
    <o:shapelayout v:ext="edit">
      <o:idmap v:ext="edit" data="1"/>
    </o:shapelayout>
  </w:shapeDefaults>
  <w:decimalSymbol w:val=","/>
  <w:listSeparator w:val=";"/>
  <w14:docId w14:val="4B99DC51"/>
  <w15:docId w15:val="{002FBE0B-0F28-49D6-8AA7-E7CB2AAD0F46}"/>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relyOnVML/>
  <w:allowPNG/>
</w:webSettings>
</file>

<file path=word/_rels/document.xml.rels><?xml version="1.0" encoding="UTF-8"?>

<Relationships xmlns="http://schemas.openxmlformats.org/package/2006/relationships">
  <Relationship Id="rId1" Type="http://schemas.openxmlformats.org/officeDocument/2006/relationships/header" Target="header25.xml"/>
  <Relationship Id="rId10" Type="http://schemas.openxmlformats.org/officeDocument/2006/relationships/footer" Target="footer8.xml"/>
  <Relationship Id="rId11" Type="http://schemas.openxmlformats.org/officeDocument/2006/relationships/footer" Target="footer9.xml"/>
  <Relationship Id="rId12" Type="http://schemas.openxmlformats.org/officeDocument/2006/relationships/footnotes" Target="footnotes.xml"/>
  <Relationship Id="rId13" Type="http://schemas.openxmlformats.org/officeDocument/2006/relationships/header" Target="header7.xml"/>
  <Relationship Id="rId14" Type="http://schemas.openxmlformats.org/officeDocument/2006/relationships/header" Target="header8.xml"/>
  <Relationship Id="rId15" Type="http://schemas.openxmlformats.org/officeDocument/2006/relationships/header" Target="header9.xml"/>
  <Relationship Id="rId16" Type="http://schemas.openxmlformats.org/officeDocument/2006/relationships/settings" Target="settings.xml"/>
  <Relationship Id="rId17" Type="http://schemas.openxmlformats.org/officeDocument/2006/relationships/styles" Target="styles.xml"/>
  <Relationship Id="rId18" Type="http://schemas.openxmlformats.org/officeDocument/2006/relationships/theme" Target="theme/theme1.xml"/>
  <Relationship Id="rId19" Type="http://schemas.openxmlformats.org/officeDocument/2006/relationships/webSettings" Target="webSettings.xml"/>
  <Relationship Id="rId2" Type="http://schemas.openxmlformats.org/officeDocument/2006/relationships/header" Target="header26.xml"/>
  <Relationship Id="rId20" Type="http://schemas.openxmlformats.org/officeDocument/2006/relationships/header" Target="header40.xml"/>
  <Relationship Id="rId21" Type="http://schemas.openxmlformats.org/officeDocument/2006/relationships/header" Target="header41.xml"/>
  <Relationship Id="rId22" Type="http://schemas.openxmlformats.org/officeDocument/2006/relationships/footer" Target="footer40.xml"/>
  <Relationship Id="rId23" Type="http://schemas.openxmlformats.org/officeDocument/2006/relationships/footer" Target="footer41.xml"/>
  <Relationship Id="rId24" Type="http://schemas.openxmlformats.org/officeDocument/2006/relationships/header" Target="header42.xml"/>
  <Relationship Id="rId25" Type="http://schemas.openxmlformats.org/officeDocument/2006/relationships/footer" Target="footer42.xml"/>
  <Relationship Id="rId26" Type="http://schemas.openxmlformats.org/officeDocument/2006/relationships/header" Target="header46.xml"/>
  <Relationship Id="rId27" Type="http://schemas.openxmlformats.org/officeDocument/2006/relationships/header" Target="header47.xml"/>
  <Relationship Id="rId28" Type="http://schemas.openxmlformats.org/officeDocument/2006/relationships/footer" Target="footer46.xml"/>
  <Relationship Id="rId29" Type="http://schemas.openxmlformats.org/officeDocument/2006/relationships/footer" Target="footer47.xml"/>
  <Relationship Id="rId3" Type="http://schemas.openxmlformats.org/officeDocument/2006/relationships/footer" Target="footer25.xml"/>
  <Relationship Id="rId30" Type="http://schemas.openxmlformats.org/officeDocument/2006/relationships/header" Target="header48.xml"/>
  <Relationship Id="rId31" Type="http://schemas.openxmlformats.org/officeDocument/2006/relationships/footer" Target="footer48.xml"/>
  <Relationship Id="rId32" Type="http://schemas.openxmlformats.org/officeDocument/2006/relationships/customXml" Target="../customXml/item1.xml"/>
  <Relationship Id="rId4" Type="http://schemas.openxmlformats.org/officeDocument/2006/relationships/footer" Target="footer26.xml"/>
  <Relationship Id="rId5" Type="http://schemas.openxmlformats.org/officeDocument/2006/relationships/header" Target="header27.xml"/>
  <Relationship Id="rId6" Type="http://schemas.openxmlformats.org/officeDocument/2006/relationships/footer" Target="footer27.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er" Target="footer7.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5742db8f18294913ac7b64622baf75e0" PartId="1f2a1b326c174f5cb8b530d0bb6b910f">
    <Part Type="preambule" DocPartId="7a5a82fabcf94c07b32a0030833ed0d2" PartId="ce40df7576c04286b22a2f433f729939"/>
    <Part Type="pastraipa" DocPartId="099bcd7d819244aab753cdc533cb8c73" PartId="ba9090b8acc249229fd2ede624fa933b"/>
    <Part Type="signatura" DocPartId="1280419ed5b940949e4a53063195a630" PartId="fca6820c3af14f5780eadd549f92c418"/>
  </Part>
  <Part Type="patvirtinta" Title="VIDAUS TARNYBOS SISTEMOS IR LIETUVOS RESPUBLIKOS VADOVYBĖS APSAUGOS TARNYBOS PAREIGŪNŲ IR KURSANTŲ MEDICININĖS REABILITACIJOS, PREVENCINĖS MEDICININĖS IR PSICHOLOGINĖS REABILITACIJOS, SVEIKATOS GRĄŽINAMOJO IR ANTIRECIDYVINIO GYDYMO, KAI TAI IŠ DALIES APMOKAMA ARBA NEAPMOKAMA IŠ PRIVALOMOJO SVEIKATOS DRAUDIMO FONDO BIUDŽETO, TVARKOS APRAŠAS" DocPartId="42158bc02fad4626b7384d2c14f65857" PartId="c39b4afd69f04d949ee07a59d84c755a">
    <Part Type="skyrius" Nr="1" Title="BENDROSIOS NUOSTATOS" DocPartId="74276a7ad6434b1290fe18de529bdc46" PartId="28e2a52db737435b8342f6fd8e3052f4">
      <Part Type="punktas" Nr="1" Abbr="1 p." DocPartId="a661c507245d4bd0b1e5f683dabeac26" PartId="6c26878b8b874c4fac3eb8e2a2af3adc">
        <Part Type="papunktis" Nr="1.1" Abbr="1.1 pp." DocPartId="c228b18d040e4983899865a30fc222b7" PartId="9b91c2c35dfe40c187f95e167e056316"/>
        <Part Type="papunktis" Nr="1.2" Abbr="1.2 pp." DocPartId="ed5a2b19c2b84c99b1219b10927c3052" PartId="306782fba98f4c578f4caa82e88b57e4"/>
      </Part>
      <Part Type="punktas" Nr="2" Abbr="2 p." DocPartId="daf35d50930740a1ab6bf5a65121d7aa" PartId="f178f087740c4a4ca457659ce1b0f4a4"/>
      <Part Type="punktas" Nr="3" Abbr="3 p." DocPartId="4548e2907a444d638b5bc641a9968abc" PartId="b2973f4ca43d47ce9702d12b6462b7a2">
        <Part Type="papunktis" Nr="3.1" Abbr="3.1 pp." DocPartId="dbeba1cf8f8b41f0a9f2f20259d54ddf" PartId="efb997cd773b407aacccd5519489771c"/>
        <Part Type="papunktis" Nr="3.2" Abbr="3.2 pp." DocPartId="c19cbda23a9b4af2a8a6266493e79a52" PartId="54cd98da47c94f3fa5cb84fd95d29638"/>
        <Part Type="papunktis" Nr="3.3" Abbr="3.3 pp." DocPartId="8a639e73a1a04144bcaa90d522246c21" PartId="457784cfe54542f3964c97a2a6dc4019"/>
        <Part Type="papunktis" Nr="3.4" Abbr="3.4 pp." DocPartId="4a8b8f6c758f4392b3294dada0562e3d" PartId="18a371f0a0234ab8aba976348cfbc2e5"/>
        <Part Type="papunktis" Nr="3.5" Abbr="3.5 pp." DocPartId="0587a0a40cff4e709d9363614473b0b9" PartId="0e8356e63dd240bfbd461ea799f15a3f"/>
        <Part Type="papunktis" Nr="3.6" Abbr="3.6 pp." DocPartId="65524e79219b43eab59310646f81832d" PartId="dcbebffef9544ddfadbf7e910821d8ea"/>
        <Part Type="papunktis" Nr="3.7" Abbr="3.7 pp." DocPartId="58dd986f4ede43e8b16d3f5fba62bdbb" PartId="674fda662d004e2f93b1130df8242a17"/>
        <Part Type="papunktis" Nr="3.8" Abbr="3.8 pp." DocPartId="14d14812b0824f2980e0c8a5c637db00" PartId="1577bf8885fc4df5a4919653f5aabd5c"/>
      </Part>
    </Part>
    <Part Type="skyrius" Nr="2" Title="NEAPMOKAMŲ IŠ PSDF BIUDŽETO PASLAUGŲ ORGANIZAVIMAS" DocPartId="1d7a6cc5de984f83ad648a006fdec9cd" PartId="a4777605f4cf40efb77283ea6069302c">
      <Part Type="punktas" Nr="4" Abbr="4 p." DocPartId="94979241e6b644e0a08097bc985267d5" PartId="1d2864dc8cbf4e069135aa173209c8b1"/>
      <Part Type="punktas" Nr="5" Abbr="5 p." DocPartId="ba96696bc8454f0b9042cde021af0b93" PartId="5026f54a5cf84a0abd7a5216ea718b1b"/>
      <Part Type="punktas" Nr="6" Abbr="6 p." DocPartId="f4f84d0fb1854970925c222f9e5c9250" PartId="1d7791ea764947daa9879d97489747ee"/>
      <Part Type="punktas" Nr="7" Abbr="7 p." DocPartId="0be7d068d0e2480683219edd899db6ae" PartId="4524432cbbf54089adb67cd425bc0e7b"/>
      <Part Type="punktas" Nr="8" Abbr="8 p." DocPartId="2373948c9553431eb615a44864a290e1" PartId="ca85778b6be44a82a6729212f2c197f3"/>
      <Part Type="punktas" Nr="9" Abbr="9 p." DocPartId="3ba935d390d0456e88c8722500abf59c" PartId="d02b04fcdc2146b2afeb98ce8e419da9"/>
      <Part Type="punktas" Nr="10" Abbr="10 p." DocPartId="8f1cc6aef7d2476aaf1f039b38d76e46" PartId="15945792d1874a95a208090190bd6486"/>
      <Part Type="punktas" Nr="11" Abbr="11 p." DocPartId="ae75bd649dba40338c171f76bb2351f6" PartId="ae3e0c767da84a32b52d1beeec115ca6"/>
      <Part Type="punktas" Nr="12" Abbr="12 p." DocPartId="cad83513bb2d48f596d3fab755e6df55" PartId="7da5a432749a4d87ad7f78559d144354"/>
      <Part Type="punktas" Nr="13" Abbr="13 p." DocPartId="1f3c833849504298b520c7117cfd3a4b" PartId="df1ea307a4244c5a9b3c593c3689cf04"/>
      <Part Type="punktas" Nr="14" Abbr="14 p." DocPartId="7b9c84d01270444cb9d199516d4bafda" PartId="e952f089086b45468a25f8f05d5e8d1d"/>
      <Part Type="punktas" Nr="15" Abbr="15 p." DocPartId="22615a0a3efd40849cbb34ee0af99354" PartId="1119f092e2414e6db4be73223f4027a0"/>
    </Part>
    <Part Type="skyrius" Nr="3" Title="APMOKAMA IŠ DALIES IŠ PSDF BIUDŽETO MEDICININĖ REABILITACIJA" DocPartId="eee08787bd98484e9bb71809263b016e" PartId="455928484c9c457284de98ecde69b5dd">
      <Part Type="punktas" Nr="16" Abbr="16 p." DocPartId="80f91faa3dea4803bdcd1bf7c1693ee7" PartId="b21de4f2bc3441e8be1e85df116237ee"/>
      <Part Type="punktas" Nr="17" Abbr="17 p." DocPartId="e52c141a09b94627b1dc3e833668536e" PartId="069369406807471490d7406620b2d772"/>
      <Part Type="punktas" Nr="18" Abbr="18 p." DocPartId="2bf227c69fcf4fd0b49d8f15a1157244" PartId="171f6e69bff94724a5f29d28fbd1d23c"/>
    </Part>
    <Part Type="skyrius" Nr="4" Title="PAREIGŪNO PREVENCINĖS MEDICININĖS PSICHOLOGINĖS REABILITACIJOS ORGANIZAVIMAS" DocPartId="c7b11f43597e4111ba4b5a524e61adaa" PartId="291ea0c8355a4ee389d3c711379411b2">
      <Part Type="punktas" Nr="19" Abbr="19 p." DocPartId="40b2f62e963c416e8d495be4a677ac98" PartId="46fd30d3f17d417797375c25c2ebe1ea"/>
      <Part Type="punktas" Nr="20" Abbr="20 p." DocPartId="7b8e142c993a4fca962a4cb74852cf02" PartId="da651e01dd67445aa5c39551eba85e9c"/>
      <Part Type="punktas" Nr="21" Abbr="21 p." DocPartId="f99cd48bd38b4861a47194543b71b734" PartId="e8d000e6a392408eb70744c20cf4bf2b"/>
      <Part Type="punktas" Nr="22" Abbr="22 p." DocPartId="517fa1db14b543189dc8e76c554d21b2" PartId="decf13c9114c442eaf3d52ac9c6d03dd"/>
    </Part>
    <Part Type="skyrius" Nr="5" Title="PAREIGŪNO IR KURSANTO POSTVENCINĖS MEDICININĖS PSICHOLOGINĖS REABILITACIJOS ORGANIZAVIMAS" DocPartId="7cbd59fc900f4ba9ac9a89811055afbb" PartId="4a339aaba9a04bdcaba462d7ae366807">
      <Part Type="punktas" Nr="23" Abbr="23 p." DocPartId="503b84bda280463eb375c1e16363b94f" PartId="b7589cda27f0443d8fd7eb0c62c7c8fd"/>
      <Part Type="punktas" Nr="24" Abbr="24 p." DocPartId="e59ae71c01fc425faf4b5182062d4470" PartId="5161cf182088420d85e088ae997119cd"/>
      <Part Type="punktas" Nr="25" Abbr="25 p." DocPartId="9a83af7a5ad540ac851970063810f75b" PartId="aa91c03d8a704d6894decd7790b85ba8"/>
      <Part Type="punktas" Nr="26" Abbr="26 p." DocPartId="0c2095e0bd80456e9e89574fb76a4537" PartId="bc26c9b501a74de2b0197a55c21d64b6"/>
      <Part Type="punktas" Nr="27" Abbr="27 p." DocPartId="7f553465217c44e593eb798f0063c60d" PartId="ee153ad972524657bfe4c073cd515719"/>
    </Part>
    <Part Type="skyrius" Nr="6" Title="NEAPMOKAMŲ IŠ PSDF BIUDŽETO PASLAUGŲ IR APMOKAMOS IŠ DALIES IŠ PSDF BIUDŽETO MEDICININĖS REABILITACIJOS APMOKĖJIMAS IŠ VALSTYBĖS BIUDŽETO" DocPartId="aba5f21083f6474080522b609753433b" PartId="2ae3559ca527496195af5822630575b0">
      <Part Type="punktas" Nr="28" Abbr="28 p." DocPartId="d7735774b7134f958f5ae1b1185e5a67" PartId="cb9de315eae9421cbbd2af142655d30a"/>
      <Part Type="punktas" Nr="29" Abbr="29 p." DocPartId="ea46881f40b7449a8a08236585082258" PartId="dadb6a79846c4cc09c06f6ca2450a8d4"/>
      <Part Type="punktas" Nr="30" Abbr="30 p." DocPartId="4ed72b23bac441eeba927c3212c13f77" PartId="4e2e97a8f26347fc923b98c8d0e839c2"/>
    </Part>
    <Part Type="skyrius" Nr="7" Title="BAIGIAMOSIOS NUOSTATOS" DocPartId="cfb54ab01fcc48148c349b6ac4633b84" PartId="b3169f7402234d218533667e6cab30a8">
      <Part Type="punktas" Nr="31" Abbr="31 p." DocPartId="ab0b1f1ca4024048b4e233757dd6b6fe" PartId="d026a8da840040c9902ca28a75c3f70c"/>
      <Part Type="punktas" Nr="32" Abbr="32 p." DocPartId="f74cfc1014cb4469aa04fd25c8a62fc5" PartId="a84767636aff430683baf61859c678eb"/>
      <Part Type="punktas" Nr="33" Abbr="33 p." DocPartId="12aa0b11fa5b4fafbfd4dbd71f6deb54" PartId="7650cb2f67e44a5e903bdb7d6b6bc9c7"/>
      <Part Type="punktas" Nr="34" Abbr="34 p." DocPartId="0e7b280f2e094a339192cd81de3125b6" PartId="65cbc20332fe4239922d15cd7b1ca0dc"/>
      <Part Type="punktas" Nr="35" Abbr="35 p." DocPartId="38d47d184c07408ba3167aadf45adb5a" PartId="83aedfdd41284fe1bff8552d2c40d53f"/>
    </Part>
    <Part Type="pabaiga" DocPartId="22f3b5d4367c490fa03e1468efd29a10" PartId="8b3fbf32a97e42d6a0e46230a6f9311d"/>
  </Part>
  <Part Type="priedas" Abbr="pr." Title="STACIONARINĖS MEDICININĖS REABILITACIJOS, PREVENCINĖS IR POSTVENCINĖS MEDICININĖS PSICHOLOGINĖS REABILITACIJOS, SVEIKATOS GRĄŽINAMOJO GYDYMO, ANTIRECIDYVINIO GYDYMO, PASLAUGŲ TEIKIMO REABILITACIJOS ĮSTAIGOSE SĄLYGOS" DocPartId="8a8778f1b2ff4cfb8dfc7a73bea6fc12" PartId="7e35e765fb6f49ce8443fc2b7bf5942f">
    <Part Type="skyrius" Nr="1" Title="STACIONARINĖS MEDICININĖS REABILITACIJOS, SVEIKATOS GRĄŽINAMOJO GYDYMO, ANTIRECIDYVINIO GYDYMO, PREVENCINĖS IR POSTVENCINĖS MEDICININĖS PSICHOLOGINĖS REABILITACIJOS PASLAUGŲ TEIKIMO BENDRIEJI REIKALAVIMAI" DocPartId="4d169a8d328b4506ad16e11258f0a7d6" PartId="13b8de01ba2f4ae2b45f4b2a123610b2">
      <Part Type="punktas" Nr="1" Abbr="pr. 1 p." DocPartId="513505389fd045ff84afbf0dbae67bbc" PartId="96d8269e76524218b84b0f84f37cd27e">
        <Part Type="papunktis" Nr="1.1" Abbr="pr. 1.1 pp." DocPartId="071a7fd61476401991453ea1390b0f95" PartId="860729afea9840fcb3d438dfd1ba1ce3">
          <Part Type="papunktis" Nr="1.1.1" Abbr="pr. 1.1.1 pp." DocPartId="eab064bc91dc4054a3649a8329227e69" PartId="3f2dcbf0aa964b7eaa2ffe7149a021e7"/>
          <Part Type="papunktis" Nr="1.1.2" Abbr="pr. 1.1.2 pp." DocPartId="09a1c468e43e4e638fb6db2ad8e09674" PartId="d34048de9a3843c98ca8716a4d51ab05"/>
        </Part>
        <Part Type="papunktis" Nr="1.2" Abbr="pr. 1.2 pp." DocPartId="3f0f14db086346ceac6b08e21d413fbb" PartId="6053fbb5f2574f01b5b6c89975fad08b">
          <Part Type="papunktis" Nr="1.2.1" Abbr="pr. 1.2.1 pp." DocPartId="34e1ee0b0d1f4c01b0eb0e2ccd1a2146" PartId="015097115deb41f09e583d1b3a32310d"/>
          <Part Type="papunktis" Nr="1.2.2" Abbr="pr. 1.2.2 pp." DocPartId="d8bb69145b1a42d1ac0ddf0cf729efc3" PartId="97add5ecb0a9494aa31dceb57a32c7ef"/>
          <Part Type="papunktis" Nr="1.2.3" Abbr="pr. 1.2.3 pp." DocPartId="9b7d67ad21f44278881c68e31fe0d081" PartId="3c80afb7b32f48db8751d54822c55ed0"/>
          <Part Type="papunktis" Nr="1.2.4" Abbr="pr. 1.2.4 pp." DocPartId="96dca7363f9c44af8932cb6c209197ee" PartId="24d61f917e2c4669b8f8ab56594c2766"/>
          <Part Type="papunktis" Nr="1.2.5" Abbr="pr. 1.2.5 pp." DocPartId="66b76bdfdd5e44838eab6cda498d69b6" PartId="f77a300664924b90b21ed392514cfd10"/>
          <Part Type="papunktis" Nr="1.2.6" Abbr="pr. 1.2.6 pp." DocPartId="62cde5b7422c4f5088f6370677468c74" PartId="101870b9b7ef4a0fbc1c9d5c1b035ed4"/>
          <Part Type="papunktis" Nr="1.2.7" Abbr="pr. 1.2.7 pp." DocPartId="44c67c8c67494dd28e3fbecf68835c46" PartId="fe6e0925da5d464eb087e20277764beb"/>
          <Part Type="papunktis" Nr="1.2.8" Abbr="pr. 1.2.8 pp." DocPartId="e97a25fe4a944f96b2683a8ad535226b" PartId="fea5c2c6d8be456683e48d3f6c684251"/>
          <Part Type="papunktis" Nr="1.2.9" Abbr="pr. 1.2.9 pp." DocPartId="676529c43ab941d9859d7fca28da8c40" PartId="a003c9bf2d6047c9a57708185e97a901"/>
          <Part Type="papunktis" Nr="1.2.10" Abbr="pr. 1.2.10 pp." DocPartId="544a74bc8aa34138a5da353c6f857335" PartId="2d5aa9bdac92492e8c63af72161af6ed"/>
          <Part Type="papunktis" Nr="1.2.11" Abbr="pr. 1.2.11 pp." DocPartId="b45e27d83e704d1380210aac64798116" PartId="7a21490218d24609a8f05754a76222b2"/>
          <Part Type="papunktis" Nr="1.2.12" Abbr="pr. 1.2.12 pp." DocPartId="7bd0939e8a5c4fcd99c681e15436f3f5" PartId="ef33dd85414f44f2beb275c8d945c101"/>
        </Part>
      </Part>
      <Part Type="punktas" Nr="2" Abbr="pr. 2 p." DocPartId="16917888a59545d0afb2c18b445482f8" PartId="21b80bf8c2e843168420c429a832b379">
        <Part Type="papunktis" Nr="2.1" Abbr="pr. 2.1 pp." DocPartId="71294d7ed8d749fb9c3e3dcaca30b389" PartId="64577b3064f6432691212ed724ac5468"/>
        <Part Type="papunktis" Nr="2.2" Abbr="pr. 2.2 pp." DocPartId="bb2c2da319364765907b13d53fa3f78a" PartId="3f009cf0cadf4336ad2a843c1dadc1e4"/>
        <Part Type="papunktis" Nr="2.3" Abbr="pr. 2.3 pp." DocPartId="325b912f913649d58066b0647327c65b" PartId="0bf6d695934142afad41ad1a10edbf9c"/>
        <Part Type="papunktis" Nr="2.4" Abbr="pr. 2.4 pp." DocPartId="c9131ae3ddab42dc987b3e1364227b2d" PartId="f1ecb132d4934b9c82116788a9836123"/>
        <Part Type="papunktis" Nr="2.5" Abbr="pr. 2.5 pp." DocPartId="d00cf89b87714206ac55b0492f0d7993" PartId="a23f5d3c8685490db51d55e3a4f801d2"/>
        <Part Type="papunktis" Nr="2.6" Abbr="pr. 2.6 pp." DocPartId="8958c07e1b9d41d1b4ac46497dace00f" PartId="d093f50b3525425bb51b0ed92644747f"/>
        <Part Type="papunktis" Nr="2.7" Abbr="pr. 2.7 pp." DocPartId="e414cb3390924ac6b6d719a0b56ef17d" PartId="d4d7e3ada96f4db7b8f8e9d30f8fce44"/>
        <Part Type="papunktis" Nr="2.8" Abbr="pr. 2.8 pp." DocPartId="959144d8e455427ea19dd507003ad7d1" PartId="621fa7bb45794599b83bb31e4774bcef"/>
        <Part Type="papunktis" Nr="2.9" Abbr="pr. 2.9 pp." DocPartId="6047c8a303cc4c509e71e2b077b56e87" PartId="92dcbca0a1284949b3b66e97b0c0b651"/>
      </Part>
      <Part Type="punktas" Nr="3" Abbr="pr. 3 p." DocPartId="3bb4e8cc3ece46b78d8d8d4fd3a03fe3" PartId="e20d19db96e846fcac9fe578e8ed4d87">
        <Part Type="papunktis" Nr="3.1" Abbr="pr. 3.1 pp." DocPartId="a735dba01d634819bbe076c96e9b0510" PartId="ff8e6ab0d4a748c59a8049aed68ae833">
          <Part Type="papunktis" Nr="3.1.1" Abbr="pr. 3.1.1 pp." DocPartId="87a2b00e07e840d492ef633abb1e7efc" PartId="33c0c080f2c24a83bdd203dd62b7ca5e"/>
          <Part Type="papunktis" Nr="3.1.2" Abbr="pr. 3.1.2 pp." DocPartId="1a14edd7a6c246bab10586ded1004a6f" PartId="d398595aad554d9da3c978d2a0069f2f"/>
          <Part Type="papunktis" Nr="3.1.3" Abbr="pr. 3.1.3 pp." DocPartId="00f65b63eeee4b6b839c5a53c411234d" PartId="752d295551ec4a79828dc433b87bf1ff"/>
          <Part Type="papunktis" Nr="3.1.4" Abbr="pr. 3.1.4 pp." DocPartId="834b10a6374242468319975c3b88b8aa" PartId="b50ff0f73ae44bdeaa09a1dd2208b2ad"/>
          <Part Type="papunktis" Nr="3.1.5" Abbr="pr. 3.1.5 pp." DocPartId="a388ad4a5c014c468dc660fb7a855fef" PartId="967802078397457fb9347ac987007d3e"/>
          <Part Type="papunktis" Nr="3.1.6" Abbr="pr. 3.1.6 pp." DocPartId="f6747c2a3c074116bf5fbb199f879eea" PartId="459f0e0bb8b94b0b8eb68d5fb530609a"/>
          <Part Type="papunktis" Nr="3.1.7" Abbr="pr. 3.1.7 pp." DocPartId="dc1a8568197447fa9988c7a184d88d56" PartId="0dc9a06be85340269b00c4402e044ea6"/>
          <Part Type="papunktis" Nr="3.1.8" Abbr="pr. 3.1.8 pp." DocPartId="3825090a23704b71b35701e3ed2a8024" PartId="262a4d3f3e374ab0afb38bbd531410ed"/>
          <Part Type="papunktis" Nr="3.1.9" Abbr="pr. 3.1.9 pp." DocPartId="49f7f57ae0aa41efa0222991d77e8e2c" PartId="1c77156089674bc6ac16bad408a0e7ed"/>
          <Part Type="papunktis" Nr="3.1.10" Abbr="pr. 3.1.10 pp." DocPartId="5e8e3fb18e0048bd8bf589e1a733b218" PartId="f547808fe9e74ed2aa14056734a43a4a"/>
          <Part Type="papunktis" Nr="3.1.11" Abbr="pr. 3.1.11 pp." DocPartId="d62c984b933e4971b4a1850a933796d0" PartId="fb7c9968c6834ac6af6e7c77fddf89d5"/>
          <Part Type="papunktis" Nr="3.1.12" Abbr="pr. 3.1.12 pp." DocPartId="4ac94c0e761346ea8e0921686a9afae9" PartId="a75e15ff0db34dd68761bf44843257c7"/>
        </Part>
        <Part Type="papunktis" Nr="3.2" Abbr="pr. 3.2 pp." DocPartId="4a447d1480a0408d8b317f9f73b64582" PartId="1d50a901f530453594e42f36519d19a3">
          <Part Type="papunktis" Nr="3.2.1" Abbr="pr. 3.2.1 pp." DocPartId="3e2d21365d6d48368b755d533212f787" PartId="82f1c452ceb445d6bb87061de9362b6a"/>
          <Part Type="papunktis" Nr="3.2.2" Abbr="pr. 3.2.2 pp." DocPartId="0f1c888ae588475d882b0333d62ff296" PartId="f938cf0cabf34f0ba38e63c10434956c"/>
          <Part Type="papunktis" Nr="3.2.3" Abbr="pr. 3.2.3 pp." DocPartId="c7816e05b6c44f76bfc1c51acd326574" PartId="9678d52aeeb0428ca69f6f93285538db"/>
          <Part Type="papunktis" Nr="3.2.4" Abbr="pr. 3.2.4 pp." DocPartId="f86a3b9b14ef4933bbc42b82693bed82" PartId="b1001b5c5aff4ea5bef8a946245a3d0a"/>
          <Part Type="papunktis" Nr="3.2.5" Abbr="pr. 3.2.5 pp." DocPartId="4254e03694ab427899079346ea27c5b6" PartId="ec9e5bd568274fe487fb8b743e35d92f"/>
          <Part Type="papunktis" Nr="3.2.6" Abbr="pr. 3.2.6 pp." DocPartId="3c565271b24f4bd6bfc4eca232b67a15" PartId="36b7decffc9c493ab5193ae19231ebec"/>
          <Part Type="papunktis" Nr="3.2.7" Abbr="pr. 3.2.7 pp." DocPartId="3cc182a7290244d99890f7793f1e0b6e" PartId="27e7cef2b96d47ecb38b1e1d24f64cb6"/>
          <Part Type="papunktis" Nr="3.2.8" Abbr="pr. 3.2.8 pp." DocPartId="01c0e3c5993f4b8fb66a4b24d6551caa" PartId="1a6c7a1d42d84dcf99d62c6a479864fb"/>
        </Part>
      </Part>
    </Part>
    <Part Type="skyrius" Nr="2" Title="BENDROS SIUNTIMO MEDICININEI REABILITACIJAI, SVEIKATOS GRĄŽINAMAJAM GYDYMUI, ANTIRECIDYVINIAM GYDYMUI, PREVENCINEI MEDICININEI PSICHOLOGINEI REABILITACIJAI KONTRAINDIKACIJOS" DocPartId="997aed1216fb491595c76f36a9c248b4" PartId="d36e2acd366e402cbe744651b763a047">
      <Part Type="punktas" Nr="4" Abbr="pr. 4 p." DocPartId="18acce0ea2874e3eb71c35710ee6436d" PartId="6c473d65dcd1480cb28a6bb16101d916"/>
      <Part Type="punktas" Nr="5" Abbr="pr. 5 p." DocPartId="6c1248843c094411b51d1f911d9abd1e" PartId="5118c67bc4bc413b8c949d14a7643ee7"/>
      <Part Type="punktas" Nr="6" Abbr="pr. 6 p." DocPartId="ea8b28f9f10f41ae8df475a76621aaa1" PartId="e3a510f4eeba4ab7a4e39fd47c63c8a1"/>
      <Part Type="punktas" Nr="7" Abbr="pr. 7 p." DocPartId="1481274c1c1042ad923fc0b0043668f9" PartId="a5532116b367499da5ca89eea7071aec"/>
      <Part Type="punktas" Nr="8" Abbr="pr. 8 p." DocPartId="1a3f8f5482b34fa4bfeea1609e5cd6d8" PartId="5a1e38ae6f8f48de94e6188f5393db77"/>
      <Part Type="punktas" Nr="9" Abbr="pr. 9 p." DocPartId="be091fd89f9d447aad057eb864e77afb" PartId="2af67792e3bc469099cd64ca6b7a8ff2"/>
      <Part Type="punktas" Nr="10" Abbr="pr. 10 p." DocPartId="ff9b439313b8468b80cda3b52663fa56" PartId="ac19fcecd09e4a54a7ece21aee89c7e1"/>
      <Part Type="punktas" Nr="11" Abbr="pr. 11 p." DocPartId="6fdda12051914ada8b6b096d9ac234b1" PartId="510b0841eb154dafb38f95e078b3bf5d"/>
      <Part Type="punktas" Nr="12" Abbr="pr. 12 p." DocPartId="5aedc39d5eed479082b721dadf7bf06a" PartId="511bd7f5b9434d43913d2cd719d92904"/>
      <Part Type="punktas" Nr="13" Abbr="pr. 13 p." DocPartId="06c30e1706ab469a859f73f90ad44ca2" PartId="f1203f79f58746d1aa4e2929fc70763f"/>
      <Part Type="punktas" Nr="14" Abbr="pr. 14 p." DocPartId="cf52c44639da49d098357bc11bd63193" PartId="c97e17d740f44c628ae4a99185604d83"/>
      <Part Type="punktas" Nr="15" Abbr="pr. 15 p." DocPartId="fccb056459b8484fb831d3d141df67fb" PartId="b692c4261cbc46d28b45bf55e59c4d89"/>
    </Part>
    <Part Type="skyrius" Nr="3" Title="STACIONARINĖS IR AMBULATORINĖS MEDICININĖS REABILITACIJOS, SVEIKATOS GRĄŽINAMOJO GYDYMO PASLAUGŲ TEIKIMO SPECIALIEJI REIKALAVIMAI IR INDIKACIJOS" DocPartId="1a8ae469b5584a809d7a136474fecee7" PartId="ce0d8ec2cea64964af060c15b4f4ca82"/>
    <Part Type="skyrius" Nr="4" Title="ANTIRECIDYVINIO GYDYMO PASLAUGŲ TEIKIMO SPECIALIEJI REIKALAVIMAI IR INDIKACIJOS" DocPartId="819c856d6f2c444594aa72f43923c456" PartId="52e28d87ff634dc8bf235b1a62d97682"/>
    <Part Type="skyrius" Nr="5" Title="PREVENCINĖS IR POSTVENCINĖS MEDICININĖS PSICHOLOGINĖS REABILITACIJOS PASLAUGŲ TEIKIMO SPECIALIEJI REIKALAVIMAI IR INDIKACIJOS" DocPartId="d1395f741d2d4dac9e38c79df3de19e3" PartId="7b1126a9bee3484088319d655e64c4f5"/>
  </Part>
</Parts>
</file>

<file path=customXml/itemProps1.xml><?xml version="1.0" encoding="utf-8"?>
<ds:datastoreItem xmlns:ds="http://schemas.openxmlformats.org/officeDocument/2006/customXml" ds:itemID="{21C79116-F24A-4D7D-A0F7-6F13831A8944}">
  <ds:schemaRefs>
    <ds:schemaRef ds:uri="http://lrs.lt/TAIS/DocParts"/>
  </ds:schemaRefs>
</ds:datastoreItem>
</file>

<file path=docProps/app.xml><?xml version="1.0" encoding="utf-8"?>
<Properties xmlns="http://schemas.openxmlformats.org/officeDocument/2006/extended-properties">
  <Template>Normal.dotm</Template>
  <TotalTime>26</TotalTime>
  <Pages>49</Pages>
  <Words>84763</Words>
  <Characters>48315</Characters>
  <Application>Microsoft Office Word</Application>
  <DocSecurity>0</DocSecurity>
  <Lines>402</Lines>
  <Paragraphs>265</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
  <LinksUpToDate>false</LinksUpToDate>
  <CharactersWithSpaces>132813</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2015-10-01T13:49:00Z</dcterms:created>
  <dc:creator>Aida Gritienė</dc:creator>
  <lastModifiedBy>JUOSPONIENĖ Karolina</lastModifiedBy>
  <lastPrinted>2015-09-17T11:05:00Z</lastPrinted>
  <dcterms:modified xsi:type="dcterms:W3CDTF">2024-12-05T12:26:00Z</dcterms:modified>
  <revision>16</revision>
</coreProperties>
</file>