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d6be502eef548c5b6187f8c14d43aab"/>
        <w:lock w:val="sdtLocked"/>
        <w:richText/>
      </w:sdtPr>
      <w:sdtContent>
        <w:p>
          <w:pPr>
            <w:jc w:val="both"/>
            <w:rPr>
              <w:rFonts w:ascii="Times New Roman" w:hAnsi="Times New Roman"/>
            </w:rPr>
          </w:pPr>
          <w:r>
            <w:rPr>
              <w:rFonts w:ascii="Times New Roman" w:hAnsi="Times New Roman"/>
              <w:b/>
              <w:i/>
            </w:rPr>
            <w:t>Suvestinė redakcija nuo 2015-09-23 iki 2015-10-29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tabs>
              <w:tab w:val="center" w:pos="4819"/>
              <w:tab w:val="right" w:pos="9638"/>
            </w:tabs>
            <w:rPr>
              <w:szCs w:val="24"/>
              <w:lang w:val="en-GB"/>
            </w:rPr>
          </w:pPr>
          <w:r>
            <w:t xml:space="preserve"> </w:t>
          </w: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9cae92821c2c4a1698213145a123848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1b21b42953994a08a46d1f8b4c70d599"/>
        <w:lock w:val="sdtLocked"/>
        <w:richText/>
      </w:sdtPr>
      <w:sdtContent>
        <w:p>
          <w:pPr>
            <w:keepLines/>
            <w:tabs>
              <w:tab w:val="left" w:pos="1304"/>
              <w:tab w:val="left" w:pos="1457"/>
              <w:tab w:val="left" w:pos="1604"/>
              <w:tab w:val="left" w:pos="1757"/>
            </w:tabs>
            <w:suppressAutoHyphens/>
            <w:ind w:left="5953"/>
            <w:textAlignment w:val="center"/>
            <w:rPr>
              <w:szCs w:val="24"/>
            </w:rPr>
          </w:pPr>
          <w:r>
            <w:rPr>
              <w:b/>
              <w:szCs w:val="24"/>
            </w:rPr>
            <w:br w:type="page"/>
          </w: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 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1b21b42953994a08a46d1f8b4c70d599"/>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bfd1b945f5ba46f1bd3229bc91499a99"/>
                <w:lock w:val="sdtLocked"/>
                <w:richText/>
              </w:sdtPr>
              <w:sdtContent>
                <w:p>
                  <w:pPr>
                    <w:tabs>
                      <w:tab w:val="left" w:pos="993"/>
                    </w:tabs>
                    <w:suppressAutoHyphens/>
                    <w:ind w:firstLine="709"/>
                    <w:jc w:val="both"/>
                    <w:textAlignment w:val="center"/>
                    <w:rPr>
                      <w:szCs w:val="24"/>
                    </w:rPr>
                  </w:pPr>
                  <w:sdt>
                    <w:sdtPr>
                      <w:alias w:val="Numeris"/>
                      <w:tag w:val="nr_bfd1b945f5ba46f1bd3229bc91499a99"/>
                      <w:lock w:val="sdtLocked"/>
                      <w:richText/>
                    </w:sdtPr>
                    <w:sdtContent>
                      <w:r>
                        <w:rPr>
                          <w:szCs w:val="24"/>
                        </w:rPr>
                        <w:t>3</w:t>
                      </w:r>
                    </w:sdtContent>
                  </w:sdt>
                  <w:r>
                    <w:rPr>
                      <w:szCs w:val="24"/>
                    </w:rPr>
                    <w:t xml:space="preserve">.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w:t>
                    <w:br/>
                    <w:t>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 xml:space="preserve">“, </w:t>
                  </w:r>
                  <w:r>
                    <w:rPr>
                      <w:szCs w:val="24"/>
                    </w:rPr>
                    <w:t>Lietuvos Respublikos Vyriausybės nutarimais, kitais</w:t>
                  </w:r>
                  <w:r>
                    <w:rPr>
                      <w:b/>
                      <w:szCs w:val="24"/>
                    </w:rPr>
                    <w:t xml:space="preserve"> </w:t>
                  </w:r>
                  <w:r>
                    <w:rPr>
                      <w:szCs w:val="24"/>
                    </w:rPr>
                    <w:t>Lietuvos Respublikos ir Europos Sąjungos teisės aktų reikalavimais.</w:t>
                  </w:r>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3 p."/>
                            <w:tag w:val="part_c811596d48984fd0baec0643c4f74a4a"/>
                            <w:lock w:val="sdtLocked"/>
                            <w:richText/>
                          </w:sdtPr>
                          <w:sdtContent>
                            <w:p>
                              <w:pPr>
                                <w:tabs>
                                  <w:tab w:val="left" w:pos="993"/>
                                </w:tabs>
                                <w:ind w:firstLine="709"/>
                                <w:jc w:val="both"/>
                                <w:rPr>
                                  <w:szCs w:val="24"/>
                                </w:rPr>
                              </w:pPr>
                              <w:sdt>
                                <w:sdtPr>
                                  <w:alias w:val="Numeris"/>
                                  <w:tag w:val="nr_c811596d48984fd0baec0643c4f74a4a"/>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ab/>
                                <w:t>(1)</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 p."/>
                            <w:tag w:val="part_c1d2a734a119409986393d1ba531d93f"/>
                            <w:lock w:val="sdtLocked"/>
                            <w:richText/>
                          </w:sdtPr>
                          <w:sdtContent>
                            <w:p>
                              <w:pPr>
                                <w:tabs>
                                  <w:tab w:val="left" w:pos="993"/>
                                </w:tabs>
                                <w:ind w:firstLine="709"/>
                                <w:jc w:val="both"/>
                              </w:pPr>
                              <w:sdt>
                                <w:sdtPr>
                                  <w:alias w:val="Numeris"/>
                                  <w:tag w:val="nr_c1d2a734a119409986393d1ba531d93f"/>
                                  <w:lock w:val="sdtLocked"/>
                                  <w:richText/>
                                </w:sdtPr>
                                <w:sdtContent>
                                  <w:r>
                                    <w:rPr>
                                      <w:szCs w:val="24"/>
                                    </w:rPr>
                                    <w:t>7.2.4</w:t>
                                  </w:r>
                                </w:sdtContent>
                              </w:sdt>
                              <w:r>
                                <w:rPr>
                                  <w:szCs w:val="24"/>
                                </w:rPr>
                                <w:t xml:space="preserve">. 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w:t>
                              </w:r>
                              <w:r>
                                <w:rPr>
                                  <w:bCs/>
                                  <w:szCs w:val="24"/>
                                </w:rPr>
                                <w:t>išskyrus strateginius projektus),</w:t>
                              </w:r>
                              <w:r>
                                <w:rPr>
                                  <w:szCs w:val="24"/>
                                </w:rPr>
                                <w:t xml:space="preserve"> taip pat turtas (ar jo dalis), įsigytas už Europos Sąjungos struktūrinių fondų lėšas, gautas subsidijas, dotacijas ar joms prilygintas lėšas ir už elektros energijos gamintojų ir vartotojų įrenginių prijungimą prie tinklų sumokėtas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87e2f9ff0e2e4d3286a745f43814c226"/>
                            <w:lock w:val="sdtLocked"/>
                            <w:richText/>
                          </w:sdtPr>
                          <w:sdtContent>
                            <w:p>
                              <w:pPr>
                                <w:ind w:firstLine="720"/>
                                <w:jc w:val="both"/>
                                <w:rPr>
                                  <w:szCs w:val="24"/>
                                </w:rPr>
                              </w:pPr>
                              <w:sdt>
                                <w:sdtPr>
                                  <w:alias w:val="Numeris"/>
                                  <w:tag w:val="nr_87e2f9ff0e2e4d3286a745f43814c226"/>
                                  <w:lock w:val="sdtLocked"/>
                                  <w:richText/>
                                </w:sdtPr>
                                <w:sdtContent>
                                  <w:r>
                                    <w:rPr>
                                      <w:szCs w:val="24"/>
                                    </w:rPr>
                                    <w:t>7.3.2</w:t>
                                  </w:r>
                                </w:sdtContent>
                              </w:sdt>
                              <w:r>
                                <w:rPr>
                                  <w:szCs w:val="24"/>
                                </w:rPr>
                                <w:t xml:space="preserve">. p rotingumo kriterijų atitinkančios investicijų grąžos normą,  nustatomą vadovaujantis Investicijų grąžos normos nustatymo metodika, patvirtinta Komisijos 2015 m.       d. nutarimu Nr. O3-     „Dėl Investicijų grąžos normos nustatymo metodikos tvirtinimo“ (toliau – Investicijų grąžos normos nustatymo metodika), pagal formulę:</w:t>
                              </w:r>
                            </w:p>
                            <w:p>
                              <w:pPr>
                                <w:tabs>
                                  <w:tab w:val="left" w:pos="0"/>
                                  <w:tab w:val="left" w:pos="1276"/>
                                  <w:tab w:val="left" w:pos="1843"/>
                                </w:tabs>
                                <w:contextualSpacing/>
                                <w:jc w:val="both"/>
                                <w:rPr>
                                  <w:szCs w:val="24"/>
                                </w:rPr>
                              </w:pPr>
                            </w:p>
                            <w:p>
                              <w:pPr>
                                <w:tabs>
                                  <w:tab w:val="left" w:pos="9356"/>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(2)</w:t>
                              </w:r>
                            </w:p>
                            <w:p>
                              <w:pPr>
                                <w:tabs>
                                  <w:tab w:val="left" w:pos="9214"/>
                                </w:tabs>
                                <w:jc w:val="both"/>
                                <w:rPr>
                                  <w:szCs w:val="24"/>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szCs w:val="24"/>
                                </w:rPr>
                                <w:t>i – reguliuojamų kainų paslauga;</w:t>
                              </w:r>
                            </w:p>
                            <w:p>
                              <w:pPr>
                                <w:tabs>
                                  <w:tab w:val="left" w:pos="1843"/>
                                </w:tabs>
                                <w:jc w:val="both"/>
                                <w:rPr>
                                  <w:szCs w:val="24"/>
                                </w:rPr>
                              </w:pPr>
                              <w:r>
                                <w:rPr>
                                  <w:szCs w:val="24"/>
                                </w:rPr>
                                <w:t>r – protingumo kriterijų atitinkanti investicijų grąžos norma, proc.;</w:t>
                              </w:r>
                            </w:p>
                            <w:p>
                              <w:pPr>
                                <w:tabs>
                                  <w:tab w:val="left" w:pos="0"/>
                                  <w:tab w:val="left" w:pos="1276"/>
                                  <w:tab w:val="left" w:pos="1843"/>
                                </w:tabs>
                                <w:ind w:firstLine="709"/>
                                <w:contextualSpacing/>
                                <w:jc w:val="both"/>
                                <w:rPr>
                                  <w:szCs w:val="24"/>
                                </w:rPr>
                              </w:pPr>
                              <w:r>
                                <w:rPr>
                                  <w:szCs w:val="24"/>
                                </w:rPr>
                                <w:t>RAB</w:t>
                              </w:r>
                              <w:r>
                                <w:rPr>
                                  <w:szCs w:val="24"/>
                                  <w:vertAlign w:val="subscript"/>
                                </w:rPr>
                                <w:t>i</w:t>
                              </w:r>
                              <w:r>
                                <w:rPr>
                                  <w:szCs w:val="24"/>
                                </w:rPr>
                                <w:t xml:space="preserve"> – i-tajai paslaugai priskirtino reguliuojamo turto vertė, EUR.</w:t>
                              </w:r>
                            </w:p>
                            <w:sdt>
                              <w:sdtPr>
                                <w:alias w:val="7.3.2.1 p."/>
                                <w:tag w:val="part_54700e9d18c346059d17a084d7288982"/>
                                <w:lock w:val="sdtLocked"/>
                                <w:richText/>
                              </w:sdtPr>
                              <w:sdtContent>
                                <w:p>
                                  <w:pPr>
                                    <w:pStyle w:val="PlainText"/>
                                    <w:ind w:firstLine="567"/>
                                    <w:jc w:val="both"/>
                                    <w:rPr>
                                      <w:rFonts w:ascii="Times New Roman" w:hAnsi="Times New Roman"/>
                                      <w:b/>
                                      <w:bCs/>
                                      <w:sz w:val="22"/>
                                    </w:rPr>
                                  </w:pPr>
                                  <w:r>
                                    <w:rPr>
                                      <w:rFonts w:ascii="Times New Roman" w:hAnsi="Times New Roman"/>
                                      <w:sz w:val="22"/>
                                    </w:rPr>
                                    <w:t>7.3.2.1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2 p."/>
                                <w:tag w:val="part_e1d60074850b4e24b9476c58137bf06c"/>
                                <w:lock w:val="sdtLocked"/>
                                <w:richText/>
                              </w:sdtPr>
                              <w:sdtContent>
                                <w:p>
                                  <w:pPr>
                                    <w:pStyle w:val="PlainText"/>
                                    <w:ind w:firstLine="567"/>
                                    <w:jc w:val="both"/>
                                    <w:rPr>
                                      <w:rFonts w:ascii="Times New Roman" w:hAnsi="Times New Roman"/>
                                      <w:b/>
                                      <w:bCs/>
                                      <w:sz w:val="22"/>
                                    </w:rPr>
                                  </w:pPr>
                                  <w:r>
                                    <w:rPr>
                                      <w:rFonts w:ascii="Times New Roman" w:hAnsi="Times New Roman"/>
                                      <w:sz w:val="22"/>
                                    </w:rPr>
                                    <w:t>7.3.2.2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2.3 p."/>
                                <w:tag w:val="part_d9aa63753ef5461ca96687f862a24066"/>
                                <w:lock w:val="sdtLocked"/>
                                <w:richText/>
                              </w:sdtPr>
                              <w:sdtContent>
                                <w:p>
                                  <w:pPr>
                                    <w:pStyle w:val="PlainText"/>
                                    <w:ind w:firstLine="567"/>
                                    <w:jc w:val="both"/>
                                    <w:rPr>
                                      <w:rFonts w:ascii="Times New Roman" w:hAnsi="Times New Roman"/>
                                      <w:b/>
                                      <w:bCs/>
                                      <w:sz w:val="22"/>
                                    </w:rPr>
                                  </w:pPr>
                                  <w:r>
                                    <w:rPr>
                                      <w:rFonts w:ascii="Times New Roman" w:hAnsi="Times New Roman"/>
                                      <w:sz w:val="22"/>
                                    </w:rPr>
                                    <w:t>7.3.2.3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e8f2ca872fd4440e96e37c5169b80dfc"/>
                            <w:lock w:val="sdtLocked"/>
                            <w:richText/>
                          </w:sdtPr>
                          <w:sdtContent>
                            <w:p>
                              <w:pPr>
                                <w:tabs>
                                  <w:tab w:val="left" w:pos="993"/>
                                  <w:tab w:val="left" w:pos="1134"/>
                                </w:tabs>
                                <w:ind w:firstLine="709"/>
                                <w:jc w:val="both"/>
                                <w:rPr>
                                  <w:szCs w:val="24"/>
                                </w:rPr>
                              </w:pPr>
                              <w:sdt>
                                <w:sdtPr>
                                  <w:alias w:val="Numeris"/>
                                  <w:tag w:val="nr_e8f2ca872fd4440e96e37c5169b80dfc"/>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a5234e5a81964f87bf84bfbca29b89a6"/>
                            <w:lock w:val="sdtLocked"/>
                            <w:richText/>
                          </w:sdtPr>
                          <w:sdtContent>
                            <w:p>
                              <w:pPr>
                                <w:tabs>
                                  <w:tab w:val="left" w:pos="993"/>
                                  <w:tab w:val="left" w:pos="1134"/>
                                </w:tabs>
                                <w:ind w:firstLine="709"/>
                                <w:jc w:val="both"/>
                                <w:rPr>
                                  <w:szCs w:val="24"/>
                                </w:rPr>
                              </w:pPr>
                              <w:sdt>
                                <w:sdtPr>
                                  <w:alias w:val="Numeris"/>
                                  <w:tag w:val="nr_a5234e5a81964f87bf84bfbca29b89a6"/>
                                  <w:lock w:val="sdtLocked"/>
                                  <w:richText/>
                                </w:sdtPr>
                                <w:sdtContent>
                                  <w:r>
                                    <w:rPr>
                                      <w:szCs w:val="24"/>
                                    </w:rPr>
                                    <w:t>8.1.4</w:t>
                                  </w:r>
                                </w:sdtContent>
                              </w:sdt>
                              <w:r>
                                <w:rPr>
                                  <w:szCs w:val="24"/>
                                </w:rPr>
                                <w:t>. Visais kitais metais, einančiais po pirmųjų naujojo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a1fb577029a347e59bda1b493b21d38b"/>
                            <w:lock w:val="sdtLocked"/>
                            <w:richText/>
                          </w:sdtPr>
                          <w:sdtContent>
                            <w:p>
                              <w:pPr>
                                <w:tabs>
                                  <w:tab w:val="left" w:pos="1134"/>
                                </w:tabs>
                                <w:ind w:firstLine="709"/>
                                <w:jc w:val="both"/>
                                <w:rPr>
                                  <w:szCs w:val="24"/>
                                </w:rPr>
                              </w:pPr>
                              <w:sdt>
                                <w:sdtPr>
                                  <w:alias w:val="Numeris"/>
                                  <w:tag w:val="nr_a1fb577029a347e59bda1b493b21d38b"/>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8ecf582e8fcf43078c15b90c10b68fb5"/>
                            <w:lock w:val="sdtLocked"/>
                            <w:richText/>
                          </w:sdtPr>
                          <w:sdtContent>
                            <w:p>
                              <w:pPr>
                                <w:ind w:firstLine="709"/>
                                <w:jc w:val="both"/>
                                <w:rPr>
                                  <w:szCs w:val="24"/>
                                </w:rPr>
                              </w:pPr>
                              <w:sdt>
                                <w:sdtPr>
                                  <w:alias w:val="Numeris"/>
                                  <w:tag w:val="nr_8ecf582e8fcf43078c15b90c10b68fb5"/>
                                  <w:lock w:val="sdtLocked"/>
                                  <w:richText/>
                                </w:sdtPr>
                                <w:sdtContent>
                                  <w:r>
                                    <w:rPr>
                                      <w:szCs w:val="24"/>
                                      <w:lang w:eastAsia="lt-LT"/>
                                    </w:rPr>
                                    <w:t>8.2.6</w:t>
                                  </w:r>
                                </w:sdtContent>
                              </w:sdt>
                              <w:r>
                                <w:rPr>
                                  <w:szCs w:val="24"/>
                                  <w:lang w:eastAsia="lt-LT"/>
                                </w:rPr>
                                <w:t>. Visais kitais metais, einančiais po pirmųjų naujo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295d0e6094c7417f989efba4d291e8dc"/>
                        <w:lock w:val="sdtLocked"/>
                        <w:richText/>
                      </w:sdtPr>
                      <w:sdtContent>
                        <w:p>
                          <w:pPr>
                            <w:tabs>
                              <w:tab w:val="left" w:pos="1276"/>
                            </w:tabs>
                            <w:ind w:firstLine="709"/>
                            <w:contextualSpacing/>
                            <w:jc w:val="both"/>
                            <w:rPr>
                              <w:iCs/>
                              <w:szCs w:val="24"/>
                            </w:rPr>
                          </w:pPr>
                          <w:sdt>
                            <w:sdtPr>
                              <w:alias w:val="Numeris"/>
                              <w:tag w:val="nr_295d0e6094c7417f989efba4d291e8dc"/>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sunaudų faktinių kiekių.</w:t>
                          </w:r>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9b25192e4d4bf4b3ecf500fd844956"/>
                    <w:lock w:val="sdtLocked"/>
                    <w:richText/>
                  </w:sdtPr>
                  <w:sdtContent>
                    <w:p>
                      <w:pPr>
                        <w:tabs>
                          <w:tab w:val="left" w:pos="993"/>
                        </w:tabs>
                        <w:ind w:firstLine="709"/>
                        <w:jc w:val="both"/>
                        <w:rPr>
                          <w:szCs w:val="24"/>
                        </w:rPr>
                      </w:pPr>
                      <w:sdt>
                        <w:sdtPr>
                          <w:alias w:val="Numeris"/>
                          <w:tag w:val="nr_6d9b25192e4d4bf4b3ecf500fd844956"/>
                          <w:lock w:val="sdtLocked"/>
                          <w:richText/>
                        </w:sdtPr>
                        <w:sdtContent>
                          <w:r>
                            <w:rPr>
                              <w:szCs w:val="24"/>
                            </w:rPr>
                            <w:t>13</w:t>
                          </w:r>
                        </w:sdtContent>
                      </w:sdt>
                      <w:r>
                        <w:rPr>
                          <w:szCs w:val="24"/>
                        </w:rPr>
                        <w:t>.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Komisijai, viršijančia suma, kuri apskaičiuojama pagal formulę:</w:t>
                      </w:r>
                    </w:p>
                    <w:p>
                      <w:pPr>
                        <w:tabs>
                          <w:tab w:val="left" w:pos="993"/>
                        </w:tabs>
                        <w:ind w:firstLine="709"/>
                        <w:jc w:val="both"/>
                        <w:rPr>
                          <w:szCs w:val="24"/>
                        </w:rPr>
                      </w:pPr>
                    </w:p>
                    <w:p>
                      <w:pPr>
                        <w:tabs>
                          <w:tab w:val="left" w:pos="993"/>
                          <w:tab w:val="left" w:pos="9356"/>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(5)</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 p."/>
                    <w:tag w:val="part_96fffdf6d88b477aad3c98d821f6c775"/>
                    <w:lock w:val="sdtLocked"/>
                    <w:richText/>
                  </w:sdtPr>
                  <w:sdtContent>
                    <w:p>
                      <w:pPr>
                        <w:tabs>
                          <w:tab w:val="left" w:pos="993"/>
                          <w:tab w:val="left" w:pos="9356"/>
                        </w:tabs>
                        <w:ind w:firstLine="709"/>
                        <w:jc w:val="both"/>
                        <w:rPr>
                          <w:szCs w:val="24"/>
                        </w:rPr>
                      </w:pPr>
                      <w:sdt>
                        <w:sdtPr>
                          <w:alias w:val="Numeris"/>
                          <w:tag w:val="nr_96fffdf6d88b477aad3c98d821f6c77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356"/>
                        </w:tabs>
                        <w:jc w:val="both"/>
                        <w:rPr>
                          <w:szCs w:val="24"/>
                        </w:rPr>
                      </w:pPr>
                    </w:p>
                    <w:p>
                      <w:pPr>
                        <w:tabs>
                          <w:tab w:val="left" w:pos="993"/>
                          <w:tab w:val="left" w:pos="9356"/>
                        </w:tabs>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ca845536b4714b4a85789f867893dd70"/>
                        <w:lock w:val="sdtLocked"/>
                        <w:richText/>
                      </w:sdtPr>
                      <w:sdtContent>
                        <w:p>
                          <w:pPr>
                            <w:tabs>
                              <w:tab w:val="left" w:pos="1134"/>
                            </w:tabs>
                            <w:ind w:firstLine="709"/>
                            <w:jc w:val="both"/>
                          </w:pPr>
                          <w:sdt>
                            <w:sdtPr>
                              <w:alias w:val="Numeris"/>
                              <w:tag w:val="nr_ca845536b4714b4a85789f867893dd70"/>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e4fd79bae49f4865b220e51807270429"/>
                    <w:lock w:val="sdtLocked"/>
                    <w:richText/>
                  </w:sdtPr>
                  <w:sdtContent>
                    <w:p>
                      <w:pPr>
                        <w:tabs>
                          <w:tab w:val="left" w:pos="1134"/>
                        </w:tabs>
                        <w:ind w:firstLine="709"/>
                        <w:jc w:val="both"/>
                        <w:rPr>
                          <w:szCs w:val="24"/>
                        </w:rPr>
                      </w:pPr>
                      <w:sdt>
                        <w:sdtPr>
                          <w:alias w:val="Numeris"/>
                          <w:tag w:val="nr_e4fd79bae49f4865b220e51807270429"/>
                          <w:lock w:val="sdtLocked"/>
                          <w:richText/>
                        </w:sdtPr>
                        <w:sdtContent>
                          <w:r>
                            <w:rPr>
                              <w:szCs w:val="24"/>
                            </w:rPr>
                            <w:t>15</w:t>
                          </w:r>
                        </w:sdtContent>
                      </w:sdt>
                      <w:r>
                        <w:rPr>
                          <w:szCs w:val="24"/>
                        </w:rPr>
                        <w:t>. Elektros energijos perdavimo ir skirstymo paslaugų leistina investicijų grąža sumažinama ar padidinama atitinkamai už kiekvieną persiuntimo patikimumo rodiklį:</w:t>
                      </w:r>
                    </w:p>
                    <w:sdt>
                      <w:sdtPr>
                        <w:alias w:val="15.1 p."/>
                        <w:tag w:val="part_e129eda82dbf468f9ecd1c297917608f"/>
                        <w:lock w:val="sdtLocked"/>
                        <w:richText/>
                      </w:sdtPr>
                      <w:sdtContent>
                        <w:p>
                          <w:pPr>
                            <w:tabs>
                              <w:tab w:val="left" w:pos="1134"/>
                            </w:tabs>
                            <w:ind w:firstLine="709"/>
                            <w:jc w:val="both"/>
                            <w:rPr>
                              <w:szCs w:val="24"/>
                            </w:rPr>
                          </w:pPr>
                          <w:sdt>
                            <w:sdtPr>
                              <w:alias w:val="Numeris"/>
                              <w:tag w:val="nr_e129eda82dbf468f9ecd1c297917608f"/>
                              <w:lock w:val="sdtLocked"/>
                              <w:richText/>
                            </w:sdtPr>
                            <w:sdtContent>
                              <w:r>
                                <w:rPr>
                                  <w:szCs w:val="24"/>
                                </w:rPr>
                                <w:t>15.1</w:t>
                              </w:r>
                            </w:sdtContent>
                          </w:sdt>
                          <w:r>
                            <w:rPr>
                              <w:szCs w:val="24"/>
                            </w:rPr>
                            <w:t>. 1 proc., jei praėjusių vienerių metų persiuntimo patikimumo rodiklis, kuriam nustatytas minimalus lygis, pablogėjo ar pagerėjo nuo 5 iki 10 proc., palyginti su minimaliu lygiu;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2 p."/>
                        <w:tag w:val="part_555657d492804326b7222cf1bd7db737"/>
                        <w:lock w:val="sdtLocked"/>
                        <w:richText/>
                      </w:sdtPr>
                      <w:sdtContent>
                        <w:p>
                          <w:pPr>
                            <w:tabs>
                              <w:tab w:val="left" w:pos="709"/>
                            </w:tabs>
                            <w:ind w:firstLine="709"/>
                            <w:jc w:val="both"/>
                            <w:rPr>
                              <w:szCs w:val="24"/>
                            </w:rPr>
                          </w:pPr>
                          <w:sdt>
                            <w:sdtPr>
                              <w:alias w:val="Numeris"/>
                              <w:tag w:val="nr_555657d492804326b7222cf1bd7db737"/>
                              <w:lock w:val="sdtLocked"/>
                              <w:richText/>
                            </w:sdtPr>
                            <w:sdtContent>
                              <w:r>
                                <w:rPr>
                                  <w:szCs w:val="24"/>
                                </w:rPr>
                                <w:t>15.2</w:t>
                              </w:r>
                            </w:sdtContent>
                          </w:sdt>
                          <w:r>
                            <w:rPr>
                              <w:szCs w:val="24"/>
                            </w:rPr>
                            <w:t>. 2 proc., jei praėjusių vienerių metų persiuntimo patikimumo rodiklis, kuriam nustatytas minimalus lygis, pablogėjo ar pagerėjo daugiau nei 10 proc., palyginti su minimaliu lygiu.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6 p."/>
                    <w:tag w:val="part_f2dc6bc52c10474794bcb90aa9749120"/>
                    <w:lock w:val="sdtLocked"/>
                    <w:richText/>
                  </w:sdtPr>
                  <w:sdtContent>
                    <w:p>
                      <w:pPr>
                        <w:tabs>
                          <w:tab w:val="left" w:pos="1080"/>
                          <w:tab w:val="left" w:pos="1260"/>
                        </w:tabs>
                        <w:ind w:firstLine="709"/>
                        <w:jc w:val="both"/>
                        <w:rPr>
                          <w:szCs w:val="24"/>
                        </w:rPr>
                      </w:pPr>
                      <w:sdt>
                        <w:sdtPr>
                          <w:alias w:val="Numeris"/>
                          <w:tag w:val="nr_f2dc6bc52c10474794bcb90aa9749120"/>
                          <w:lock w:val="sdtLocked"/>
                          <w:richText/>
                        </w:sdtPr>
                        <w:sdtContent>
                          <w:r>
                            <w:rPr>
                              <w:szCs w:val="24"/>
                            </w:rPr>
                            <w:t>16</w:t>
                          </w:r>
                        </w:sdtContent>
                      </w:sdt>
                      <w:r>
                        <w:rPr>
                          <w:szCs w:val="24"/>
                        </w:rPr>
                        <w:t>.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viso reguliavimo periodo, kuriuo mažinamas reguliuojamos veiklos leistinas pajamų lygis ateinantiems metams, įvertinama:</w:t>
                      </w:r>
                    </w:p>
                    <w:sdt>
                      <w:sdtPr>
                        <w:alias w:val="16.1 p."/>
                        <w:tag w:val="part_ad5fbe8273a642fdb9d873b7760d4f28"/>
                        <w:lock w:val="sdtLocked"/>
                        <w:richText/>
                      </w:sdtPr>
                      <w:sdtContent>
                        <w:p>
                          <w:pPr>
                            <w:tabs>
                              <w:tab w:val="left" w:pos="0"/>
                              <w:tab w:val="left" w:pos="1276"/>
                              <w:tab w:val="left" w:pos="2268"/>
                            </w:tabs>
                            <w:ind w:firstLine="709"/>
                            <w:jc w:val="both"/>
                            <w:rPr>
                              <w:szCs w:val="24"/>
                            </w:rPr>
                          </w:pPr>
                          <w:sdt>
                            <w:sdtPr>
                              <w:alias w:val="Numeris"/>
                              <w:tag w:val="nr_ad5fbe8273a642fdb9d873b7760d4f28"/>
                              <w:lock w:val="sdtLocked"/>
                              <w:richText/>
                            </w:sdtPr>
                            <w:sdtContent>
                              <w:r>
                                <w:rPr>
                                  <w:szCs w:val="24"/>
                                </w:rPr>
                                <w:t>16.1</w:t>
                              </w:r>
                            </w:sdtContent>
                          </w:sdt>
                          <w:r>
                            <w:rPr>
                              <w:szCs w:val="24"/>
                            </w:rPr>
                            <w:t>. Įmonės uždirbta faktinė grąža iš reguliuojamos veiklos;</w:t>
                          </w:r>
                        </w:p>
                      </w:sdtContent>
                    </w:sdt>
                    <w:sdt>
                      <w:sdtPr>
                        <w:alias w:val="16.2 p."/>
                        <w:tag w:val="part_fc23133d39634d93b870027c2c715724"/>
                        <w:lock w:val="sdtLocked"/>
                        <w:richText/>
                      </w:sdtPr>
                      <w:sdtContent>
                        <w:p>
                          <w:pPr>
                            <w:tabs>
                              <w:tab w:val="left" w:pos="0"/>
                              <w:tab w:val="left" w:pos="1276"/>
                              <w:tab w:val="left" w:pos="2268"/>
                            </w:tabs>
                            <w:ind w:firstLine="709"/>
                            <w:jc w:val="both"/>
                            <w:rPr>
                              <w:szCs w:val="24"/>
                            </w:rPr>
                          </w:pPr>
                          <w:sdt>
                            <w:sdtPr>
                              <w:alias w:val="Numeris"/>
                              <w:tag w:val="nr_fc23133d39634d93b870027c2c715724"/>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
                        <w:tag w:val="part_f941f63fc069460eaa9a50c96b031606"/>
                        <w:lock w:val="sdtLocked"/>
                        <w:richText/>
                      </w:sdtPr>
                      <w:sdtContent>
                        <w:p>
                          <w:pPr>
                            <w:tabs>
                              <w:tab w:val="left" w:pos="0"/>
                              <w:tab w:val="left" w:pos="1276"/>
                              <w:tab w:val="left" w:pos="2268"/>
                            </w:tabs>
                            <w:ind w:firstLine="709"/>
                            <w:jc w:val="both"/>
                            <w:rPr>
                              <w:szCs w:val="24"/>
                            </w:rPr>
                          </w:pPr>
                          <w:sdt>
                            <w:sdtPr>
                              <w:alias w:val="Numeris"/>
                              <w:tag w:val="nr_f941f63fc069460eaa9a50c96b031606"/>
                              <w:lock w:val="sdtLocked"/>
                              <w:richText/>
                            </w:sdtPr>
                            <w:sdtContent>
                              <w:r>
                                <w:rPr>
                                  <w:szCs w:val="24"/>
                                </w:rPr>
                                <w:t>16.3</w:t>
                              </w:r>
                            </w:sdtContent>
                          </w:sdt>
                          <w:r>
                            <w:rPr>
                              <w:szCs w:val="24"/>
                            </w:rPr>
                            <w:t>. kaštų, kuriems Komisija nustatė atitinkamus normatyvus Metodikos 7–10 punktuose nurodytoms sąnaudų grupėms, viršijimo suma, kuri apskaičiuojama Metodikos nustatyta tvarka;</w:t>
                          </w:r>
                        </w:p>
                      </w:sdtContent>
                    </w:sdt>
                    <w:sdt>
                      <w:sdtPr>
                        <w:alias w:val="16.4 p."/>
                        <w:tag w:val="part_c7e0495cad04494a853116a80c58616a"/>
                        <w:lock w:val="sdtLocked"/>
                        <w:richText/>
                      </w:sdtPr>
                      <w:sdtContent>
                        <w:p>
                          <w:pPr>
                            <w:tabs>
                              <w:tab w:val="left" w:pos="0"/>
                              <w:tab w:val="left" w:pos="1276"/>
                              <w:tab w:val="left" w:pos="2268"/>
                            </w:tabs>
                            <w:ind w:firstLine="709"/>
                            <w:jc w:val="both"/>
                            <w:rPr>
                              <w:szCs w:val="24"/>
                            </w:rPr>
                          </w:pPr>
                          <w:sdt>
                            <w:sdtPr>
                              <w:alias w:val="Numeris"/>
                              <w:tag w:val="nr_c7e0495cad04494a853116a80c58616a"/>
                              <w:lock w:val="sdtLocked"/>
                              <w:richText/>
                            </w:sdtPr>
                            <w:sdtContent>
                              <w:r>
                                <w:rPr>
                                  <w:szCs w:val="24"/>
                                </w:rPr>
                                <w:t>16.4</w:t>
                              </w:r>
                            </w:sdtContent>
                          </w:sdt>
                          <w:r>
                            <w:rPr>
                              <w:szCs w:val="24"/>
                            </w:rPr>
                            <w:t>. Įmonėms nukrypus nuo Komisijos nustatytų rodiklių, priežastys, lemiančios jų veiklos efektyvumą;</w:t>
                          </w:r>
                        </w:p>
                      </w:sdtContent>
                    </w:sdt>
                    <w:sdt>
                      <w:sdtPr>
                        <w:alias w:val="16.5 p."/>
                        <w:tag w:val="part_a2fcef20d73647f09dcdec99a78535a6"/>
                        <w:lock w:val="sdtLocked"/>
                        <w:richText/>
                      </w:sdtPr>
                      <w:sdtContent>
                        <w:p>
                          <w:pPr>
                            <w:tabs>
                              <w:tab w:val="left" w:pos="0"/>
                              <w:tab w:val="left" w:pos="1276"/>
                              <w:tab w:val="left" w:pos="2268"/>
                            </w:tabs>
                            <w:ind w:firstLine="709"/>
                            <w:jc w:val="both"/>
                            <w:rPr>
                              <w:szCs w:val="24"/>
                            </w:rPr>
                          </w:pPr>
                          <w:sdt>
                            <w:sdtPr>
                              <w:alias w:val="Numeris"/>
                              <w:tag w:val="nr_a2fcef20d73647f09dcdec99a78535a6"/>
                              <w:lock w:val="sdtLocked"/>
                              <w:richText/>
                            </w:sdtPr>
                            <w:sdtContent>
                              <w:r>
                                <w:rPr>
                                  <w:szCs w:val="24"/>
                                </w:rPr>
                                <w:t>16.5</w:t>
                              </w:r>
                            </w:sdtContent>
                          </w:sdt>
                          <w:r>
                            <w:rPr>
                              <w:szCs w:val="24"/>
                            </w:rPr>
                            <w:t xml:space="preserve">. </w:t>
                          </w:r>
                          <w:r>
                            <w:rPr>
                              <w:i/>
                              <w:szCs w:val="24"/>
                            </w:rPr>
                            <w:t>t-2</w:t>
                          </w:r>
                          <w:r>
                            <w:rPr>
                              <w:szCs w:val="24"/>
                            </w:rPr>
                            <w:t xml:space="preserve">, </w:t>
                          </w:r>
                          <w:r>
                            <w:rPr>
                              <w:i/>
                              <w:szCs w:val="24"/>
                            </w:rPr>
                            <w:t xml:space="preserve">t-3 </w:t>
                          </w:r>
                          <w:r>
                            <w:rPr>
                              <w:szCs w:val="24"/>
                            </w:rPr>
                            <w:t>metams planuotų sumų (nustatytų Komisijos sprendimu), mažinančių tų metų pajamų lygį, ir faktiškai gautų šių pajamų skirtumas.</w:t>
                          </w:r>
                        </w:p>
                      </w:sdtContent>
                    </w:sdt>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9330226942d8402c887ef17805e0ab06"/>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9330226942d8402c887ef17805e0ab06"/>
                              <w:lock w:val="sdtLocked"/>
                              <w:richText/>
                            </w:sdtPr>
                            <w:sdtContent>
                              <w:r>
                                <w:rPr>
                                  <w:szCs w:val="24"/>
                                </w:rPr>
                                <w:t>18.4</w:t>
                              </w:r>
                            </w:sdtContent>
                          </w:sdt>
                          <w:r>
                            <w:rPr>
                              <w:szCs w:val="24"/>
                            </w:rPr>
                            <w:t>. kitų Įmonių, galinčių daryti įtaką prognozuojamam kiekiui, plėtrą ir teisės aktuose nustatytus įpareigojimus.</w:t>
                          </w:r>
                        </w:p>
                        <w:p>
                          <w:pPr>
                            <w:tabs>
                              <w:tab w:val="left" w:pos="0"/>
                              <w:tab w:val="left" w:pos="284"/>
                              <w:tab w:val="left" w:pos="851"/>
                              <w:tab w:val="left" w:pos="1276"/>
                              <w:tab w:val="left" w:pos="1843"/>
                              <w:tab w:val="left" w:pos="2268"/>
                            </w:tabs>
                            <w:ind w:firstLine="709"/>
                            <w:jc w:val="both"/>
                            <w:rPr>
                              <w:szCs w:val="24"/>
                            </w:rPr>
                          </w:pPr>
                        </w:p>
                        <w:p>
                          <w:pPr>
                            <w:tabs>
                              <w:tab w:val="left" w:pos="0"/>
                              <w:tab w:val="left" w:pos="284"/>
                              <w:tab w:val="left" w:pos="851"/>
                              <w:tab w:val="left" w:pos="1276"/>
                              <w:tab w:val="left" w:pos="1843"/>
                              <w:tab w:val="left" w:pos="2268"/>
                            </w:tabs>
                            <w:ind w:firstLine="709"/>
                            <w:jc w:val="both"/>
                            <w:rPr>
                              <w:szCs w:val="24"/>
                            </w:rPr>
                          </w:pPr>
                        </w:p>
                      </w:sdtContent>
                    </w:sdt>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5afcd837a8524ceeaa28ac821b3fe4a7"/>
                    <w:lock w:val="sdtLocked"/>
                    <w:richText/>
                  </w:sdtPr>
                  <w:sdtContent>
                    <w:p>
                      <w:pPr>
                        <w:widowControl w:val="0"/>
                        <w:tabs>
                          <w:tab w:val="left" w:pos="0"/>
                          <w:tab w:val="left" w:pos="1134"/>
                        </w:tabs>
                        <w:ind w:firstLine="709"/>
                        <w:jc w:val="both"/>
                        <w:rPr>
                          <w:szCs w:val="24"/>
                        </w:rPr>
                      </w:pPr>
                      <w:sdt>
                        <w:sdtPr>
                          <w:alias w:val="Numeris"/>
                          <w:tag w:val="nr_5afcd837a8524ceeaa28ac821b3fe4a7"/>
                          <w:lock w:val="sdtLocked"/>
                          <w:richText/>
                        </w:sdtPr>
                        <w:sdtContent>
                          <w:r>
                            <w:rPr>
                              <w:szCs w:val="24"/>
                            </w:rPr>
                            <w:t>19</w:t>
                          </w:r>
                        </w:sdtContent>
                      </w:sdt>
                      <w:r>
                        <w:rPr>
                          <w:szCs w:val="24"/>
                        </w:rPr>
                        <w:t>. Įmonių reguliuojamų paslaugų kainų viršutinės ribos nustatomos 5 metų reguliavimo periodui.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191757c9b7b0441080f1c1dfbf1371a5"/>
                            <w:lock w:val="sdtLocked"/>
                            <w:richText/>
                          </w:sdtPr>
                          <w:sdtContent>
                            <w:p>
                              <w:pPr>
                                <w:tabs>
                                  <w:tab w:val="left" w:pos="1134"/>
                                </w:tabs>
                                <w:ind w:firstLine="709"/>
                                <w:jc w:val="both"/>
                                <w:rPr>
                                  <w:szCs w:val="24"/>
                                </w:rPr>
                              </w:pPr>
                              <w:sdt>
                                <w:sdtPr>
                                  <w:alias w:val="Numeris"/>
                                  <w:tag w:val="nr_191757c9b7b0441080f1c1dfbf1371a5"/>
                                  <w:lock w:val="sdtLocked"/>
                                  <w:richText/>
                                </w:sdt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(7)</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2.2 p."/>
                            <w:tag w:val="part_236aa593f70a4b2fb7ff1d11ea42c81c"/>
                            <w:lock w:val="sdtLocked"/>
                            <w:richText/>
                          </w:sdtPr>
                          <w:sdtContent>
                            <w:p>
                              <w:pPr>
                                <w:tabs>
                                  <w:tab w:val="left" w:pos="1276"/>
                                </w:tabs>
                                <w:ind w:firstLine="709"/>
                                <w:jc w:val="both"/>
                                <w:rPr>
                                  <w:szCs w:val="24"/>
                                </w:rPr>
                              </w:pPr>
                              <w:sdt>
                                <w:sdtPr>
                                  <w:alias w:val="Numeris"/>
                                  <w:tag w:val="nr_236aa593f70a4b2fb7ff1d11ea42c81c"/>
                                  <w:lock w:val="sdtLocked"/>
                                  <w:richText/>
                                </w:sdtPr>
                                <w:sdtContent>
                                  <w:r>
                                    <w:rPr>
                                      <w:szCs w:val="24"/>
                                    </w:rPr>
                                    <w:t>20.2.2</w:t>
                                  </w:r>
                                </w:sdtContent>
                              </w:sdt>
                              <w:r>
                                <w:rPr>
                                  <w:szCs w:val="24"/>
                                </w:rPr>
                                <w:t>. visuomeninio tiekimo paslaugos teikimo atveju reguliuojamo turto bazę sudaro ilgalaikio turto, apskaičiuoto Metodikos 20.2.1 punkte nustatyta tvarka, ir apyvartinio kapitalo elektros energijai įsigyti visuomeninio tiekimo poreikio tenkinimui vidutinė metinė apimties suma, atsižvelgiant į visuomeninio ir garantinio tiekimo pinigų srautus, t. y. vertinant mokėtinas ir gautinas sumas per ataskaitinį mėnesio laikotarpį.</w:t>
                              </w:r>
                              <w:r>
                                <w:t xml:space="preserve">     </w:t>
                              </w:r>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be8ce2180e29498abb30fdf1b54031e4"/>
                                <w:lock w:val="sdtLocked"/>
                                <w:richText/>
                              </w:sdtPr>
                              <w:sdtContent>
                                <w:p>
                                  <w:pPr>
                                    <w:tabs>
                                      <w:tab w:val="left" w:pos="1560"/>
                                    </w:tabs>
                                    <w:ind w:firstLine="709"/>
                                    <w:jc w:val="both"/>
                                    <w:rPr>
                                      <w:szCs w:val="24"/>
                                    </w:rPr>
                                  </w:pPr>
                                  <w:sdt>
                                    <w:sdtPr>
                                      <w:alias w:val="Numeris"/>
                                      <w:tag w:val="nr_be8ce2180e29498abb30fdf1b54031e4"/>
                                      <w:lock w:val="sdtLocked"/>
                                      <w:richText/>
                                    </w:sdtPr>
                                    <w:sdtContent>
                                      <w:r>
                                        <w:rPr>
                                          <w:szCs w:val="24"/>
                                        </w:rPr>
                                        <w:t>20.3.2.1</w:t>
                                      </w:r>
                                    </w:sdtContent>
                                  </w:sdt>
                                  <w:r>
                                    <w:rPr>
                                      <w:szCs w:val="24"/>
                                    </w:rPr>
                                    <w:t>. investicijų grąžos norma nustatoma vadovaujantis Investicijų grąžos normos nustatymo metodika.</w:t>
                                  </w:r>
                                </w:p>
                                <w:sdt>
                                  <w:sdtPr>
                                    <w:alias w:val="20.3.2.1.1 p."/>
                                    <w:tag w:val="part_e6f972d25a3b4b43bad4be8fe764a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1.2 p."/>
                                    <w:tag w:val="part_da27cb6070da4322b7230b4b7840cf06"/>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d85ab4bbe5934fde8c194df3500899de"/>
                            <w:lock w:val="sdtLocked"/>
                            <w:richText/>
                          </w:sdtPr>
                          <w:sdtContent>
                            <w:p>
                              <w:pPr>
                                <w:tabs>
                                  <w:tab w:val="left" w:pos="993"/>
                                  <w:tab w:val="left" w:pos="1134"/>
                                </w:tabs>
                                <w:ind w:firstLine="709"/>
                                <w:jc w:val="both"/>
                                <w:rPr>
                                  <w:szCs w:val="24"/>
                                </w:rPr>
                              </w:pPr>
                              <w:sdt>
                                <w:sdtPr>
                                  <w:alias w:val="Numeris"/>
                                  <w:tag w:val="nr_d85ab4bbe5934fde8c194df3500899de"/>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3e4df962fbc6438481301edd67c83165"/>
                            <w:lock w:val="sdtLocked"/>
                            <w:richText/>
                          </w:sdtPr>
                          <w:sdtContent>
                            <w:p>
                              <w:pPr>
                                <w:tabs>
                                  <w:tab w:val="left" w:pos="1134"/>
                                </w:tabs>
                                <w:ind w:firstLine="709"/>
                                <w:jc w:val="both"/>
                                <w:rPr>
                                  <w:szCs w:val="24"/>
                                </w:rPr>
                              </w:pPr>
                              <w:sdt>
                                <w:sdtPr>
                                  <w:alias w:val="Numeris"/>
                                  <w:tag w:val="nr_3e4df962fbc6438481301edd67c83165"/>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f8c5c92639e04387ace3a83df900cd5f"/>
                    <w:lock w:val="sdtLocked"/>
                    <w:richText/>
                  </w:sdtPr>
                  <w:sdtContent>
                    <w:p>
                      <w:pPr>
                        <w:tabs>
                          <w:tab w:val="left" w:pos="1276"/>
                        </w:tabs>
                        <w:ind w:firstLine="709"/>
                        <w:jc w:val="both"/>
                        <w:rPr>
                          <w:szCs w:val="24"/>
                        </w:rPr>
                      </w:pPr>
                      <w:sdt>
                        <w:sdtPr>
                          <w:alias w:val="Numeris"/>
                          <w:tag w:val="nr_f8c5c92639e04387ace3a83df900cd5f"/>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pasibaigus reguliavimo periodui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Komisijai, viršijančia suma,  apskaičiuojama pagal formulę:</w:t>
                      </w:r>
                    </w:p>
                    <w:p>
                      <w:pPr>
                        <w:tabs>
                          <w:tab w:val="left" w:pos="993"/>
                        </w:tabs>
                        <w:ind w:firstLine="709"/>
                        <w:jc w:val="both"/>
                        <w:rPr>
                          <w:szCs w:val="24"/>
                        </w:rPr>
                      </w:pPr>
                    </w:p>
                    <w:p>
                      <w:pPr>
                        <w:tabs>
                          <w:tab w:val="left" w:pos="993"/>
                          <w:tab w:val="left" w:pos="9214"/>
                        </w:tabs>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 p."/>
                    <w:tag w:val="part_b667d58df9c441058ab2270a0def4231"/>
                    <w:lock w:val="sdtLocked"/>
                    <w:richText/>
                  </w:sdtPr>
                  <w:sdtContent>
                    <w:p>
                      <w:pPr>
                        <w:tabs>
                          <w:tab w:val="left" w:pos="993"/>
                          <w:tab w:val="left" w:pos="9214"/>
                        </w:tabs>
                        <w:ind w:firstLine="709"/>
                        <w:jc w:val="both"/>
                        <w:rPr>
                          <w:szCs w:val="24"/>
                        </w:rPr>
                      </w:pPr>
                      <w:sdt>
                        <w:sdtPr>
                          <w:alias w:val="Numeris"/>
                          <w:tag w:val="nr_b667d58df9c441058ab2270a0def4231"/>
                          <w:lock w:val="sdtLocked"/>
                          <w:richText/>
                        </w:sdtPr>
                        <w:sdtContent>
                          <w:r>
                            <w:rPr>
                              <w:szCs w:val="24"/>
                            </w:rPr>
                            <w:t>27</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pasibaigus reguliavimo periodui investicijų grąža, įvertinus taikytinų koregavimo koeficientų įtaką viršija Komisijos nustatytą atitinkamos veiklos investicijų grąžą šios veiklos atitinkamų metų leistina investicijų grąža didinama 50 proc. investicijų grąžos ribą dėl veiklos efektyvumo, kurį Įmonė įrodė Komisijai,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jc w:val="both"/>
                        <w:rPr>
                          <w:i/>
                          <w:iCs/>
                          <w:szCs w:val="24"/>
                        </w:rPr>
                      </w:pPr>
                      <w:r>
                        <w:rPr>
                          <w:i/>
                          <w:iCs/>
                          <w:szCs w:val="24"/>
                        </w:rPr>
                        <w:t>čia:</w:t>
                      </w:r>
                    </w:p>
                    <w:p>
                      <w:pPr>
                        <w:tabs>
                          <w:tab w:val="left" w:pos="993"/>
                        </w:tabs>
                        <w:jc w:val="both"/>
                        <w:rPr>
                          <w:szCs w:val="24"/>
                        </w:rPr>
                      </w:pPr>
                      <w:r>
                        <w:rPr>
                          <w:szCs w:val="24"/>
                        </w:rPr>
                        <w:t>G</w:t>
                      </w:r>
                      <w:r>
                        <w:rPr>
                          <w:szCs w:val="24"/>
                          <w:vertAlign w:val="subscript"/>
                        </w:rPr>
                        <w:t xml:space="preserve">2,i </w:t>
                      </w:r>
                      <w:r>
                        <w:rPr>
                          <w:szCs w:val="24"/>
                        </w:rPr>
                        <w:t xml:space="preserve">– suma, kuria didinama leistina investicijų grąža  i-tajai paslaugai, EUR;</w:t>
                      </w:r>
                    </w:p>
                    <w:p>
                      <w:pPr>
                        <w:tabs>
                          <w:tab w:val="left" w:pos="993"/>
                        </w:tabs>
                        <w:jc w:val="both"/>
                        <w:rPr>
                          <w:szCs w:val="24"/>
                        </w:rPr>
                      </w:pPr>
                      <w:r>
                        <w:rPr>
                          <w:szCs w:val="24"/>
                        </w:rPr>
                        <w:t>OPEX</w:t>
                      </w:r>
                      <w:r>
                        <w:rPr>
                          <w:szCs w:val="24"/>
                          <w:vertAlign w:val="subscript"/>
                        </w:rPr>
                        <w:t xml:space="preserve">nustatytas,i </w:t>
                      </w:r>
                      <w:r>
                        <w:rPr>
                          <w:szCs w:val="24"/>
                        </w:rPr>
                        <w:t>– nustatyta OPEX apimtis per pirmus dvejus reguliavimo periodo metus ir (arba) per visą reguliavimo periodą, priskirtina i-tajai paslaugai, EUR;</w:t>
                      </w:r>
                    </w:p>
                    <w:p>
                      <w:pPr>
                        <w:tabs>
                          <w:tab w:val="left" w:pos="993"/>
                        </w:tabs>
                        <w:jc w:val="both"/>
                        <w:rPr>
                          <w:szCs w:val="24"/>
                        </w:rPr>
                      </w:pPr>
                      <w:r>
                        <w:rPr>
                          <w:szCs w:val="24"/>
                        </w:rPr>
                        <w:t>OPEX</w:t>
                      </w:r>
                      <w:r>
                        <w:rPr>
                          <w:szCs w:val="24"/>
                          <w:vertAlign w:val="subscript"/>
                        </w:rPr>
                        <w:t xml:space="preserve">faktinis,i </w:t>
                      </w:r>
                      <w:r>
                        <w:rPr>
                          <w:szCs w:val="24"/>
                        </w:rPr>
                        <w:t>– faktinė OPEX apimtis per pirmus dvejus reguliavimo periodo metus ir (arba) per visą reguliavimo periodą, priskirtina i-tajai paslaugai, EUR.</w:t>
                      </w:r>
                    </w:p>
                    <w:p>
                      <w:pPr>
                        <w:tabs>
                          <w:tab w:val="left" w:pos="993"/>
                        </w:tabs>
                        <w:jc w:val="both"/>
                      </w:pPr>
                      <w:r>
                        <w:rPr>
                          <w:szCs w:val="24"/>
                        </w:rPr>
                        <w:t>Kitiems metams ir (arba) nustatant kainų viršutines ribas kito reguliavimo periodo antriesiems metams,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3c5fda610e39486b9265b780f4b6a676"/>
                        <w:lock w:val="sdtLocked"/>
                        <w:richText/>
                      </w:sdtPr>
                      <w:sdtContent>
                        <w:p>
                          <w:pPr>
                            <w:tabs>
                              <w:tab w:val="left" w:pos="1134"/>
                            </w:tabs>
                            <w:ind w:firstLine="709"/>
                            <w:jc w:val="both"/>
                            <w:rPr>
                              <w:szCs w:val="24"/>
                            </w:rPr>
                          </w:pPr>
                          <w:sdt>
                            <w:sdtPr>
                              <w:alias w:val="Numeris"/>
                              <w:tag w:val="nr_3c5fda610e39486b9265b780f4b6a676"/>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ae740cc285ea400fa3112028adb7f68c"/>
                    <w:lock w:val="sdtLocked"/>
                    <w:richText/>
                  </w:sdtPr>
                  <w:sdtContent>
                    <w:p>
                      <w:pPr>
                        <w:tabs>
                          <w:tab w:val="left" w:pos="1134"/>
                        </w:tabs>
                        <w:ind w:firstLine="709"/>
                        <w:jc w:val="both"/>
                        <w:rPr>
                          <w:szCs w:val="24"/>
                        </w:rPr>
                      </w:pPr>
                      <w:sdt>
                        <w:sdtPr>
                          <w:alias w:val="Numeris"/>
                          <w:tag w:val="nr_ae740cc285ea400fa3112028adb7f68c"/>
                          <w:lock w:val="sdtLocked"/>
                          <w:richText/>
                        </w:sdtPr>
                        <w:sdtContent>
                          <w:r>
                            <w:rPr>
                              <w:szCs w:val="24"/>
                            </w:rPr>
                            <w:t>28</w:t>
                          </w:r>
                        </w:sdtContent>
                      </w:sdt>
                      <w:r>
                        <w:rPr>
                          <w:szCs w:val="24"/>
                        </w:rPr>
                        <w:t xml:space="preserve">. Elektros energijos  skirstymo paslaugų leistina investicijų grąža sumažinama ar padidinama atitinkamai už kiekvieną persiuntimo patikimumo rodiklį:</w:t>
                      </w:r>
                    </w:p>
                    <w:sdt>
                      <w:sdtPr>
                        <w:alias w:val="28.1 p."/>
                        <w:tag w:val="part_58946922a4404fd886cfaebc7c4f16f7"/>
                        <w:lock w:val="sdtLocked"/>
                        <w:richText/>
                      </w:sdtPr>
                      <w:sdtContent>
                        <w:p>
                          <w:pPr>
                            <w:tabs>
                              <w:tab w:val="left" w:pos="1134"/>
                            </w:tabs>
                            <w:ind w:firstLine="709"/>
                            <w:jc w:val="both"/>
                            <w:rPr>
                              <w:szCs w:val="24"/>
                            </w:rPr>
                          </w:pPr>
                          <w:sdt>
                            <w:sdtPr>
                              <w:alias w:val="Numeris"/>
                              <w:tag w:val="nr_58946922a4404fd886cfaebc7c4f16f7"/>
                              <w:lock w:val="sdtLocked"/>
                              <w:richText/>
                            </w:sdtPr>
                            <w:sdtContent>
                              <w:r>
                                <w:rPr>
                                  <w:szCs w:val="24"/>
                                </w:rPr>
                                <w:t>28.1</w:t>
                              </w:r>
                            </w:sdtContent>
                          </w:sdt>
                          <w:r>
                            <w:rPr>
                              <w:szCs w:val="24"/>
                            </w:rPr>
                            <w:t>. 1 proc., jei praėjusių vienerių metų persiuntimo patikimumo rodiklis, kuriam nustatytas minimalus lygis, pablogėjo ar pagerėjo nuo 5 iki 10 proc., palyginti su minimaliu lygiu;</w:t>
                          </w:r>
                        </w:p>
                      </w:sdtContent>
                    </w:sdt>
                    <w:sdt>
                      <w:sdtPr>
                        <w:alias w:val="28.2 p."/>
                        <w:tag w:val="part_85c882cd38e24941b181e884368d4995"/>
                        <w:lock w:val="sdtLocked"/>
                        <w:richText/>
                      </w:sdtPr>
                      <w:sdtContent>
                        <w:p>
                          <w:pPr>
                            <w:tabs>
                              <w:tab w:val="left" w:pos="1134"/>
                            </w:tabs>
                            <w:ind w:firstLine="709"/>
                            <w:jc w:val="both"/>
                            <w:rPr>
                              <w:szCs w:val="24"/>
                            </w:rPr>
                          </w:pPr>
                          <w:sdt>
                            <w:sdtPr>
                              <w:alias w:val="Numeris"/>
                              <w:tag w:val="nr_85c882cd38e24941b181e884368d4995"/>
                              <w:lock w:val="sdtLocked"/>
                              <w:richText/>
                            </w:sdtPr>
                            <w:sdtContent>
                              <w:r>
                                <w:rPr>
                                  <w:szCs w:val="24"/>
                                </w:rPr>
                                <w:t>28.2</w:t>
                              </w:r>
                            </w:sdtContent>
                          </w:sdt>
                          <w:r>
                            <w:rPr>
                              <w:szCs w:val="24"/>
                            </w:rPr>
                            <w:t>. 2 proc., jei praėjusių vienerių metų persiuntimo patikimumo rodiklis, kuriam nustatytas minimalus lygis, pablogėjo ar pagerėjo daugiau nei 10 proc., palyginti su minimaliu lygiu.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9 p."/>
                    <w:tag w:val="part_501616ec8ff648b0a6b3fd3abebe7ed1"/>
                    <w:lock w:val="sdtLocked"/>
                    <w:richText/>
                  </w:sdtPr>
                  <w:sdtContent>
                    <w:p>
                      <w:pPr>
                        <w:tabs>
                          <w:tab w:val="left" w:pos="1134"/>
                        </w:tabs>
                        <w:ind w:firstLine="709"/>
                        <w:jc w:val="both"/>
                        <w:rPr>
                          <w:szCs w:val="24"/>
                        </w:rPr>
                      </w:pPr>
                      <w:sdt>
                        <w:sdtPr>
                          <w:alias w:val="Numeris"/>
                          <w:tag w:val="nr_501616ec8ff648b0a6b3fd3abebe7ed1"/>
                          <w:lock w:val="sdtLocked"/>
                          <w:richText/>
                        </w:sdtPr>
                        <w:sdtContent>
                          <w:r>
                            <w:rPr>
                              <w:szCs w:val="24"/>
                            </w:rPr>
                            <w:t>29</w:t>
                          </w:r>
                        </w:sdtContent>
                      </w:sdt>
                      <w:r>
                        <w:rPr>
                          <w:szCs w:val="24"/>
                        </w:rPr>
                        <w:t>. Apskaičiuojant protingumo kriterijų atitinkančios investicijų grąžos viršijimo dydį, palyginti su nustatyta investicijų grąža, įvertinus taikytinų koregavimo koeficientų įtaką, skaičiuojamą po reguliuojamos veiklos pirmų dviejų reguliavimo periodo metų, o vėliau viso reguliavimo periodo, kuriuo mažinamas reguliuojamos veiklos leistinas pajamų lygis ateinantiems metams, įvertinama:</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f6831ba918b466ab8d9e0a12d4c680b"/>
                        <w:lock w:val="sdtLocked"/>
                        <w:richText/>
                      </w:sdtPr>
                      <w:sdtContent>
                        <w:p>
                          <w:pPr>
                            <w:tabs>
                              <w:tab w:val="left" w:pos="1260"/>
                            </w:tabs>
                            <w:ind w:firstLine="709"/>
                            <w:jc w:val="both"/>
                            <w:rPr>
                              <w:szCs w:val="24"/>
                            </w:rPr>
                          </w:pPr>
                          <w:sdt>
                            <w:sdtPr>
                              <w:alias w:val="Numeris"/>
                              <w:tag w:val="nr_af6831ba918b466ab8d9e0a12d4c680b"/>
                              <w:lock w:val="sdtLocked"/>
                              <w:richText/>
                            </w:sdtPr>
                            <w:sdtContent>
                              <w:r>
                                <w:rPr>
                                  <w:szCs w:val="24"/>
                                </w:rPr>
                                <w:t>29.5</w:t>
                              </w:r>
                            </w:sdtContent>
                          </w:sdt>
                          <w:r>
                            <w:rPr>
                              <w:szCs w:val="24"/>
                            </w:rPr>
                            <w:t xml:space="preserve">. </w:t>
                          </w:r>
                          <w:r>
                            <w:rPr>
                              <w:i/>
                              <w:szCs w:val="24"/>
                            </w:rPr>
                            <w:t>t-2</w:t>
                          </w:r>
                          <w:r>
                            <w:rPr>
                              <w:szCs w:val="24"/>
                            </w:rPr>
                            <w:t xml:space="preserve">, </w:t>
                          </w:r>
                          <w:r>
                            <w:rPr>
                              <w:i/>
                              <w:szCs w:val="24"/>
                            </w:rPr>
                            <w:t>t-3</w:t>
                          </w:r>
                          <w:r>
                            <w:rPr>
                              <w:szCs w:val="24"/>
                            </w:rPr>
                            <w:t xml:space="preserve"> metams planuotų sumų (nustatytu Komisijos sprendimu), mažinančių tų metų pajamų lygį, ir faktiškai gautų pajamų skirtumas.</w:t>
                          </w:r>
                        </w:p>
                      </w:sdtContent>
                    </w:sdt>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f431f5b7148342059eb9a1cc0f2c8303"/>
                        <w:lock w:val="sdtLocked"/>
                        <w:richText/>
                      </w:sdtPr>
                      <w:sdtContent>
                        <w:p>
                          <w:pPr>
                            <w:tabs>
                              <w:tab w:val="left" w:pos="1276"/>
                            </w:tabs>
                            <w:ind w:firstLine="709"/>
                            <w:jc w:val="both"/>
                            <w:rPr>
                              <w:szCs w:val="24"/>
                            </w:rPr>
                          </w:pPr>
                          <w:sdt>
                            <w:sdtPr>
                              <w:alias w:val="Numeris"/>
                              <w:tag w:val="nr_f431f5b7148342059eb9a1cc0f2c8303"/>
                              <w:lock w:val="sdtLocked"/>
                              <w:richText/>
                            </w:sdtPr>
                            <w:sdtContent>
                              <w:r>
                                <w:rPr>
                                  <w:szCs w:val="24"/>
                                </w:rPr>
                                <w:t>31.4</w:t>
                              </w:r>
                            </w:sdtContent>
                          </w:sdt>
                          <w:r>
                            <w:rPr>
                              <w:szCs w:val="24"/>
                            </w:rPr>
                            <w:t>. kitų Įmonių, galinčių daryti įtaką prognozuojamam kiekiui, plėtrą ir teisės aktuose nustatytus įpareigojimus.</w:t>
                          </w:r>
                        </w:p>
                        <w:p>
                          <w:pPr>
                            <w:tabs>
                              <w:tab w:val="left" w:pos="1134"/>
                            </w:tabs>
                            <w:jc w:val="both"/>
                            <w:rPr>
                              <w:szCs w:val="24"/>
                            </w:rPr>
                          </w:pPr>
                        </w:p>
                        <w:p>
                          <w:pPr>
                            <w:tabs>
                              <w:tab w:val="left" w:pos="1134"/>
                            </w:tabs>
                            <w:jc w:val="both"/>
                            <w:rPr>
                              <w:szCs w:val="24"/>
                            </w:rPr>
                          </w:pPr>
                        </w:p>
                      </w:sdtContent>
                    </w:sdt>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fdf65fd50ab1410ea642edb895d03e63"/>
                            <w:lock w:val="sdtLocked"/>
                            <w:richText/>
                          </w:sdtPr>
                          <w:sdtContent>
                            <w:p>
                              <w:pPr>
                                <w:tabs>
                                  <w:tab w:val="left" w:pos="1418"/>
                                  <w:tab w:val="left" w:pos="1843"/>
                                  <w:tab w:val="left" w:pos="2268"/>
                                </w:tabs>
                                <w:ind w:firstLine="709"/>
                                <w:jc w:val="both"/>
                                <w:rPr>
                                  <w:szCs w:val="24"/>
                                </w:rPr>
                              </w:pPr>
                              <w:sdt>
                                <w:sdtPr>
                                  <w:alias w:val="Numeris"/>
                                  <w:tag w:val="nr_fdf65fd50ab1410ea642edb895d03e63"/>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w:t>
                              </w:r>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2fc9d2fe933e4b2099557898dc5b1ae9"/>
                        <w:lock w:val="sdtLocked"/>
                        <w:richText/>
                      </w:sdtPr>
                      <w:sdtContent>
                        <w:p>
                          <w:pPr>
                            <w:tabs>
                              <w:tab w:val="left" w:pos="993"/>
                            </w:tabs>
                            <w:ind w:firstLine="709"/>
                            <w:jc w:val="both"/>
                            <w:rPr>
                              <w:szCs w:val="24"/>
                            </w:rPr>
                          </w:pPr>
                          <w:sdt>
                            <w:sdtPr>
                              <w:alias w:val="Numeris"/>
                              <w:tag w:val="nr_2fc9d2fe933e4b2099557898dc5b1ae9"/>
                              <w:lock w:val="sdtLocked"/>
                              <w:richText/>
                            </w:sdtPr>
                            <w:sdtContent>
                              <w:r>
                                <w:rPr>
                                  <w:szCs w:val="24"/>
                                </w:rPr>
                                <w:t>33.5</w:t>
                              </w:r>
                            </w:sdtContent>
                          </w:sdt>
                          <w:r>
                            <w:rPr>
                              <w:szCs w:val="24"/>
                            </w:rPr>
                            <w:t>. dėl faktinių Įmonės gautų pajamų susijusių su reguliuojamų perdavimo ir skirstymo paslaugų ir (ar) produktų teikimu, kuriems teikti naudojami ar nenaudojami reguliuojamos veiklos ištekliai dydžio neatitikties prognozuotam dydžiui;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57589ad491734e1a889f5f1aa99414d8"/>
                        <w:lock w:val="sdtLocked"/>
                        <w:richText/>
                      </w:sdtPr>
                      <w:sdtContent>
                        <w:p>
                          <w:pPr>
                            <w:tabs>
                              <w:tab w:val="left" w:pos="1276"/>
                              <w:tab w:val="left" w:pos="1843"/>
                              <w:tab w:val="left" w:pos="2268"/>
                            </w:tabs>
                            <w:ind w:firstLine="709"/>
                            <w:jc w:val="both"/>
                            <w:rPr>
                              <w:szCs w:val="24"/>
                            </w:rPr>
                          </w:pPr>
                          <w:sdt>
                            <w:sdtPr>
                              <w:alias w:val="Numeris"/>
                              <w:tag w:val="nr_57589ad491734e1a889f5f1aa99414d8"/>
                              <w:lock w:val="sdtLocked"/>
                              <w:richText/>
                            </w:sdtPr>
                            <w:sdtContent>
                              <w:r>
                                <w:rPr>
                                  <w:szCs w:val="24"/>
                                </w:rPr>
                                <w:t>33.6</w:t>
                              </w:r>
                            </w:sdtContent>
                          </w:sdt>
                          <w:r>
                            <w:rPr>
                              <w:szCs w:val="24"/>
                            </w:rPr>
                            <w:t>. dėl faktinių mokesčių dydžio neatitikties prognozuotam atitinkamų reguliavimo metų mokesčių dydžiui ar atsiradus naujiems mokesčiams;</w:t>
                          </w:r>
                        </w:p>
                      </w:sdtContent>
                    </w:sdt>
                    <w:sdt>
                      <w:sdtPr>
                        <w:alias w:val="33.7 p."/>
                        <w:tag w:val="part_719d3032019548f88367a2e91a005bc1"/>
                        <w:lock w:val="sdtLocked"/>
                        <w:richText/>
                      </w:sdtPr>
                      <w:sdtContent>
                        <w:p>
                          <w:pPr>
                            <w:tabs>
                              <w:tab w:val="left" w:pos="993"/>
                            </w:tabs>
                            <w:ind w:firstLine="709"/>
                            <w:jc w:val="both"/>
                          </w:pPr>
                          <w:sdt>
                            <w:sdtPr>
                              <w:alias w:val="Numeris"/>
                              <w:tag w:val="nr_719d3032019548f88367a2e91a005bc1"/>
                              <w:lock w:val="sdtLocked"/>
                              <w:richText/>
                            </w:sdtPr>
                            <w:sdtContent>
                              <w:r>
                                <w:rPr>
                                  <w:szCs w:val="24"/>
                                </w:rPr>
                                <w:t>33.7</w:t>
                              </w:r>
                            </w:sdtContent>
                          </w:sdt>
                          <w:r>
                            <w:rPr>
                              <w:szCs w:val="24"/>
                            </w:rPr>
                            <w:t xml:space="preserve">. kaštų elektros energijos sąnaudoms technologiniuose įrenginiuose ir savoms reikmėms padengti  dydžio skirtumo, nulemto neatitikties tarp faktinės ir prognozuotos elektros energijos kainos bei kiekio, jeigu Įmonė pagrindė šio kiekio ir kainos pokytį objektyviais nuo Įmonės nepriklausančiais veiksniais;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1ea2d1ce64540b09d194e1b823266fd"/>
                        <w:lock w:val="sdtLocked"/>
                        <w:richText/>
                      </w:sdtPr>
                      <w:sdtContent>
                        <w:p>
                          <w:pPr>
                            <w:tabs>
                              <w:tab w:val="left" w:pos="993"/>
                            </w:tabs>
                            <w:ind w:firstLine="709"/>
                            <w:jc w:val="both"/>
                          </w:pPr>
                          <w:sdt>
                            <w:sdtPr>
                              <w:alias w:val="Numeris"/>
                              <w:tag w:val="nr_31ea2d1ce64540b09d194e1b823266fd"/>
                              <w:lock w:val="sdtLocked"/>
                              <w:richText/>
                            </w:sdtPr>
                            <w:sdtContent>
                              <w:r>
                                <w:rPr>
                                  <w:szCs w:val="24"/>
                                </w:rPr>
                                <w:t>33.9</w:t>
                              </w:r>
                            </w:sdtContent>
                          </w:sdt>
                          <w:r>
                            <w:rPr>
                              <w:szCs w:val="24"/>
                            </w:rPr>
                            <w:t>. dėl nurašomo, perleidžiamo, išimamo iš eksploatacijos, bet į Modelį įtraukto neoptimizuotino turto, kaštų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0 p."/>
                        <w:tag w:val="part_fc96212be3334822a297ad0853d567ee"/>
                        <w:lock w:val="sdtLocked"/>
                        <w:richText/>
                      </w:sdtPr>
                      <w:sdtContent>
                        <w:p>
                          <w:pPr>
                            <w:tabs>
                              <w:tab w:val="left" w:pos="993"/>
                            </w:tabs>
                            <w:ind w:firstLine="709"/>
                            <w:jc w:val="both"/>
                          </w:pPr>
                          <w:sdt>
                            <w:sdtPr>
                              <w:alias w:val="Numeris"/>
                              <w:tag w:val="nr_fc96212be3334822a297ad0853d567ee"/>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1 p."/>
                        <w:tag w:val="part_343c8615f22b475ca2c560314c84c20d"/>
                        <w:lock w:val="sdtLocked"/>
                        <w:richText/>
                      </w:sdtPr>
                      <w:sdtContent>
                        <w:p>
                          <w:pPr>
                            <w:tabs>
                              <w:tab w:val="left" w:pos="1134"/>
                            </w:tabs>
                            <w:ind w:firstLine="709"/>
                            <w:jc w:val="both"/>
                          </w:pPr>
                          <w:sdt>
                            <w:sdtPr>
                              <w:alias w:val="Numeris"/>
                              <w:tag w:val="nr_343c8615f22b475ca2c560314c84c20d"/>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prognozės ir fakto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313f786a0f664b8a9973c69e43554b8a"/>
                        <w:lock w:val="sdtLocked"/>
                        <w:richText/>
                      </w:sdtPr>
                      <w:sdtContent>
                        <w:p>
                          <w:pPr>
                            <w:tabs>
                              <w:tab w:val="left" w:pos="1276"/>
                            </w:tabs>
                            <w:ind w:firstLine="709"/>
                            <w:jc w:val="both"/>
                          </w:pPr>
                          <w:sdt>
                            <w:sdtPr>
                              <w:alias w:val="Numeris"/>
                              <w:tag w:val="nr_313f786a0f664b8a9973c69e43554b8a"/>
                              <w:lock w:val="sdtLocked"/>
                              <w:richText/>
                            </w:sdtPr>
                            <w:sdtContent>
                              <w:r>
                                <w:rPr>
                                  <w:szCs w:val="24"/>
                                </w:rPr>
                                <w:t>33.13</w:t>
                              </w:r>
                            </w:sdtContent>
                          </w:sdt>
                          <w:r>
                            <w:rPr>
                              <w:szCs w:val="24"/>
                            </w:rPr>
                            <w:t>. dėl prognozuotų ir faktinių pajamų iš elektros energijos tarptautinio tranzito ir įėjimo į Lietuvos Respublikos elektros energijos rinką neatitikties;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4 p."/>
                        <w:tag w:val="part_528b67d38a1341eda79fd7ead17b10ad"/>
                        <w:lock w:val="sdtLocked"/>
                        <w:richText/>
                      </w:sdtPr>
                      <w:sdtContent>
                        <w:p>
                          <w:pPr>
                            <w:tabs>
                              <w:tab w:val="left" w:pos="1276"/>
                            </w:tabs>
                            <w:ind w:firstLine="709"/>
                            <w:jc w:val="both"/>
                          </w:pPr>
                          <w:sdt>
                            <w:sdtPr>
                              <w:alias w:val="Numeris"/>
                              <w:tag w:val="nr_528b67d38a1341eda79fd7ead17b10ad"/>
                              <w:lock w:val="sdtLocked"/>
                              <w:richText/>
                            </w:sdtPr>
                            <w:sdtContent>
                              <w:r>
                                <w:rPr>
                                  <w:szCs w:val="24"/>
                                </w:rPr>
                                <w:t>33.14</w:t>
                              </w:r>
                            </w:sdtContent>
                          </w:sdt>
                          <w:r>
                            <w:rPr>
                              <w:szCs w:val="24"/>
                            </w:rPr>
                            <w:t>. dėl skirtumo tarp prognozuoto ir faktinio PSO nacionalinės balansavimo funkcijos veiklos rezultato;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a005f858e5cc4b91a80db424b10547f6"/>
                        <w:lock w:val="sdtLocked"/>
                        <w:richText/>
                      </w:sdtPr>
                      <w:sdtContent>
                        <w:p>
                          <w:pPr>
                            <w:ind w:firstLine="709"/>
                            <w:jc w:val="both"/>
                            <w:rPr>
                              <w:szCs w:val="24"/>
                            </w:rPr>
                          </w:pPr>
                          <w:sdt>
                            <w:sdtPr>
                              <w:alias w:val="Numeris"/>
                              <w:tag w:val="nr_a005f858e5cc4b91a80db424b10547f6"/>
                              <w:lock w:val="sdtLocked"/>
                              <w:richText/>
                            </w:sdtPr>
                            <w:sdtContent>
                              <w:r>
                                <w:rPr>
                                  <w:szCs w:val="24"/>
                                  <w:lang w:eastAsia="lt-LT"/>
                                </w:rPr>
                                <w:t>33.16</w:t>
                              </w:r>
                            </w:sdtContent>
                          </w:sdt>
                          <w:r>
                            <w:rPr>
                              <w:szCs w:val="24"/>
                              <w:lang w:eastAsia="lt-LT"/>
                            </w:rPr>
                            <w:t xml:space="preserve"> dėl OPEX koregavimo dėl skirtumo tarp faktinės ir prognozuotos infliacijos</w:t>
                          </w:r>
                          <w:r>
                            <w:rPr>
                              <w:szCs w:val="24"/>
                            </w:rPr>
                            <w:t xml:space="preserve"> </w:t>
                          </w:r>
                          <w:r>
                            <w:rPr>
                              <w:szCs w:val="24"/>
                              <w:lang w:eastAsia="lt-LT"/>
                            </w:rPr>
                            <w:t>ir vidutinio darbo užmokesčio pokyčio;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ccf52b18a4074feea9f2fbb39e44204f"/>
                    <w:lock w:val="sdtLocked"/>
                    <w:richText/>
                  </w:sdtPr>
                  <w:sdtContent>
                    <w:p>
                      <w:pPr>
                        <w:tabs>
                          <w:tab w:val="left" w:pos="1080"/>
                          <w:tab w:val="left" w:pos="1843"/>
                          <w:tab w:val="left" w:pos="2268"/>
                        </w:tabs>
                        <w:ind w:firstLine="720"/>
                        <w:jc w:val="both"/>
                        <w:rPr>
                          <w:szCs w:val="24"/>
                        </w:rPr>
                      </w:pPr>
                      <w:sdt>
                        <w:sdtPr>
                          <w:alias w:val="Numeris"/>
                          <w:tag w:val="nr_ccf52b18a4074feea9f2fbb39e44204f"/>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ffbda122d0914e30aee219c03faeb01c"/>
                    <w:lock w:val="sdtLocked"/>
                    <w:richText/>
                  </w:sdtPr>
                  <w:sdtContent>
                    <w:p>
                      <w:pPr>
                        <w:tabs>
                          <w:tab w:val="left" w:pos="1080"/>
                          <w:tab w:val="left" w:pos="1843"/>
                          <w:tab w:val="left" w:pos="2268"/>
                        </w:tabs>
                        <w:ind w:firstLine="720"/>
                        <w:jc w:val="both"/>
                        <w:rPr>
                          <w:szCs w:val="24"/>
                        </w:rPr>
                      </w:pPr>
                      <w:sdt>
                        <w:sdtPr>
                          <w:alias w:val="Numeris"/>
                          <w:tag w:val="nr_ffbda122d0914e30aee219c03faeb01c"/>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Content>
            </w:sdt>
            <w:sdt>
              <w:sdtPr>
                <w:alias w:val="skirsnis"/>
                <w:tag w:val="part_876a24b65d6c47c188df368e2e822039"/>
                <w:lock w:val="sdtLocked"/>
                <w:richText/>
              </w:sdtPr>
              <w:sdtContent>
                <w:p>
                  <w:pPr>
                    <w:keepNext/>
                    <w:keepLines/>
                    <w:tabs>
                      <w:tab w:val="left" w:pos="1134"/>
                      <w:tab w:val="left" w:pos="1843"/>
                      <w:tab w:val="left" w:pos="2268"/>
                    </w:tabs>
                    <w:jc w:val="center"/>
                    <w:outlineLvl w:val="1"/>
                    <w:rPr>
                      <w:b/>
                      <w:bCs/>
                      <w:szCs w:val="24"/>
                    </w:rPr>
                  </w:pPr>
                  <w:sdt>
                    <w:sdtPr>
                      <w:alias w:val="Numeris"/>
                      <w:tag w:val="nr_876a24b65d6c47c188df368e2e822039"/>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876a24b65d6c47c188df368e2e822039"/>
                      <w:lock w:val="sdtLocked"/>
                      <w:richText/>
                    </w:sdtPr>
                    <w:sdtContent>
                      <w:r>
                        <w:rPr>
                          <w:b/>
                          <w:bCs/>
                          <w:szCs w:val="24"/>
                        </w:rPr>
                        <w:t>PERDAVIMO PASLAUGOS AUKŠTOS ĮTAMPOS TINKLAIS KAINOS VIRŠUTINĖS RIBOS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42 p."/>
                    <w:tag w:val="part_8856d7c770a748478da9c29d295af0e2"/>
                    <w:lock w:val="sdtLocked"/>
                    <w:richText/>
                  </w:sdtPr>
                  <w:sdtContent>
                    <w:p>
                      <w:pPr>
                        <w:tabs>
                          <w:tab w:val="left" w:pos="1134"/>
                        </w:tabs>
                        <w:ind w:firstLine="709"/>
                        <w:jc w:val="both"/>
                        <w:rPr>
                          <w:szCs w:val="24"/>
                        </w:rPr>
                      </w:pPr>
                      <w:sdt>
                        <w:sdtPr>
                          <w:alias w:val="Numeris"/>
                          <w:tag w:val="nr_8856d7c770a748478da9c29d295af0e2"/>
                          <w:lock w:val="sdtLocked"/>
                          <w:richText/>
                        </w:sdtPr>
                        <w:sdtContent>
                          <w:r>
                            <w:rPr>
                              <w:szCs w:val="24"/>
                            </w:rPr>
                            <w:t>42</w:t>
                          </w:r>
                        </w:sdtContent>
                      </w:sdt>
                      <w:r>
                        <w:rPr>
                          <w:szCs w:val="24"/>
                        </w:rPr>
                        <w:t xml:space="preserve">. Elektros energijos perdavimo aukštos įtampos tinklais paslaugos kainos viršutinė riba visam reguliavimo periodui apskaičiuojama galutines pirmiems reguliavimo periodo metams PSO leidžiamas pajamas padalijus iš planuojamo perduoti elektros energijos kiekio šalies poreikiams. Paslaugos kainos  viršutinė riba per reguliavimo periodą koreguojama indeksacijos, kiekio poveikio ir korekcijos  koeficientais bei Metodikos 33 punkte nurodytomis korekcijomis.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3 p."/>
                    <w:tag w:val="part_7a6915c175de4855afb970d9ede41f68"/>
                    <w:lock w:val="sdtLocked"/>
                    <w:richText/>
                  </w:sdtPr>
                  <w:sdtContent>
                    <w:p>
                      <w:pPr>
                        <w:tabs>
                          <w:tab w:val="left" w:pos="1134"/>
                        </w:tabs>
                        <w:ind w:firstLine="709"/>
                        <w:jc w:val="both"/>
                        <w:rPr>
                          <w:szCs w:val="24"/>
                        </w:rPr>
                      </w:pPr>
                      <w:sdt>
                        <w:sdtPr>
                          <w:alias w:val="Numeris"/>
                          <w:tag w:val="nr_7a6915c175de4855afb970d9ede41f68"/>
                          <w:lock w:val="sdtLocked"/>
                          <w:richText/>
                        </w:sdtPr>
                        <w:sdtContent>
                          <w:r>
                            <w:rPr>
                              <w:szCs w:val="24"/>
                            </w:rPr>
                            <w:t>43</w:t>
                          </w:r>
                        </w:sdtContent>
                      </w:sdt>
                      <w:r>
                        <w:rPr>
                          <w:szCs w:val="24"/>
                        </w:rPr>
                        <w:t xml:space="preserve">. Viršutinė kainos riba koreguojama dėl faktinės ir Modeliu planuotos infliacijos neatitikties, faktiškai perduoto ir prognozuoto kiekio neatitikties, Metodikos 33 punkte numatytų koregavimų bei faktinių PSO gautų pajamų bei pajamų, kurias buvo leista PSO gauti perduodant elektros energiją šalies poreikiams. Faktiniai dydžiai įvertinami </w:t>
                      </w:r>
                      <w:r>
                        <w:rPr>
                          <w:i/>
                          <w:iCs/>
                          <w:szCs w:val="24"/>
                        </w:rPr>
                        <w:t xml:space="preserve">t </w:t>
                      </w:r>
                      <w:r>
                        <w:rPr>
                          <w:szCs w:val="24"/>
                        </w:rPr>
                        <w:t xml:space="preserve">metais už </w:t>
                      </w:r>
                      <w:r>
                        <w:rPr>
                          <w:i/>
                          <w:iCs/>
                          <w:szCs w:val="24"/>
                        </w:rPr>
                        <w:t xml:space="preserve">t-2 </w:t>
                      </w:r>
                      <w:r>
                        <w:rPr>
                          <w:szCs w:val="24"/>
                        </w:rPr>
                        <w:t>periodą.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4 p."/>
                    <w:tag w:val="part_a0046bc0458f4e7681e09d2803d21f94"/>
                    <w:lock w:val="sdtLocked"/>
                    <w:richText/>
                  </w:sdtPr>
                  <w:sdtContent>
                    <w:p>
                      <w:pPr>
                        <w:tabs>
                          <w:tab w:val="left" w:pos="1080"/>
                          <w:tab w:val="left" w:pos="1843"/>
                          <w:tab w:val="left" w:pos="2268"/>
                        </w:tabs>
                        <w:ind w:firstLine="720"/>
                        <w:jc w:val="both"/>
                        <w:rPr>
                          <w:szCs w:val="24"/>
                        </w:rPr>
                      </w:pPr>
                      <w:sdt>
                        <w:sdtPr>
                          <w:alias w:val="Numeris"/>
                          <w:tag w:val="nr_a0046bc0458f4e7681e09d2803d21f94"/>
                          <w:lock w:val="sdtLocked"/>
                          <w:richText/>
                        </w:sdtPr>
                        <w:sdtContent>
                          <w:r>
                            <w:rPr>
                              <w:szCs w:val="24"/>
                            </w:rPr>
                            <w:t>44</w:t>
                          </w:r>
                        </w:sdtContent>
                      </w:sdt>
                      <w:r>
                        <w:rPr>
                          <w:szCs w:val="24"/>
                        </w:rPr>
                        <w:t xml:space="preserve">. Bazinė perdavimo aukštos įtampos tinklais kainos viršutinė riba apskaičiuojama </w:t>
                      </w:r>
                      <w:r>
                        <w:rPr>
                          <w:i/>
                          <w:szCs w:val="24"/>
                        </w:rPr>
                        <w:t>t</w:t>
                      </w:r>
                      <w:r>
                        <w:rPr>
                          <w:szCs w:val="24"/>
                        </w:rPr>
                        <w:t xml:space="preserve"> metų leidžiamas PSO pajamas padalijant iš planuojamo perduoti elektros energijos kiekio šalies poreikiams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T</m:t>
                            </m:r>
                          </m:e>
                          <m:sub>
                            <m:r>
                              <w:rPr>
                                <w:rFonts w:ascii="Cambria Math" w:hAnsi="Cambria Math"/>
                              </w:rPr>
                              <m:t>110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oMath>
                      <w:r>
                        <w:tab/>
                      </w:r>
                      <w:r>
                        <w:rPr>
                          <w:szCs w:val="24"/>
                        </w:rPr>
                        <w:t>(18)</w:t>
                      </w:r>
                    </w:p>
                    <w:p>
                      <w:pPr>
                        <w:tabs>
                          <w:tab w:val="left" w:pos="1134"/>
                          <w:tab w:val="left" w:pos="1843"/>
                          <w:tab w:val="left" w:pos="2268"/>
                        </w:tabs>
                        <w:jc w:val="both"/>
                        <w:rPr>
                          <w:i/>
                          <w:szCs w:val="24"/>
                        </w:rPr>
                      </w:pP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110</w:t>
                      </w:r>
                      <w:r>
                        <w:rPr>
                          <w:szCs w:val="24"/>
                        </w:rPr>
                        <w:t xml:space="preserve"> – bazinė elektros energijos perdavimo kainos viršutinė riba, EUR/kWh;</w:t>
                      </w:r>
                    </w:p>
                    <w:p>
                      <w:pPr>
                        <w:tabs>
                          <w:tab w:val="left" w:pos="1134"/>
                          <w:tab w:val="left" w:pos="1843"/>
                          <w:tab w:val="left" w:pos="2268"/>
                        </w:tabs>
                        <w:jc w:val="both"/>
                        <w:rPr>
                          <w:szCs w:val="24"/>
                        </w:rPr>
                      </w:pPr>
                      <w:r>
                        <w:rPr>
                          <w:szCs w:val="24"/>
                        </w:rPr>
                        <w:t>P</w:t>
                      </w:r>
                      <w:r>
                        <w:rPr>
                          <w:szCs w:val="24"/>
                          <w:vertAlign w:val="subscript"/>
                        </w:rPr>
                        <w:t>110,t</w:t>
                      </w:r>
                      <w:r>
                        <w:rPr>
                          <w:szCs w:val="24"/>
                        </w:rPr>
                        <w:t xml:space="preserve"> – galutinės PSO </w:t>
                      </w:r>
                      <w:r>
                        <w:rPr>
                          <w:i/>
                          <w:szCs w:val="24"/>
                        </w:rPr>
                        <w:t>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 xml:space="preserve">110,t </w:t>
                      </w:r>
                      <w:r>
                        <w:rPr>
                          <w:szCs w:val="24"/>
                        </w:rPr>
                        <w:t xml:space="preserve">– PSO planuojamas perduoti elektros energijos kiekis AĮ tinklais šalies poreikiams </w:t>
                      </w:r>
                      <w:r>
                        <w:rPr>
                          <w:i/>
                          <w:szCs w:val="24"/>
                        </w:rPr>
                        <w:t xml:space="preserve">t </w:t>
                      </w:r>
                      <w:r>
                        <w:rPr>
                          <w:szCs w:val="24"/>
                        </w:rPr>
                        <w:t>metams, kWh.</w:t>
                      </w:r>
                    </w:p>
                  </w:sdtContent>
                </w:sdt>
                <w:sdt>
                  <w:sdtPr>
                    <w:alias w:val="45 p."/>
                    <w:tag w:val="part_d14bfb778fca4062a61cefadbad5af90"/>
                    <w:lock w:val="sdtLocked"/>
                    <w:richText/>
                  </w:sdtPr>
                  <w:sdtContent>
                    <w:p>
                      <w:pPr>
                        <w:tabs>
                          <w:tab w:val="left" w:pos="1134"/>
                        </w:tabs>
                        <w:ind w:firstLine="709"/>
                        <w:jc w:val="both"/>
                        <w:rPr>
                          <w:szCs w:val="24"/>
                        </w:rPr>
                      </w:pPr>
                      <w:sdt>
                        <w:sdtPr>
                          <w:alias w:val="Numeris"/>
                          <w:tag w:val="nr_d14bfb778fca4062a61cefadbad5af90"/>
                          <w:lock w:val="sdtLocked"/>
                          <w:richText/>
                        </w:sdtPr>
                        <w:sdtContent>
                          <w:r>
                            <w:rPr>
                              <w:szCs w:val="24"/>
                            </w:rPr>
                            <w:t>45</w:t>
                          </w:r>
                        </w:sdtContent>
                      </w:sdt>
                      <w:r>
                        <w:rPr>
                          <w:szCs w:val="24"/>
                        </w:rPr>
                        <w:t>. Perdavimo paslaugos kainos viršutinės ribos indeksavimo koeficientas apskaičiuojamas lyginant t-2 reguliavimo metams planuotą ir t-2 metų faktinę infliaciją OPEX (išskyrus darbo užmokesčio kaštus) kaštų atveju bei vidutinį darbo užmokesčio pokytį – darbo užmokesčio atveju. Šios korekcijos tikslas − leisti kainos viršutines ribas koreguoti dėl faktinio infliacijos bei vidutinio darbo užmokesčio pokyčio lygio pasikeitimo.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6 p."/>
                    <w:tag w:val="part_6d71b818d05d435d842387a0ed7aa415"/>
                    <w:lock w:val="sdtLocked"/>
                    <w:richText/>
                  </w:sdtPr>
                  <w:sdtContent>
                    <w:p>
                      <w:pPr>
                        <w:tabs>
                          <w:tab w:val="left" w:pos="1134"/>
                        </w:tabs>
                        <w:ind w:firstLine="709"/>
                        <w:jc w:val="both"/>
                        <w:rPr>
                          <w:szCs w:val="24"/>
                        </w:rPr>
                      </w:pPr>
                      <w:sdt>
                        <w:sdtPr>
                          <w:alias w:val="Numeris"/>
                          <w:tag w:val="nr_6d71b818d05d435d842387a0ed7aa415"/>
                          <w:lock w:val="sdtLocked"/>
                          <w:richText/>
                        </w:sdtPr>
                        <w:sdtContent>
                          <w:r>
                            <w:rPr>
                              <w:szCs w:val="24"/>
                            </w:rPr>
                            <w:t>46</w:t>
                          </w:r>
                        </w:sdtContent>
                      </w:sdt>
                      <w:r>
                        <w:rPr>
                          <w:szCs w:val="24"/>
                        </w:rPr>
                        <w:t xml:space="preserve">. Infliacija arba vidutinis darbo užmokesčio pokytis  taikomas tik OPEX, kai žinoma t-2 metų faktinė infliacija arba vidutinio darbo užmokesčio pokytis.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7 p."/>
                    <w:tag w:val="part_bad7c6cb531c46e380869aeae2417508"/>
                    <w:lock w:val="sdtLocked"/>
                    <w:richText/>
                  </w:sdtPr>
                  <w:sdtContent>
                    <w:p>
                      <w:pPr>
                        <w:tabs>
                          <w:tab w:val="left" w:pos="1080"/>
                          <w:tab w:val="left" w:pos="1843"/>
                          <w:tab w:val="left" w:pos="2268"/>
                        </w:tabs>
                        <w:ind w:firstLine="720"/>
                        <w:jc w:val="both"/>
                        <w:rPr>
                          <w:szCs w:val="24"/>
                        </w:rPr>
                      </w:pPr>
                      <w:sdt>
                        <w:sdtPr>
                          <w:alias w:val="Numeris"/>
                          <w:tag w:val="nr_bad7c6cb531c46e380869aeae2417508"/>
                          <w:lock w:val="sdtLocked"/>
                          <w:richText/>
                        </w:sdtPr>
                        <w:sdtContent>
                          <w:r>
                            <w:rPr>
                              <w:szCs w:val="24"/>
                            </w:rPr>
                            <w:t>47</w:t>
                          </w:r>
                        </w:sdtContent>
                      </w:sdt>
                      <w:r>
                        <w:rPr>
                          <w:szCs w:val="24"/>
                        </w:rPr>
                        <w:t>. Indeksavimo koeficientas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IK</m:t>
                            </m:r>
                          </m:e>
                          <m:sub>
                            <m:r>
                              <w:rPr>
                                <w:rFonts w:ascii="Cambria Math" w:hAnsi="Cambria Math"/>
                              </w:rPr>
                              <m:t>110,</m:t>
                            </m:r>
                            <m:r>
                              <w:rPr>
                                <w:rFonts w:ascii="Cambria Math" w:hAnsi="Cambria Math"/>
                              </w:rPr>
                              <m:t>t</m:t>
                            </m:r>
                          </m:sub>
                        </m:sSub>
                        <m:r>
                          <w:rPr>
                            <w:rFonts w:ascii="Cambria Math" w:hAnsi="Cambria Math"/>
                          </w:rPr>
                          <m:t>=</m:t>
                        </m:r>
                        <m:r>
                          <w:rPr>
                            <w:rFonts w:ascii="Cambria Math" w:hAnsi="Cambria Math"/>
                          </w:rPr>
                          <m:t>1+(</m:t>
                        </m:r>
                        <m:d>
                          <m:dPr>
                            <m:ctrlPr>
                              <w:rPr>
                                <w:rFonts w:ascii="Cambria Math" w:hAnsi="Cambria Math"/>
                                <w:i/>
                              </w:rPr>
                            </m:ctrlPr>
                          </m:d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110</m:t>
                            </m:r>
                          </m:sub>
                        </m:sSub>
                        <m:r>
                          <w:rPr>
                            <w:rFonts w:ascii="Cambria Math" w:hAnsi="Cambria Math"/>
                          </w:rPr>
                          <m:t>)</m:t>
                        </m:r>
                      </m:oMath>
                      <w:r>
                        <w:tab/>
                      </w:r>
                      <w:r>
                        <w:rPr>
                          <w:szCs w:val="24"/>
                        </w:rPr>
                        <w:t>(19)</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110,t</w:t>
                      </w:r>
                      <w:r>
                        <w:rPr>
                          <w:szCs w:val="24"/>
                        </w:rPr>
                        <w:t xml:space="preserve"> – </w:t>
                      </w:r>
                      <w:r>
                        <w:rPr>
                          <w:i/>
                          <w:szCs w:val="24"/>
                        </w:rPr>
                        <w:t>t</w:t>
                      </w:r>
                      <w:r>
                        <w:rPr>
                          <w:szCs w:val="24"/>
                        </w:rPr>
                        <w:t xml:space="preserve"> metų indeksavimo koeficientas perdavimo AĮ tinklais kainos viršutinei ribai;</w:t>
                      </w:r>
                    </w:p>
                    <w:p>
                      <w:pPr>
                        <w:tabs>
                          <w:tab w:val="left" w:pos="1134"/>
                          <w:tab w:val="left" w:pos="1843"/>
                          <w:tab w:val="left" w:pos="2268"/>
                        </w:tabs>
                        <w:jc w:val="both"/>
                        <w:rPr>
                          <w:szCs w:val="24"/>
                        </w:rPr>
                      </w:pPr>
                      <w:r>
                        <w:rPr>
                          <w:i/>
                          <w:szCs w:val="24"/>
                        </w:rPr>
                        <w:t>i</w:t>
                      </w:r>
                      <w:r>
                        <w:rPr>
                          <w:i/>
                          <w:szCs w:val="24"/>
                          <w:vertAlign w:val="superscript"/>
                        </w:rPr>
                        <w:t>f</w:t>
                      </w:r>
                      <w:r>
                        <w:rPr>
                          <w:i/>
                          <w:szCs w:val="24"/>
                          <w:vertAlign w:val="subscript"/>
                        </w:rPr>
                        <w:t>t-2</w:t>
                      </w:r>
                      <w:r>
                        <w:rPr>
                          <w:szCs w:val="24"/>
                        </w:rPr>
                        <w:t xml:space="preserve"> – faktinės vidutinės </w:t>
                      </w:r>
                      <w:r>
                        <w:rPr>
                          <w:i/>
                          <w:szCs w:val="24"/>
                        </w:rPr>
                        <w:t>t-2</w:t>
                      </w:r>
                      <w:r>
                        <w:rPr>
                          <w:szCs w:val="24"/>
                        </w:rPr>
                        <w:t xml:space="preserve"> reguliavimo metų infliacijos koeficientas;</w:t>
                      </w:r>
                    </w:p>
                    <w:p>
                      <w:pPr>
                        <w:tabs>
                          <w:tab w:val="left" w:pos="1134"/>
                          <w:tab w:val="left" w:pos="1843"/>
                          <w:tab w:val="left" w:pos="2268"/>
                        </w:tabs>
                        <w:jc w:val="both"/>
                        <w:rPr>
                          <w:szCs w:val="24"/>
                        </w:rPr>
                      </w:pPr>
                      <w:r>
                        <w:rPr>
                          <w:i/>
                          <w:szCs w:val="24"/>
                        </w:rPr>
                        <w:t>i</w:t>
                      </w:r>
                      <w:r>
                        <w:rPr>
                          <w:i/>
                          <w:szCs w:val="24"/>
                          <w:vertAlign w:val="superscript"/>
                        </w:rPr>
                        <w:t>pl</w:t>
                      </w:r>
                      <w:r>
                        <w:rPr>
                          <w:i/>
                          <w:szCs w:val="24"/>
                          <w:vertAlign w:val="subscript"/>
                        </w:rPr>
                        <w:t>t-2</w:t>
                      </w:r>
                      <w:r>
                        <w:rPr>
                          <w:szCs w:val="24"/>
                        </w:rPr>
                        <w:t xml:space="preserve"> – planuotas </w:t>
                      </w:r>
                      <w:r>
                        <w:rPr>
                          <w:i/>
                          <w:szCs w:val="24"/>
                        </w:rPr>
                        <w:t>t-2</w:t>
                      </w:r>
                      <w:r>
                        <w:rPr>
                          <w:szCs w:val="24"/>
                        </w:rPr>
                        <w:t xml:space="preserve"> reguliavimo metų infliacijos koeficientas;</w:t>
                      </w:r>
                    </w:p>
                    <w:p>
                      <w:pPr>
                        <w:tabs>
                          <w:tab w:val="left" w:pos="1134"/>
                          <w:tab w:val="left" w:pos="1843"/>
                          <w:tab w:val="left" w:pos="2268"/>
                        </w:tabs>
                        <w:jc w:val="both"/>
                        <w:rPr>
                          <w:szCs w:val="24"/>
                        </w:rPr>
                      </w:pPr>
                      <w:r>
                        <w:rPr>
                          <w:szCs w:val="24"/>
                        </w:rPr>
                        <w:t>L</w:t>
                      </w:r>
                      <w:r>
                        <w:rPr>
                          <w:szCs w:val="24"/>
                          <w:vertAlign w:val="subscript"/>
                        </w:rPr>
                        <w:t>k110</w:t>
                      </w:r>
                      <w:r>
                        <w:rPr>
                          <w:szCs w:val="24"/>
                        </w:rPr>
                        <w:t xml:space="preserve"> – OPEX proporcija, palyginti su visomis PSO leidžiamomis pajamomis. Šią proporciją apskaičiuoja Modelis.</w:t>
                      </w:r>
                    </w:p>
                  </w:sdtContent>
                </w:sdt>
                <w:sdt>
                  <w:sdtPr>
                    <w:alias w:val="47-1 p."/>
                    <w:tag w:val="part_afe995655f2b4353b645b286a9373acb"/>
                    <w:lock w:val="sdtLocked"/>
                    <w:richText/>
                  </w:sdtPr>
                  <w:sdtContent>
                    <w:p>
                      <w:pPr>
                        <w:tabs>
                          <w:tab w:val="left" w:pos="1134"/>
                        </w:tabs>
                        <w:ind w:firstLine="709"/>
                        <w:jc w:val="both"/>
                        <w:rPr>
                          <w:szCs w:val="24"/>
                        </w:rPr>
                      </w:pPr>
                      <w:sdt>
                        <w:sdtPr>
                          <w:alias w:val="Numeris"/>
                          <w:tag w:val="nr_afe995655f2b4353b645b286a9373acb"/>
                          <w:lock w:val="sdtLocked"/>
                          <w:richText/>
                        </w:sdtPr>
                        <w:sdtContent>
                          <w:r>
                            <w:rPr>
                              <w:szCs w:val="24"/>
                            </w:rPr>
                            <w:t>47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pPr>
                        <w:tabs>
                          <w:tab w:val="left" w:pos="1134"/>
                        </w:tabs>
                        <w:ind w:firstLine="709"/>
                        <w:jc w:val="both"/>
                        <w:rPr>
                          <w:szCs w:val="24"/>
                        </w:rPr>
                      </w:pPr>
                    </w:p>
                    <w:p>
                      <w:pPr>
                        <w:tabs>
                          <w:tab w:val="left" w:pos="1134"/>
                          <w:tab w:val="left" w:pos="9072"/>
                        </w:tabs>
                        <w:ind w:firstLine="1134"/>
                        <w:jc w:val="both"/>
                        <w:rPr>
                          <w:szCs w:val="24"/>
                        </w:rPr>
                      </w:pPr>
                      <m:oMath>
                        <m:sSub>
                          <m:sSubPr>
                            <m:ctrlPr>
                              <w:rPr>
                                <w:rFonts w:ascii="Cambria Math" w:hAnsi="Cambria Math"/>
                                <w:i/>
                                <w:szCs w:val="24"/>
                              </w:rPr>
                            </m:ctrlPr>
                          </m:sSubPr>
                          <m:e>
                            <m:r>
                              <w:rPr>
                                <w:rFonts w:ascii="Cambria Math" w:hAnsi="Cambria Math"/>
                                <w:szCs w:val="24"/>
                              </w:rPr>
                              <m:t>E</m:t>
                            </m:r>
                            <m:r>
                              <w:rPr>
                                <w:rFonts w:ascii="Cambria Math" w:hAnsi="Cambria Math"/>
                                <w:szCs w:val="24"/>
                              </w:rPr>
                              <m:t>K</m:t>
                            </m:r>
                          </m:e>
                          <m:sub>
                            <m:r>
                              <w:rPr>
                                <w:rFonts w:ascii="Cambria Math" w:hAnsi="Cambria Math"/>
                                <w:szCs w:val="24"/>
                              </w:rPr>
                              <m:t xml:space="preserve">110,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110,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110,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110, </m:t>
                            </m:r>
                            <m:r>
                              <w:rPr>
                                <w:rFonts w:ascii="Cambria Math" w:hAnsi="Cambria Math"/>
                                <w:szCs w:val="24"/>
                              </w:rPr>
                              <m:t>t</m:t>
                            </m:r>
                            <m:r>
                              <w:rPr>
                                <w:rFonts w:ascii="Cambria Math" w:hAnsi="Cambria Math"/>
                                <w:szCs w:val="24"/>
                              </w:rPr>
                              <m:t>-2</m:t>
                            </m:r>
                          </m:sub>
                        </m:sSub>
                      </m:oMath>
                      <w:r>
                        <w:rPr>
                          <w:szCs w:val="24"/>
                        </w:rPr>
                        <w:t>(19</w:t>
                      </w:r>
                      <w:r>
                        <w:rPr>
                          <w:szCs w:val="24"/>
                          <w:vertAlign w:val="superscript"/>
                        </w:rPr>
                        <w:t>1</w:t>
                      </w:r>
                      <w:r>
                        <w:rPr>
                          <w:szCs w:val="24"/>
                        </w:rPr>
                        <w:t>)</w:t>
                      </w:r>
                    </w:p>
                    <w:p>
                      <w:pPr>
                        <w:tabs>
                          <w:tab w:val="left" w:pos="1134"/>
                          <w:tab w:val="left" w:pos="9214"/>
                        </w:tabs>
                        <w:jc w:val="both"/>
                        <w:rPr>
                          <w:szCs w:val="24"/>
                        </w:rPr>
                      </w:pPr>
                    </w:p>
                    <w:p>
                      <w:pPr>
                        <w:tabs>
                          <w:tab w:val="left" w:pos="1134"/>
                          <w:tab w:val="left" w:pos="9214"/>
                        </w:tabs>
                        <w:jc w:val="both"/>
                        <w:rPr>
                          <w:i/>
                          <w:iCs/>
                          <w:szCs w:val="24"/>
                        </w:rPr>
                      </w:pPr>
                      <w:r>
                        <w:rPr>
                          <w:i/>
                          <w:iCs/>
                          <w:szCs w:val="24"/>
                        </w:rPr>
                        <w:t>čia:</w:t>
                      </w:r>
                    </w:p>
                    <w:p>
                      <w:pPr>
                        <w:tabs>
                          <w:tab w:val="left" w:pos="1134"/>
                          <w:tab w:val="left" w:pos="9214"/>
                        </w:tabs>
                        <w:jc w:val="both"/>
                        <w:rPr>
                          <w:szCs w:val="24"/>
                        </w:rPr>
                      </w:pPr>
                      <w:r>
                        <w:rPr>
                          <w:szCs w:val="24"/>
                        </w:rPr>
                        <w:t>EK</w:t>
                      </w:r>
                      <w:r>
                        <w:rPr>
                          <w:szCs w:val="24"/>
                          <w:vertAlign w:val="subscript"/>
                        </w:rPr>
                        <w:t>110, t</w:t>
                      </w:r>
                      <w:r>
                        <w:rPr>
                          <w:szCs w:val="24"/>
                        </w:rPr>
                        <w:t xml:space="preserve"> - elektros energijos kiekio poveikio koeficientas </w:t>
                      </w:r>
                      <w:r>
                        <w:rPr>
                          <w:i/>
                          <w:iCs/>
                          <w:szCs w:val="24"/>
                        </w:rPr>
                        <w:t xml:space="preserve">t </w:t>
                      </w:r>
                      <w:r>
                        <w:rPr>
                          <w:szCs w:val="24"/>
                        </w:rPr>
                        <w:t>metais;</w:t>
                      </w:r>
                    </w:p>
                    <w:p>
                      <w:pPr>
                        <w:tabs>
                          <w:tab w:val="left" w:pos="1134"/>
                          <w:tab w:val="left" w:pos="9214"/>
                        </w:tabs>
                        <w:jc w:val="both"/>
                        <w:rPr>
                          <w:szCs w:val="24"/>
                        </w:rPr>
                      </w:pPr>
                      <w:r>
                        <w:rPr>
                          <w:szCs w:val="24"/>
                        </w:rPr>
                        <w:t>EK</w:t>
                      </w:r>
                      <w:r>
                        <w:rPr>
                          <w:szCs w:val="24"/>
                          <w:vertAlign w:val="subscript"/>
                        </w:rPr>
                        <w:t>110, t-2</w:t>
                      </w:r>
                      <w:r>
                        <w:rPr>
                          <w:szCs w:val="24"/>
                        </w:rPr>
                        <w:t xml:space="preserve"> - elektros energijos kiekio poveikio koeficientas </w:t>
                      </w:r>
                      <w:r>
                        <w:rPr>
                          <w:i/>
                          <w:iCs/>
                          <w:szCs w:val="24"/>
                        </w:rPr>
                        <w:t xml:space="preserve">t-2 </w:t>
                      </w:r>
                      <w:r>
                        <w:rPr>
                          <w:szCs w:val="24"/>
                        </w:rPr>
                        <w:t>metais;</w:t>
                      </w:r>
                    </w:p>
                    <w:p>
                      <w:pPr>
                        <w:tabs>
                          <w:tab w:val="left" w:pos="1134"/>
                          <w:tab w:val="left" w:pos="9214"/>
                        </w:tabs>
                        <w:jc w:val="both"/>
                        <w:rPr>
                          <w:szCs w:val="24"/>
                        </w:rPr>
                      </w:pPr>
                      <w:r>
                        <w:rPr>
                          <w:szCs w:val="24"/>
                        </w:rPr>
                        <w:t>E</w:t>
                      </w:r>
                      <w:r>
                        <w:rPr>
                          <w:szCs w:val="24"/>
                          <w:vertAlign w:val="subscript"/>
                        </w:rPr>
                        <w:t>110, t-2</w:t>
                      </w:r>
                      <w:r>
                        <w:rPr>
                          <w:szCs w:val="24"/>
                        </w:rPr>
                        <w:t xml:space="preserve"> – faktiškai t-2 paskirstytas energijos kiekis;</w:t>
                      </w:r>
                    </w:p>
                    <w:p>
                      <w:pPr>
                        <w:tabs>
                          <w:tab w:val="left" w:pos="1134"/>
                          <w:tab w:val="left" w:pos="9214"/>
                        </w:tabs>
                        <w:jc w:val="both"/>
                        <w:rPr>
                          <w:szCs w:val="24"/>
                        </w:rPr>
                      </w:pPr>
                      <w:r>
                        <w:rPr>
                          <w:szCs w:val="24"/>
                        </w:rPr>
                        <w:t>E</w:t>
                      </w:r>
                      <w:r>
                        <w:rPr>
                          <w:szCs w:val="24"/>
                          <w:vertAlign w:val="subscript"/>
                        </w:rPr>
                        <w:t>110, t</w:t>
                      </w:r>
                      <w:r>
                        <w:rPr>
                          <w:szCs w:val="24"/>
                        </w:rPr>
                        <w:t xml:space="preserve"> – planuojamas paskirstyti energijos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d6868eb89e02429286a98729bc6c8d36"/>
                    <w:lock w:val="sdtLocked"/>
                    <w:richText/>
                  </w:sdtPr>
                  <w:sdtContent>
                    <w:p>
                      <w:pPr>
                        <w:tabs>
                          <w:tab w:val="left" w:pos="1134"/>
                        </w:tabs>
                        <w:ind w:firstLine="709"/>
                        <w:jc w:val="both"/>
                        <w:rPr>
                          <w:szCs w:val="24"/>
                        </w:rPr>
                      </w:pPr>
                      <w:sdt>
                        <w:sdtPr>
                          <w:alias w:val="Numeris"/>
                          <w:tag w:val="nr_d6868eb89e02429286a98729bc6c8d36"/>
                          <w:lock w:val="sdtLocked"/>
                          <w:richText/>
                        </w:sdtPr>
                        <w:sdtContent>
                          <w:r>
                            <w:rPr>
                              <w:szCs w:val="24"/>
                            </w:rPr>
                            <w:t>48</w:t>
                          </w:r>
                        </w:sdtContent>
                      </w:sdt>
                      <w:r>
                        <w:rPr>
                          <w:szCs w:val="24"/>
                        </w:rPr>
                        <w:t xml:space="preserve">. Perdavimo  paslaugos aukštos įtampos tinklais kainos viršutinė riba, taikant indeksavimo ir kiekio poveikio koeficientus , apskaičiuojama pagal formulę:</w:t>
                      </w:r>
                    </w:p>
                    <w:p>
                      <w:pPr>
                        <w:tabs>
                          <w:tab w:val="left" w:pos="1134"/>
                        </w:tabs>
                        <w:ind w:firstLine="709"/>
                        <w:jc w:val="both"/>
                        <w:rPr>
                          <w:szCs w:val="24"/>
                        </w:rPr>
                      </w:pPr>
                    </w:p>
                    <w:p>
                      <w:pPr>
                        <w:tabs>
                          <w:tab w:val="left" w:pos="1134"/>
                          <w:tab w:val="left" w:pos="9214"/>
                        </w:tabs>
                        <w:jc w:val="both"/>
                        <w:rPr>
                          <w:szCs w:val="24"/>
                        </w:rPr>
                      </w:pPr>
                      <w:r>
                        <w:rPr>
                          <w:i/>
                          <w:iCs/>
                          <w:szCs w:val="24"/>
                        </w:rPr>
                        <w:t>T</w:t>
                      </w:r>
                      <w:r>
                        <w:rPr>
                          <w:szCs w:val="24"/>
                          <w:vertAlign w:val="subscript"/>
                        </w:rPr>
                        <w:t xml:space="preserve">110, </w:t>
                      </w:r>
                      <w:r>
                        <w:rPr>
                          <w:i/>
                          <w:iCs/>
                          <w:szCs w:val="24"/>
                          <w:vertAlign w:val="subscript"/>
                        </w:rPr>
                        <w:t>t</w:t>
                      </w:r>
                      <w:r>
                        <w:rPr>
                          <w:szCs w:val="24"/>
                        </w:rPr>
                        <w:t>=(</w:t>
                      </w:r>
                      <w:r>
                        <w:rPr>
                          <w:i/>
                          <w:iCs/>
                          <w:szCs w:val="24"/>
                        </w:rPr>
                        <w:t>P</w:t>
                      </w:r>
                      <w:r>
                        <w:rPr>
                          <w:szCs w:val="24"/>
                          <w:vertAlign w:val="subscript"/>
                        </w:rPr>
                        <w:t xml:space="preserve">110, </w:t>
                      </w:r>
                      <w:r>
                        <w:rPr>
                          <w:i/>
                          <w:iCs/>
                          <w:szCs w:val="24"/>
                          <w:vertAlign w:val="subscript"/>
                        </w:rPr>
                        <w:t>t</w:t>
                      </w:r>
                      <w:r>
                        <w:rPr>
                          <w:i/>
                          <w:iCs/>
                          <w:szCs w:val="24"/>
                        </w:rPr>
                        <w:t>×IK</w:t>
                      </w:r>
                      <w:r>
                        <w:rPr>
                          <w:szCs w:val="24"/>
                          <w:vertAlign w:val="subscript"/>
                        </w:rPr>
                        <w:t>110,</w:t>
                      </w:r>
                      <w:r>
                        <w:rPr>
                          <w:i/>
                          <w:iCs/>
                          <w:szCs w:val="24"/>
                          <w:vertAlign w:val="subscript"/>
                        </w:rPr>
                        <w:t>t</w:t>
                      </w:r>
                      <w:r>
                        <w:rPr>
                          <w:i/>
                          <w:iCs/>
                          <w:szCs w:val="24"/>
                        </w:rPr>
                        <w:t>×EK</w:t>
                      </w:r>
                      <w:r>
                        <w:rPr>
                          <w:i/>
                          <w:iCs/>
                          <w:szCs w:val="24"/>
                          <w:vertAlign w:val="subscript"/>
                        </w:rPr>
                        <w:t>110, t</w:t>
                      </w:r>
                      <w:r>
                        <w:rPr>
                          <w:szCs w:val="24"/>
                        </w:rPr>
                        <w:t>)/</w:t>
                      </w:r>
                      <w:r>
                        <w:rPr>
                          <w:i/>
                          <w:iCs/>
                          <w:szCs w:val="24"/>
                        </w:rPr>
                        <w:t>E</w:t>
                      </w:r>
                      <w:r>
                        <w:rPr>
                          <w:szCs w:val="24"/>
                          <w:vertAlign w:val="subscript"/>
                        </w:rPr>
                        <w:t xml:space="preserve">110, </w:t>
                      </w:r>
                      <w:r>
                        <w:rPr>
                          <w:i/>
                          <w:iCs/>
                          <w:szCs w:val="24"/>
                          <w:vertAlign w:val="subscript"/>
                        </w:rPr>
                        <w:t>t</w:t>
                      </w:r>
                      <w:r>
                        <w:rPr>
                          <w:i/>
                          <w:iCs/>
                          <w:szCs w:val="24"/>
                        </w:rPr>
                        <w:tab/>
                      </w:r>
                      <w:r>
                        <w:rPr>
                          <w:szCs w:val="24"/>
                        </w:rPr>
                        <w:t>(20)</w:t>
                      </w:r>
                    </w:p>
                    <w:p>
                      <w:pPr>
                        <w:tabs>
                          <w:tab w:val="left" w:pos="1134"/>
                        </w:tabs>
                        <w:jc w:val="both"/>
                        <w:rPr>
                          <w:szCs w:val="24"/>
                        </w:rPr>
                      </w:pPr>
                    </w:p>
                    <w:p>
                      <w:pPr>
                        <w:tabs>
                          <w:tab w:val="left" w:pos="1134"/>
                        </w:tabs>
                        <w:jc w:val="both"/>
                        <w:rPr>
                          <w:i/>
                          <w:iCs/>
                          <w:szCs w:val="24"/>
                        </w:rPr>
                      </w:pPr>
                      <w:r>
                        <w:rPr>
                          <w:i/>
                          <w:iCs/>
                          <w:szCs w:val="24"/>
                        </w:rPr>
                        <w:t>čia:</w:t>
                      </w:r>
                    </w:p>
                    <w:p>
                      <w:pPr>
                        <w:tabs>
                          <w:tab w:val="left" w:pos="1134"/>
                        </w:tabs>
                        <w:jc w:val="both"/>
                        <w:rPr>
                          <w:szCs w:val="24"/>
                        </w:rPr>
                      </w:pPr>
                      <w:r>
                        <w:rPr>
                          <w:szCs w:val="24"/>
                        </w:rPr>
                        <w:t>T</w:t>
                      </w:r>
                      <w:r>
                        <w:rPr>
                          <w:szCs w:val="24"/>
                          <w:vertAlign w:val="subscript"/>
                        </w:rPr>
                        <w:t xml:space="preserve">110,t </w:t>
                      </w:r>
                      <w:r>
                        <w:rPr>
                          <w:szCs w:val="24"/>
                        </w:rPr>
                        <w:t xml:space="preserve">–  perdavimo paslaugos </w:t>
                      </w:r>
                      <w:r>
                        <w:rPr>
                          <w:i/>
                          <w:iCs/>
                          <w:szCs w:val="24"/>
                        </w:rPr>
                        <w:t xml:space="preserve">t </w:t>
                      </w:r>
                      <w:r>
                        <w:rPr>
                          <w:szCs w:val="24"/>
                        </w:rPr>
                        <w:t>metų kainos viršutinė riba, EUR/kWh;</w:t>
                      </w:r>
                    </w:p>
                    <w:p>
                      <w:pPr>
                        <w:tabs>
                          <w:tab w:val="left" w:pos="1134"/>
                        </w:tabs>
                        <w:jc w:val="both"/>
                        <w:rPr>
                          <w:szCs w:val="24"/>
                        </w:rPr>
                      </w:pPr>
                      <w:r>
                        <w:rPr>
                          <w:szCs w:val="24"/>
                        </w:rPr>
                        <w:t>P</w:t>
                      </w:r>
                      <w:r>
                        <w:rPr>
                          <w:szCs w:val="24"/>
                          <w:vertAlign w:val="subscript"/>
                        </w:rPr>
                        <w:t xml:space="preserve">110,t </w:t>
                      </w:r>
                      <w:r>
                        <w:rPr>
                          <w:szCs w:val="24"/>
                        </w:rPr>
                        <w:t xml:space="preserve">– galutinės </w:t>
                      </w:r>
                      <w:r>
                        <w:rPr>
                          <w:i/>
                          <w:iCs/>
                          <w:szCs w:val="24"/>
                        </w:rPr>
                        <w:t xml:space="preserve">t </w:t>
                      </w:r>
                      <w:r>
                        <w:rPr>
                          <w:szCs w:val="24"/>
                        </w:rPr>
                        <w:t>metų PSO leidžiamos pajamos, EUR;</w:t>
                      </w:r>
                    </w:p>
                    <w:p>
                      <w:pPr>
                        <w:tabs>
                          <w:tab w:val="left" w:pos="1134"/>
                        </w:tabs>
                        <w:jc w:val="both"/>
                        <w:rPr>
                          <w:szCs w:val="24"/>
                        </w:rPr>
                      </w:pPr>
                      <w:r>
                        <w:rPr>
                          <w:szCs w:val="24"/>
                        </w:rPr>
                        <w:t>IK</w:t>
                      </w:r>
                      <w:r>
                        <w:rPr>
                          <w:szCs w:val="24"/>
                          <w:vertAlign w:val="subscript"/>
                        </w:rPr>
                        <w:t xml:space="preserve">110,t </w:t>
                      </w:r>
                      <w:r>
                        <w:rPr>
                          <w:szCs w:val="24"/>
                        </w:rPr>
                        <w:t xml:space="preserve">– </w:t>
                      </w:r>
                      <w:r>
                        <w:rPr>
                          <w:i/>
                          <w:iCs/>
                          <w:szCs w:val="24"/>
                        </w:rPr>
                        <w:t xml:space="preserve">t </w:t>
                      </w:r>
                      <w:r>
                        <w:rPr>
                          <w:szCs w:val="24"/>
                        </w:rPr>
                        <w:t>metų indeksavimo koeficientas;</w:t>
                      </w:r>
                    </w:p>
                    <w:p>
                      <w:pPr>
                        <w:tabs>
                          <w:tab w:val="left" w:pos="1134"/>
                        </w:tabs>
                        <w:jc w:val="both"/>
                        <w:rPr>
                          <w:szCs w:val="24"/>
                        </w:rPr>
                      </w:pPr>
                      <w:r>
                        <w:rPr>
                          <w:szCs w:val="24"/>
                        </w:rPr>
                        <w:t>EK</w:t>
                      </w:r>
                      <w:r>
                        <w:rPr>
                          <w:szCs w:val="24"/>
                          <w:vertAlign w:val="subscript"/>
                        </w:rPr>
                        <w:t>110, t</w:t>
                      </w:r>
                      <w:r>
                        <w:rPr>
                          <w:szCs w:val="24"/>
                        </w:rPr>
                        <w:t xml:space="preserve"> – </w:t>
                      </w:r>
                      <w:r>
                        <w:rPr>
                          <w:i/>
                          <w:szCs w:val="24"/>
                        </w:rPr>
                        <w:t>t</w:t>
                      </w:r>
                      <w:r>
                        <w:rPr>
                          <w:szCs w:val="24"/>
                        </w:rPr>
                        <w:t xml:space="preserve"> metų kiekio poveikio koeficientas;</w:t>
                      </w:r>
                    </w:p>
                    <w:p>
                      <w:pPr>
                        <w:tabs>
                          <w:tab w:val="left" w:pos="1134"/>
                        </w:tabs>
                        <w:jc w:val="both"/>
                        <w:rPr>
                          <w:szCs w:val="24"/>
                        </w:rPr>
                      </w:pPr>
                      <w:r>
                        <w:rPr>
                          <w:szCs w:val="24"/>
                        </w:rPr>
                        <w:t>E</w:t>
                      </w:r>
                      <w:r>
                        <w:rPr>
                          <w:szCs w:val="24"/>
                          <w:vertAlign w:val="subscript"/>
                        </w:rPr>
                        <w:t xml:space="preserve">110,t </w:t>
                      </w:r>
                      <w:r>
                        <w:rPr>
                          <w:szCs w:val="24"/>
                        </w:rPr>
                        <w:t xml:space="preserve">– planuojamas </w:t>
                      </w:r>
                      <w:r>
                        <w:rPr>
                          <w:i/>
                          <w:iCs/>
                          <w:szCs w:val="24"/>
                        </w:rPr>
                        <w:t xml:space="preserve">t </w:t>
                      </w:r>
                      <w:r>
                        <w:rPr>
                          <w:szCs w:val="24"/>
                        </w:rPr>
                        <w:t>metais perduoti elektros energijos kiekis šalies poreikiams,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6a28f2f4de394eec9abe1d74be652740"/>
                    <w:lock w:val="sdtLocked"/>
                    <w:richText/>
                  </w:sdtPr>
                  <w:sdtContent>
                    <w:p>
                      <w:pPr>
                        <w:tabs>
                          <w:tab w:val="left" w:pos="1080"/>
                          <w:tab w:val="left" w:pos="1843"/>
                          <w:tab w:val="left" w:pos="2268"/>
                        </w:tabs>
                        <w:ind w:firstLine="720"/>
                        <w:jc w:val="both"/>
                        <w:rPr>
                          <w:szCs w:val="24"/>
                        </w:rPr>
                      </w:pPr>
                      <w:sdt>
                        <w:sdtPr>
                          <w:alias w:val="Numeris"/>
                          <w:tag w:val="nr_6a28f2f4de394eec9abe1d74be652740"/>
                          <w:lock w:val="sdtLocked"/>
                          <w:richText/>
                        </w:sdtPr>
                        <w:sdtContent>
                          <w:r>
                            <w:rPr>
                              <w:szCs w:val="24"/>
                            </w:rPr>
                            <w:t>49</w:t>
                          </w:r>
                        </w:sdtContent>
                      </w:sdt>
                      <w:r>
                        <w:rPr>
                          <w:szCs w:val="24"/>
                        </w:rPr>
                        <w:t xml:space="preserve">. Korekcijos koeficientas naudojamas </w:t>
                      </w:r>
                      <w:r>
                        <w:rPr>
                          <w:i/>
                          <w:szCs w:val="24"/>
                        </w:rPr>
                        <w:t>t</w:t>
                      </w:r>
                      <w:r>
                        <w:rPr>
                          <w:szCs w:val="24"/>
                        </w:rPr>
                        <w:t xml:space="preserve"> metų perdavimo paslaugos kainos viršutinei ribai koreguoti dėl faktiškai </w:t>
                      </w:r>
                      <w:r>
                        <w:rPr>
                          <w:i/>
                          <w:szCs w:val="24"/>
                        </w:rPr>
                        <w:t>t-2</w:t>
                      </w:r>
                      <w:r>
                        <w:rPr>
                          <w:szCs w:val="24"/>
                        </w:rPr>
                        <w:t xml:space="preserve"> metais PSO gautų pajamų ir planuotų PSO leidžiamų pajamų </w:t>
                        <w:br/>
                      </w:r>
                      <w:r>
                        <w:rPr>
                          <w:i/>
                          <w:szCs w:val="24"/>
                        </w:rPr>
                        <w:t>t-2</w:t>
                      </w:r>
                      <w:r>
                        <w:rPr>
                          <w:szCs w:val="24"/>
                        </w:rPr>
                        <w:t xml:space="preserve"> metais neatitikties už perdavimo paslaugą šalies poreikiams (susidaręs pajamų skirtumas dėl konkrečių kainų viršutinių ribų diferencijavimo ir (arba) prognozuoto perduoti bei faktiškai perduoto kiekio skirtumo).</w:t>
                      </w:r>
                    </w:p>
                  </w:sdtContent>
                </w:sdt>
                <w:sdt>
                  <w:sdtPr>
                    <w:alias w:val="50 p."/>
                    <w:tag w:val="part_012e8550d7fd49d8bacaeba87b353285"/>
                    <w:lock w:val="sdtLocked"/>
                    <w:richText/>
                  </w:sdtPr>
                  <w:sdtContent>
                    <w:p>
                      <w:pPr>
                        <w:tabs>
                          <w:tab w:val="left" w:pos="1080"/>
                          <w:tab w:val="left" w:pos="1843"/>
                          <w:tab w:val="left" w:pos="2268"/>
                        </w:tabs>
                        <w:ind w:firstLine="720"/>
                        <w:jc w:val="both"/>
                        <w:rPr>
                          <w:szCs w:val="24"/>
                        </w:rPr>
                      </w:pPr>
                      <w:sdt>
                        <w:sdtPr>
                          <w:alias w:val="Numeris"/>
                          <w:tag w:val="nr_012e8550d7fd49d8bacaeba87b353285"/>
                          <w:lock w:val="sdtLocked"/>
                          <w:richText/>
                        </w:sdtPr>
                        <w:sdtContent>
                          <w:r>
                            <w:rPr>
                              <w:szCs w:val="24"/>
                            </w:rPr>
                            <w:t>50</w:t>
                          </w:r>
                        </w:sdtContent>
                      </w:sdt>
                      <w:r>
                        <w:rPr>
                          <w:szCs w:val="24"/>
                        </w:rPr>
                        <w:t>. Korekcijos koeficientas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110,</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oMath>
                      <w:r>
                        <w:tab/>
                      </w:r>
                      <w:r>
                        <w:rPr>
                          <w:szCs w:val="24"/>
                        </w:rPr>
                        <w:t>(21)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110,t</w:t>
                      </w:r>
                      <w:r>
                        <w:rPr>
                          <w:szCs w:val="24"/>
                        </w:rPr>
                        <w:t xml:space="preserve"> – </w:t>
                      </w:r>
                      <w:r>
                        <w:rPr>
                          <w:i/>
                          <w:szCs w:val="24"/>
                        </w:rPr>
                        <w:t>t</w:t>
                      </w:r>
                      <w:r>
                        <w:rPr>
                          <w:szCs w:val="24"/>
                        </w:rPr>
                        <w:t xml:space="preserve"> metų korekcijos koeficientas perdavimo paslaugos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110,t-2</w:t>
                      </w:r>
                      <w:r>
                        <w:rPr>
                          <w:szCs w:val="24"/>
                        </w:rPr>
                        <w:t xml:space="preserve"> – faktinės PSO pajamos iš perdavimo paslaugos </w:t>
                      </w:r>
                      <w:r>
                        <w:rPr>
                          <w:i/>
                          <w:szCs w:val="24"/>
                        </w:rPr>
                        <w:t>t-2</w:t>
                      </w:r>
                      <w:r>
                        <w:rPr>
                          <w:szCs w:val="24"/>
                        </w:rPr>
                        <w:t xml:space="preserve"> metais, EUR;</w:t>
                      </w:r>
                    </w:p>
                    <w:p>
                      <w:pPr>
                        <w:tabs>
                          <w:tab w:val="left" w:pos="1134"/>
                          <w:tab w:val="left" w:pos="1843"/>
                          <w:tab w:val="left" w:pos="2268"/>
                        </w:tabs>
                        <w:jc w:val="both"/>
                        <w:rPr>
                          <w:szCs w:val="24"/>
                        </w:rPr>
                      </w:pPr>
                      <w:r>
                        <w:rPr>
                          <w:szCs w:val="24"/>
                        </w:rPr>
                        <w:t>T’</w:t>
                      </w:r>
                      <w:r>
                        <w:rPr>
                          <w:szCs w:val="24"/>
                          <w:vertAlign w:val="subscript"/>
                        </w:rPr>
                        <w:t xml:space="preserve">110,t-2 </w:t>
                      </w:r>
                      <w:r>
                        <w:rPr>
                          <w:szCs w:val="24"/>
                        </w:rPr>
                        <w:t xml:space="preserve">– perdavimo paslaugos AĮ tinklais kainos viršutinė riba </w:t>
                      </w:r>
                      <w:r>
                        <w:rPr>
                          <w:i/>
                          <w:szCs w:val="24"/>
                        </w:rPr>
                        <w:t>t-2</w:t>
                      </w:r>
                      <w:r>
                        <w:rPr>
                          <w:szCs w:val="24"/>
                        </w:rPr>
                        <w:t>, EUR/kWh;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 xml:space="preserve">110,t-2 </w:t>
                      </w:r>
                      <w:r>
                        <w:rPr>
                          <w:szCs w:val="24"/>
                        </w:rPr>
                        <w:t xml:space="preserve">– faktinis PSO </w:t>
                      </w:r>
                      <w:r>
                        <w:rPr>
                          <w:i/>
                          <w:szCs w:val="24"/>
                        </w:rPr>
                        <w:t>t-2</w:t>
                      </w:r>
                      <w:r>
                        <w:rPr>
                          <w:szCs w:val="24"/>
                        </w:rPr>
                        <w:t xml:space="preserve"> metais perduotos elektros energijos kiekis šalies poreikiams, kWh;</w:t>
                      </w:r>
                    </w:p>
                    <w:p>
                      <w:pPr>
                        <w:tabs>
                          <w:tab w:val="left" w:pos="1134"/>
                          <w:tab w:val="left" w:pos="1843"/>
                          <w:tab w:val="left" w:pos="2268"/>
                        </w:tabs>
                        <w:jc w:val="both"/>
                        <w:rPr>
                          <w:szCs w:val="24"/>
                        </w:rPr>
                      </w:pPr>
                      <w:r>
                        <w:rPr>
                          <w:szCs w:val="24"/>
                        </w:rPr>
                        <w:t>E</w:t>
                      </w:r>
                      <w:r>
                        <w:rPr>
                          <w:szCs w:val="24"/>
                          <w:vertAlign w:val="subscript"/>
                        </w:rPr>
                        <w:t>110,t</w:t>
                      </w:r>
                      <w:r>
                        <w:rPr>
                          <w:szCs w:val="24"/>
                        </w:rPr>
                        <w:t xml:space="preserve"> – planuojamas PSO </w:t>
                      </w:r>
                      <w:r>
                        <w:rPr>
                          <w:i/>
                          <w:szCs w:val="24"/>
                        </w:rPr>
                        <w:t>t</w:t>
                      </w:r>
                      <w:r>
                        <w:rPr>
                          <w:szCs w:val="24"/>
                        </w:rPr>
                        <w:t xml:space="preserve"> metais perduoti elektros energijos kiekis, kWh.</w:t>
                      </w:r>
                    </w:p>
                  </w:sdtContent>
                </w:sdt>
                <w:sdt>
                  <w:sdtPr>
                    <w:alias w:val="51 p."/>
                    <w:tag w:val="part_b0c6155da237432eaa82c076dc8ccc21"/>
                    <w:lock w:val="sdtLocked"/>
                    <w:richText/>
                  </w:sdtPr>
                  <w:sdtContent>
                    <w:p>
                      <w:pPr>
                        <w:tabs>
                          <w:tab w:val="left" w:pos="1080"/>
                          <w:tab w:val="left" w:pos="1843"/>
                          <w:tab w:val="left" w:pos="2268"/>
                        </w:tabs>
                        <w:ind w:firstLine="720"/>
                        <w:jc w:val="both"/>
                        <w:rPr>
                          <w:szCs w:val="24"/>
                        </w:rPr>
                      </w:pPr>
                      <w:sdt>
                        <w:sdtPr>
                          <w:alias w:val="Numeris"/>
                          <w:tag w:val="nr_b0c6155da237432eaa82c076dc8ccc21"/>
                          <w:lock w:val="sdtLocked"/>
                          <w:richText/>
                        </w:sdtPr>
                        <w:sdtContent>
                          <w:r>
                            <w:rPr>
                              <w:szCs w:val="24"/>
                            </w:rPr>
                            <w:t>51</w:t>
                          </w:r>
                        </w:sdtContent>
                      </w:sdt>
                      <w:r>
                        <w:rPr>
                          <w:szCs w:val="24"/>
                        </w:rPr>
                        <w:t xml:space="preserve">. Perdavimo paslaugos kainos viršutinė riba </w:t>
                      </w:r>
                      <w:r>
                        <w:rPr>
                          <w:i/>
                          <w:szCs w:val="24"/>
                        </w:rPr>
                        <w:t>t</w:t>
                      </w:r>
                      <w:r>
                        <w:rPr>
                          <w:szCs w:val="24"/>
                        </w:rPr>
                        <w:t xml:space="preserve"> metais apskaičiuojama atimant kainos viršutinės ribos korekcijos koeficientą iš </w:t>
                      </w:r>
                      <w:r>
                        <w:rPr>
                          <w:i/>
                          <w:szCs w:val="24"/>
                        </w:rPr>
                        <w:t>t</w:t>
                      </w:r>
                      <w:r>
                        <w:rPr>
                          <w:szCs w:val="24"/>
                        </w:rPr>
                        <w:t xml:space="preserve"> metų indeksuotos elektros energijos perdavimo paslaugos kainos viršutinės ribos pagal formulę:</w:t>
                      </w:r>
                    </w:p>
                    <w:p>
                      <w:pPr>
                        <w:tabs>
                          <w:tab w:val="left" w:pos="993"/>
                          <w:tab w:val="left" w:pos="1843"/>
                          <w:tab w:val="left" w:pos="2268"/>
                        </w:tabs>
                        <w:jc w:val="both"/>
                        <w:rPr>
                          <w:szCs w:val="24"/>
                        </w:rPr>
                      </w:pPr>
                    </w:p>
                    <w:p>
                      <w:pPr>
                        <w:tabs>
                          <w:tab w:val="left" w:pos="9214"/>
                        </w:tabs>
                        <w:ind w:firstLine="9214"/>
                        <w:jc w:val="both"/>
                        <w:rPr>
                          <w:szCs w:val="24"/>
                        </w:rPr>
                      </w:pPr>
                      <w:r>
                        <w:t xml:space="preserve"> </w:t>
                      </w: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oMath>
                      <w:r>
                        <w:tab/>
                      </w:r>
                      <w:r>
                        <w:rPr>
                          <w:szCs w:val="24"/>
                        </w:rPr>
                        <w:t>(22)</w:t>
                      </w:r>
                    </w:p>
                    <w:p>
                      <w:pPr>
                        <w:tabs>
                          <w:tab w:val="left" w:pos="9214"/>
                        </w:tabs>
                        <w:jc w:val="both"/>
                        <w:rPr>
                          <w:szCs w:val="24"/>
                        </w:rPr>
                      </w:pP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perdavimo paslaugos kainos viršutinė riba,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indeksuota </w:t>
                      </w:r>
                      <w:r>
                        <w:rPr>
                          <w:i/>
                          <w:szCs w:val="24"/>
                        </w:rPr>
                        <w:t>t</w:t>
                      </w:r>
                      <w:r>
                        <w:rPr>
                          <w:szCs w:val="24"/>
                        </w:rPr>
                        <w:t xml:space="preserve"> metų perdavimo paslaugos kainos viršutinė riba, EUR/kWh;</w:t>
                      </w:r>
                    </w:p>
                    <w:p>
                      <w:pPr>
                        <w:tabs>
                          <w:tab w:val="left" w:pos="1134"/>
                          <w:tab w:val="left" w:pos="1843"/>
                          <w:tab w:val="left" w:pos="2268"/>
                        </w:tabs>
                        <w:jc w:val="both"/>
                        <w:rPr>
                          <w:szCs w:val="24"/>
                        </w:rPr>
                      </w:pPr>
                      <w:r>
                        <w:rPr>
                          <w:szCs w:val="24"/>
                        </w:rPr>
                        <w:t>K</w:t>
                      </w:r>
                      <w:r>
                        <w:rPr>
                          <w:szCs w:val="24"/>
                          <w:vertAlign w:val="subscript"/>
                        </w:rPr>
                        <w:t>110,t</w:t>
                      </w:r>
                      <w:r>
                        <w:rPr>
                          <w:szCs w:val="24"/>
                        </w:rPr>
                        <w:t xml:space="preserve"> – </w:t>
                      </w:r>
                      <w:r>
                        <w:rPr>
                          <w:i/>
                          <w:szCs w:val="24"/>
                        </w:rPr>
                        <w:t>t</w:t>
                      </w:r>
                      <w:r>
                        <w:rPr>
                          <w:szCs w:val="24"/>
                        </w:rPr>
                        <w:t xml:space="preserve"> metų korekcijos koeficientas, EUR/kWh.</w:t>
                      </w:r>
                    </w:p>
                  </w:sdtContent>
                </w:sdt>
                <w:sdt>
                  <w:sdtPr>
                    <w:alias w:val="52 p."/>
                    <w:tag w:val="part_cf612d596dfe49708bffc971bd113147"/>
                    <w:lock w:val="sdtLocked"/>
                    <w:richText/>
                  </w:sdtPr>
                  <w:sdtContent>
                    <w:p>
                      <w:pPr>
                        <w:tabs>
                          <w:tab w:val="left" w:pos="1134"/>
                        </w:tabs>
                        <w:ind w:firstLine="709"/>
                        <w:jc w:val="both"/>
                        <w:rPr>
                          <w:szCs w:val="24"/>
                        </w:rPr>
                      </w:pPr>
                      <w:sdt>
                        <w:sdtPr>
                          <w:alias w:val="Numeris"/>
                          <w:tag w:val="nr_cf612d596dfe49708bffc971bd113147"/>
                          <w:lock w:val="sdtLocked"/>
                          <w:richText/>
                        </w:sdtPr>
                        <w:sdtContent>
                          <w:r>
                            <w:rPr>
                              <w:szCs w:val="24"/>
                            </w:rPr>
                            <w:t>52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c014890aac994b7e884545bdaf699bb1"/>
                    <w:lock w:val="sdtLocked"/>
                    <w:richText/>
                  </w:sdtPr>
                  <w:sdtContent>
                    <w:p>
                      <w:pPr>
                        <w:tabs>
                          <w:tab w:val="left" w:pos="1080"/>
                          <w:tab w:val="left" w:pos="1843"/>
                          <w:tab w:val="left" w:pos="2268"/>
                        </w:tabs>
                        <w:ind w:firstLine="720"/>
                        <w:jc w:val="both"/>
                        <w:rPr>
                          <w:szCs w:val="24"/>
                        </w:rPr>
                      </w:pPr>
                      <w:sdt>
                        <w:sdtPr>
                          <w:alias w:val="Numeris"/>
                          <w:tag w:val="nr_c014890aac994b7e884545bdaf699bb1"/>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m:t>
                            </m:r>
                            <m:r>
                              <w:rPr>
                                <w:rFonts w:ascii="Cambria Math" w:hAnsi="Cambria Math"/>
                              </w:rPr>
                              <m:t>arba</m:t>
                            </m:r>
                            <m:r>
                              <w:rPr>
                                <w:rFonts w:ascii="Cambria Math" w:hAnsi="Cambria Math"/>
                              </w:rPr>
                              <m:t xml:space="preserve">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9632aa0477b644e1bc651cb3b93c3312"/>
                        <w:lock w:val="sdtLocked"/>
                        <w:richText/>
                      </w:sdtPr>
                      <w:sdtContent>
                        <w:p>
                          <w:pPr>
                            <w:tabs>
                              <w:tab w:val="left" w:pos="1260"/>
                              <w:tab w:val="left" w:pos="1843"/>
                              <w:tab w:val="left" w:pos="2268"/>
                            </w:tabs>
                            <w:ind w:firstLine="720"/>
                            <w:jc w:val="both"/>
                            <w:rPr>
                              <w:szCs w:val="24"/>
                            </w:rPr>
                          </w:pPr>
                          <w:sdt>
                            <w:sdtPr>
                              <w:alias w:val="Numeris"/>
                              <w:tag w:val="nr_9632aa0477b644e1bc651cb3b93c3312"/>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m:t>
                                </m:r>
                                <m:r>
                                  <w:rPr>
                                    <w:rFonts w:ascii="Cambria Math" w:hAnsi="Cambria Math"/>
                                  </w:rPr>
                                  <m:t>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2b3e8a0bd5554d869bcfc66ee0b98a65"/>
                        <w:lock w:val="sdtLocked"/>
                        <w:richText/>
                      </w:sdtPr>
                      <w:sdtContent>
                        <w:p>
                          <w:pPr>
                            <w:tabs>
                              <w:tab w:val="left" w:pos="1260"/>
                              <w:tab w:val="left" w:pos="1843"/>
                              <w:tab w:val="left" w:pos="2268"/>
                            </w:tabs>
                            <w:ind w:firstLine="720"/>
                            <w:jc w:val="both"/>
                            <w:rPr>
                              <w:szCs w:val="24"/>
                            </w:rPr>
                          </w:pPr>
                          <w:sdt>
                            <w:sdtPr>
                              <w:alias w:val="Numeris"/>
                              <w:tag w:val="nr_2b3e8a0bd5554d869bcfc66ee0b98a65"/>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52eb984914f6496aae5042954da44613"/>
                        <w:lock w:val="sdtLocked"/>
                        <w:richText/>
                      </w:sdtPr>
                      <w:sdtContent>
                        <w:p>
                          <w:pPr>
                            <w:tabs>
                              <w:tab w:val="left" w:pos="1260"/>
                              <w:tab w:val="left" w:pos="1843"/>
                              <w:tab w:val="left" w:pos="2268"/>
                            </w:tabs>
                            <w:ind w:firstLine="720"/>
                            <w:jc w:val="both"/>
                            <w:rPr>
                              <w:szCs w:val="24"/>
                            </w:rPr>
                          </w:pPr>
                          <w:sdt>
                            <w:sdtPr>
                              <w:alias w:val="Numeris"/>
                              <w:tag w:val="nr_52eb984914f6496aae5042954da44613"/>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cbea917812e54541ac51730e599c17ed"/>
                        <w:lock w:val="sdtLocked"/>
                        <w:richText/>
                      </w:sdtPr>
                      <w:sdtContent>
                        <w:p>
                          <w:pPr>
                            <w:tabs>
                              <w:tab w:val="left" w:pos="1260"/>
                              <w:tab w:val="left" w:pos="1843"/>
                              <w:tab w:val="left" w:pos="2268"/>
                            </w:tabs>
                            <w:ind w:firstLine="720"/>
                            <w:jc w:val="both"/>
                            <w:rPr>
                              <w:szCs w:val="24"/>
                            </w:rPr>
                          </w:pPr>
                          <w:sdt>
                            <w:sdtPr>
                              <w:alias w:val="Numeris"/>
                              <w:tag w:val="nr_cbea917812e54541ac51730e599c17ed"/>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ab45783f3cc8426e827e825fcd95fa73"/>
                        <w:lock w:val="sdtLocked"/>
                        <w:richText/>
                      </w:sdtPr>
                      <w:sdtContent>
                        <w:p>
                          <w:pPr>
                            <w:tabs>
                              <w:tab w:val="left" w:pos="1276"/>
                              <w:tab w:val="left" w:pos="1843"/>
                              <w:tab w:val="left" w:pos="2268"/>
                            </w:tabs>
                            <w:ind w:firstLine="709"/>
                            <w:jc w:val="both"/>
                            <w:rPr>
                              <w:szCs w:val="24"/>
                            </w:rPr>
                          </w:pPr>
                          <w:sdt>
                            <w:sdtPr>
                              <w:alias w:val="Numeris"/>
                              <w:tag w:val="nr_ab45783f3cc8426e827e825fcd95fa73"/>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521d6eec77894cb78b73d1f1299354f6"/>
                        <w:lock w:val="sdtLocked"/>
                        <w:richText/>
                      </w:sdtPr>
                      <w:sdtContent>
                        <w:p>
                          <w:pPr>
                            <w:tabs>
                              <w:tab w:val="left" w:pos="1134"/>
                              <w:tab w:val="left" w:pos="1276"/>
                              <w:tab w:val="left" w:pos="9214"/>
                            </w:tabs>
                            <w:ind w:firstLine="709"/>
                            <w:jc w:val="both"/>
                            <w:rPr>
                              <w:szCs w:val="24"/>
                            </w:rPr>
                          </w:pPr>
                          <w:sdt>
                            <w:sdtPr>
                              <w:alias w:val="Numeris"/>
                              <w:tag w:val="nr_521d6eec77894cb78b73d1f1299354f6"/>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78cfeb53fc394d67932a27ae410388ce"/>
                        <w:lock w:val="sdtLocked"/>
                        <w:richText/>
                      </w:sdtPr>
                      <w:sdtContent>
                        <w:p>
                          <w:pPr>
                            <w:tabs>
                              <w:tab w:val="left" w:pos="1276"/>
                              <w:tab w:val="left" w:pos="1843"/>
                              <w:tab w:val="left" w:pos="2268"/>
                            </w:tabs>
                            <w:ind w:firstLine="709"/>
                            <w:jc w:val="both"/>
                            <w:rPr>
                              <w:szCs w:val="24"/>
                            </w:rPr>
                          </w:pPr>
                          <w:sdt>
                            <w:sdtPr>
                              <w:alias w:val="Numeris"/>
                              <w:tag w:val="nr_78cfeb53fc394d67932a27ae410388ce"/>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2e2832dab3384b4f93f7b60fb8edb538"/>
                        <w:lock w:val="sdtLocked"/>
                        <w:richText/>
                      </w:sdtPr>
                      <w:sdtContent>
                        <w:p>
                          <w:pPr>
                            <w:tabs>
                              <w:tab w:val="left" w:pos="1276"/>
                              <w:tab w:val="left" w:pos="1843"/>
                              <w:tab w:val="left" w:pos="2268"/>
                            </w:tabs>
                            <w:ind w:firstLine="709"/>
                            <w:contextualSpacing/>
                            <w:jc w:val="both"/>
                            <w:rPr>
                              <w:szCs w:val="24"/>
                            </w:rPr>
                          </w:pPr>
                          <w:sdt>
                            <w:sdtPr>
                              <w:alias w:val="Numeris"/>
                              <w:tag w:val="nr_2e2832dab3384b4f93f7b60fb8edb538"/>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49c96bcf2a4b46d79f03b1946f0590e0"/>
                    <w:lock w:val="sdtLocked"/>
                    <w:richText/>
                  </w:sdtPr>
                  <w:sdtContent>
                    <w:p>
                      <w:pPr>
                        <w:tabs>
                          <w:tab w:val="left" w:pos="1134"/>
                          <w:tab w:val="left" w:pos="1843"/>
                          <w:tab w:val="left" w:pos="2268"/>
                        </w:tabs>
                        <w:ind w:firstLine="709"/>
                        <w:jc w:val="both"/>
                        <w:rPr>
                          <w:szCs w:val="24"/>
                        </w:rPr>
                      </w:pPr>
                      <w:sdt>
                        <w:sdtPr>
                          <w:alias w:val="Numeris"/>
                          <w:tag w:val="nr_49c96bcf2a4b46d79f03b1946f0590e0"/>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1bc410e37124418494f3dbda37540edf"/>
                    <w:lock w:val="sdtLocked"/>
                    <w:richText/>
                  </w:sdtPr>
                  <w:sdtContent>
                    <w:p>
                      <w:pPr>
                        <w:tabs>
                          <w:tab w:val="left" w:pos="1134"/>
                          <w:tab w:val="left" w:pos="1843"/>
                          <w:tab w:val="left" w:pos="2268"/>
                        </w:tabs>
                        <w:ind w:firstLine="709"/>
                        <w:jc w:val="both"/>
                        <w:rPr>
                          <w:szCs w:val="24"/>
                        </w:rPr>
                      </w:pPr>
                      <w:sdt>
                        <w:sdtPr>
                          <w:alias w:val="Numeris"/>
                          <w:tag w:val="nr_1bc410e37124418494f3dbda37540edf"/>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abd72c4291cc4ddc8a311bcb840bfb98"/>
                    <w:lock w:val="sdtLocked"/>
                    <w:richText/>
                  </w:sdtPr>
                  <w:sdtContent>
                    <w:p>
                      <w:pPr>
                        <w:tabs>
                          <w:tab w:val="left" w:pos="1134"/>
                          <w:tab w:val="left" w:pos="1843"/>
                          <w:tab w:val="left" w:pos="2268"/>
                        </w:tabs>
                        <w:ind w:firstLine="709"/>
                        <w:jc w:val="both"/>
                        <w:rPr>
                          <w:szCs w:val="24"/>
                        </w:rPr>
                      </w:pPr>
                      <w:sdt>
                        <w:sdtPr>
                          <w:alias w:val="Numeris"/>
                          <w:tag w:val="nr_abd72c4291cc4ddc8a311bcb840bfb98"/>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fa095134e27c44188299149ac1f2669d"/>
                    <w:lock w:val="sdtLocked"/>
                    <w:richText/>
                  </w:sdtPr>
                  <w:sdtContent>
                    <w:p>
                      <w:pPr>
                        <w:tabs>
                          <w:tab w:val="left" w:pos="1134"/>
                          <w:tab w:val="left" w:pos="1843"/>
                          <w:tab w:val="left" w:pos="2268"/>
                        </w:tabs>
                        <w:ind w:firstLine="709"/>
                        <w:jc w:val="both"/>
                        <w:rPr>
                          <w:szCs w:val="24"/>
                        </w:rPr>
                      </w:pPr>
                      <w:sdt>
                        <w:sdtPr>
                          <w:alias w:val="Numeris"/>
                          <w:tag w:val="nr_fa095134e27c44188299149ac1f2669d"/>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850af818f2294ccea1581c4ec8e91044"/>
                <w:lock w:val="sdtLocked"/>
                <w:richText/>
              </w:sdtPr>
              <w:sdtContent>
                <w:p>
                  <w:pPr>
                    <w:tabs>
                      <w:tab w:val="left" w:pos="1134"/>
                      <w:tab w:val="left" w:pos="1843"/>
                      <w:tab w:val="left" w:pos="2268"/>
                    </w:tabs>
                    <w:jc w:val="center"/>
                    <w:rPr>
                      <w:b/>
                      <w:szCs w:val="24"/>
                    </w:rPr>
                  </w:pPr>
                  <w:sdt>
                    <w:sdtPr>
                      <w:alias w:val="Numeris"/>
                      <w:tag w:val="nr_850af818f2294ccea1581c4ec8e91044"/>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850af818f2294ccea1581c4ec8e91044"/>
                      <w:lock w:val="sdtLocked"/>
                      <w:richText/>
                    </w:sdtPr>
                    <w:sdtContent>
                      <w:r>
                        <w:rPr>
                          <w:b/>
                          <w:szCs w:val="24"/>
                        </w:rPr>
                        <w:t>SKIRSTYMO ŽEMOS IR VIDUTINĖS ĮTAMPOS TINKLAIS PASLAUGOS KAINOS VIRŠUTINĖS RIBOS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72 p."/>
                    <w:tag w:val="part_65c1a705b77a47f18efa82636173a9fb"/>
                    <w:lock w:val="sdtLocked"/>
                    <w:richText/>
                  </w:sdtPr>
                  <w:sdtContent>
                    <w:p>
                      <w:pPr>
                        <w:tabs>
                          <w:tab w:val="left" w:pos="1134"/>
                        </w:tabs>
                        <w:ind w:firstLine="709"/>
                        <w:jc w:val="both"/>
                        <w:rPr>
                          <w:szCs w:val="24"/>
                        </w:rPr>
                      </w:pPr>
                      <w:sdt>
                        <w:sdtPr>
                          <w:alias w:val="Numeris"/>
                          <w:tag w:val="nr_65c1a705b77a47f18efa82636173a9fb"/>
                          <w:lock w:val="sdtLocked"/>
                          <w:richText/>
                        </w:sdtPr>
                        <w:sdtContent>
                          <w:r>
                            <w:rPr>
                              <w:szCs w:val="24"/>
                            </w:rPr>
                            <w:t>72</w:t>
                          </w:r>
                        </w:sdtContent>
                      </w:sdt>
                      <w:r>
                        <w:rPr>
                          <w:szCs w:val="24"/>
                        </w:rPr>
                        <w:t xml:space="preserve">. Elektros energijos skirstymo paslaugos žemos įtampos ir vidutinės įtampos tinklais kainos viršutinė riba visam reguliavimo periodui apskaičiuojama galutines pirmiesiems reguliavimo periodo metams STO žemos įtampos ir vidutinės įtampos  tinkluose leidžiamas pajamas padalijus išplanuojamo paskirstyti atitinkamos įtampos tinklais elektros energijos kiekio. Paslaugų kainos  viršutinė riba per reguliavimo periodą koreguojama indeksacijos, kiekio poveikio ir korekcijos koeficientais bei Metodikos 33 punkte nurodytomis korekcijomis.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3 p."/>
                    <w:tag w:val="part_1a8ccd3d4c314c0e8fc9665b2338dcc2"/>
                    <w:lock w:val="sdtLocked"/>
                    <w:richText/>
                  </w:sdtPr>
                  <w:sdtContent>
                    <w:p>
                      <w:pPr>
                        <w:tabs>
                          <w:tab w:val="left" w:pos="1134"/>
                        </w:tabs>
                        <w:ind w:firstLine="709"/>
                        <w:jc w:val="both"/>
                        <w:rPr>
                          <w:szCs w:val="24"/>
                        </w:rPr>
                      </w:pPr>
                      <w:sdt>
                        <w:sdtPr>
                          <w:alias w:val="Numeris"/>
                          <w:tag w:val="nr_1a8ccd3d4c314c0e8fc9665b2338dcc2"/>
                          <w:lock w:val="sdtLocked"/>
                          <w:richText/>
                        </w:sdtPr>
                        <w:sdtContent>
                          <w:r>
                            <w:rPr>
                              <w:szCs w:val="24"/>
                            </w:rPr>
                            <w:t>73</w:t>
                          </w:r>
                        </w:sdtContent>
                      </w:sdt>
                      <w:r>
                        <w:rPr>
                          <w:szCs w:val="24"/>
                        </w:rPr>
                        <w:t xml:space="preserve">. Viršutinė kainos riba koreguojama dėl faktinės ir Modeliu planuotos infliacijos neatitikties, faktiškai paskirstyto ir prognozuoto paskirstyti kiekio neatitikties, Metodikos 33 punkte numatytų koregavimų bei faktinių STO atitinkamos įtampos tinkle gautų pajamų bei pajamų, kurias buvo leista gauti už elektros energijos skirstymą atitinkamos įtampos tinklais. Faktiniai dydžiai įvertinami </w:t>
                      </w:r>
                      <w:r>
                        <w:rPr>
                          <w:i/>
                          <w:iCs/>
                          <w:szCs w:val="24"/>
                        </w:rPr>
                        <w:t xml:space="preserve">t </w:t>
                      </w:r>
                      <w:r>
                        <w:rPr>
                          <w:szCs w:val="24"/>
                        </w:rPr>
                        <w:t xml:space="preserve">metais už </w:t>
                      </w:r>
                      <w:r>
                        <w:rPr>
                          <w:i/>
                          <w:iCs/>
                          <w:szCs w:val="24"/>
                        </w:rPr>
                        <w:t xml:space="preserve">t-2 </w:t>
                      </w:r>
                      <w:r>
                        <w:rPr>
                          <w:szCs w:val="24"/>
                        </w:rPr>
                        <w:t>periodą.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4 p."/>
                    <w:tag w:val="part_6df75e93952249f8acd4868b14fc8d7e"/>
                    <w:lock w:val="sdtLocked"/>
                    <w:richText/>
                  </w:sdtPr>
                  <w:sdtContent>
                    <w:p>
                      <w:pPr>
                        <w:tabs>
                          <w:tab w:val="left" w:pos="1080"/>
                          <w:tab w:val="left" w:pos="1843"/>
                          <w:tab w:val="left" w:pos="2268"/>
                        </w:tabs>
                        <w:ind w:firstLine="720"/>
                        <w:jc w:val="both"/>
                        <w:rPr>
                          <w:szCs w:val="24"/>
                        </w:rPr>
                      </w:pPr>
                      <w:sdt>
                        <w:sdtPr>
                          <w:alias w:val="Numeris"/>
                          <w:tag w:val="nr_6df75e93952249f8acd4868b14fc8d7e"/>
                          <w:lock w:val="sdtLocked"/>
                          <w:richText/>
                        </w:sdtPr>
                        <w:sdtContent>
                          <w:r>
                            <w:rPr>
                              <w:szCs w:val="24"/>
                            </w:rPr>
                            <w:t>74</w:t>
                          </w:r>
                        </w:sdtContent>
                      </w:sdt>
                      <w:r>
                        <w:rPr>
                          <w:szCs w:val="24"/>
                        </w:rPr>
                        <w:t>. Bazinė skirstymo žemos ir vidutinės įtampos tinklais kainos viršutinė riba apskaičiuojama</w:t>
                      </w:r>
                      <w:r>
                        <w:rPr>
                          <w:i/>
                          <w:szCs w:val="24"/>
                        </w:rPr>
                        <w:t xml:space="preserve"> t</w:t>
                      </w:r>
                      <w:r>
                        <w:rPr>
                          <w:szCs w:val="24"/>
                        </w:rPr>
                        <w:t xml:space="preserve"> metų leidžiamas STO pajamas atitinkamos įtampos tinkluose padalijant iš planuojamo paskirstyti elektros energijos kiekio atitinkamai žemos ir vidutinės įtampos tinklais:</w:t>
                      </w:r>
                    </w:p>
                    <w:sdt>
                      <w:sdtPr>
                        <w:alias w:val="74.1 p."/>
                        <w:tag w:val="part_ddc269f345f74d37998f1a869aa86d30"/>
                        <w:lock w:val="sdtLocked"/>
                        <w:richText/>
                      </w:sdtPr>
                      <w:sdtContent>
                        <w:p>
                          <w:pPr>
                            <w:tabs>
                              <w:tab w:val="left" w:pos="1260"/>
                              <w:tab w:val="left" w:pos="1843"/>
                              <w:tab w:val="left" w:pos="2268"/>
                            </w:tabs>
                            <w:ind w:firstLine="720"/>
                            <w:jc w:val="both"/>
                            <w:rPr>
                              <w:szCs w:val="24"/>
                            </w:rPr>
                          </w:pPr>
                          <w:sdt>
                            <w:sdtPr>
                              <w:alias w:val="Numeris"/>
                              <w:tag w:val="nr_ddc269f345f74d37998f1a869aa86d30"/>
                              <w:lock w:val="sdtLocked"/>
                              <w:richText/>
                            </w:sdtPr>
                            <w:sdtContent>
                              <w:r>
                                <w:rPr>
                                  <w:szCs w:val="24"/>
                                </w:rPr>
                                <w:t>74.1</w:t>
                              </w:r>
                            </w:sdtContent>
                          </w:sdt>
                          <w:r>
                            <w:rPr>
                              <w:szCs w:val="24"/>
                            </w:rPr>
                            <w:t>. ŽĮ tinklais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oMath>
                          <w:r>
                            <w:tab/>
                          </w:r>
                          <w:r>
                            <w:rPr>
                              <w:szCs w:val="24"/>
                            </w:rPr>
                            <w:t>(42)</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04</w:t>
                          </w:r>
                          <w:r>
                            <w:rPr>
                              <w:szCs w:val="24"/>
                            </w:rPr>
                            <w:t xml:space="preserve"> – bazinė elektros energijos skirstymo ŽĮ tinklais kainos viršutinė riba, EUR/kWh;</w:t>
                          </w:r>
                        </w:p>
                        <w:p>
                          <w:pPr>
                            <w:tabs>
                              <w:tab w:val="left" w:pos="1134"/>
                              <w:tab w:val="left" w:pos="1843"/>
                              <w:tab w:val="left" w:pos="2268"/>
                            </w:tabs>
                            <w:jc w:val="both"/>
                            <w:rPr>
                              <w:szCs w:val="24"/>
                            </w:rPr>
                          </w:pPr>
                          <w:r>
                            <w:rPr>
                              <w:szCs w:val="24"/>
                            </w:rPr>
                            <w:t>P</w:t>
                          </w:r>
                          <w:r>
                            <w:rPr>
                              <w:szCs w:val="24"/>
                              <w:vertAlign w:val="subscript"/>
                            </w:rPr>
                            <w:t>04,t</w:t>
                          </w:r>
                          <w:r>
                            <w:rPr>
                              <w:szCs w:val="24"/>
                            </w:rPr>
                            <w:t xml:space="preserve"> – galutinės STO ŽĮ tinkle</w:t>
                          </w:r>
                          <w:r>
                            <w:rPr>
                              <w:i/>
                              <w:szCs w:val="24"/>
                            </w:rPr>
                            <w:t xml:space="preserve"> 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04,t</w:t>
                          </w:r>
                          <w:r>
                            <w:rPr>
                              <w:szCs w:val="24"/>
                            </w:rPr>
                            <w:t xml:space="preserve"> – STO planuojamas </w:t>
                          </w:r>
                          <w:r>
                            <w:rPr>
                              <w:i/>
                              <w:szCs w:val="24"/>
                            </w:rPr>
                            <w:t>t</w:t>
                          </w:r>
                          <w:r>
                            <w:rPr>
                              <w:szCs w:val="24"/>
                            </w:rPr>
                            <w:t xml:space="preserve"> metais paskirstyti elektros energijos kiekis ŽĮ tinkle </w:t>
                          </w:r>
                          <w:r>
                            <w:rPr>
                              <w:i/>
                              <w:szCs w:val="24"/>
                            </w:rPr>
                            <w:t xml:space="preserve">t </w:t>
                          </w:r>
                          <w:r>
                            <w:rPr>
                              <w:szCs w:val="24"/>
                            </w:rPr>
                            <w:t>metams, kWh.</w:t>
                          </w:r>
                        </w:p>
                      </w:sdtContent>
                    </w:sdt>
                    <w:sdt>
                      <w:sdtPr>
                        <w:alias w:val="74.2 p."/>
                        <w:tag w:val="part_6942e8acc0da4581ba52f3366fbcd8a9"/>
                        <w:lock w:val="sdtLocked"/>
                        <w:richText/>
                      </w:sdtPr>
                      <w:sdtContent>
                        <w:p>
                          <w:pPr>
                            <w:tabs>
                              <w:tab w:val="left" w:pos="1260"/>
                              <w:tab w:val="left" w:pos="1843"/>
                              <w:tab w:val="left" w:pos="2268"/>
                            </w:tabs>
                            <w:ind w:firstLine="720"/>
                            <w:jc w:val="both"/>
                            <w:rPr>
                              <w:szCs w:val="24"/>
                            </w:rPr>
                          </w:pPr>
                          <w:sdt>
                            <w:sdtPr>
                              <w:alias w:val="Numeris"/>
                              <w:tag w:val="nr_6942e8acc0da4581ba52f3366fbcd8a9"/>
                              <w:lock w:val="sdtLocked"/>
                              <w:richText/>
                            </w:sdtPr>
                            <w:sdtContent>
                              <w:r>
                                <w:rPr>
                                  <w:szCs w:val="24"/>
                                </w:rPr>
                                <w:t>74.2</w:t>
                              </w:r>
                            </w:sdtContent>
                          </w:sdt>
                          <w:r>
                            <w:rPr>
                              <w:szCs w:val="24"/>
                            </w:rPr>
                            <w:t>. VĮ tinklais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oMath>
                          <w:r>
                            <w:tab/>
                          </w:r>
                          <w:r>
                            <w:rPr>
                              <w:szCs w:val="24"/>
                            </w:rPr>
                            <w:t>(43)</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10</w:t>
                          </w:r>
                          <w:r>
                            <w:rPr>
                              <w:szCs w:val="24"/>
                            </w:rPr>
                            <w:t xml:space="preserve"> – bazinė elektros energijos skirstymo VĮ tinklais kainos viršutinė riba, EUR/kWh;</w:t>
                          </w:r>
                        </w:p>
                        <w:p>
                          <w:pPr>
                            <w:tabs>
                              <w:tab w:val="left" w:pos="1134"/>
                              <w:tab w:val="left" w:pos="1843"/>
                              <w:tab w:val="left" w:pos="2268"/>
                            </w:tabs>
                            <w:jc w:val="both"/>
                            <w:rPr>
                              <w:szCs w:val="24"/>
                            </w:rPr>
                          </w:pPr>
                          <w:r>
                            <w:rPr>
                              <w:szCs w:val="24"/>
                            </w:rPr>
                            <w:t>P</w:t>
                          </w:r>
                          <w:r>
                            <w:rPr>
                              <w:szCs w:val="24"/>
                              <w:vertAlign w:val="subscript"/>
                            </w:rPr>
                            <w:t>10,t</w:t>
                          </w:r>
                          <w:r>
                            <w:rPr>
                              <w:szCs w:val="24"/>
                            </w:rPr>
                            <w:t xml:space="preserve"> – galutinės STO VĮ tinkle</w:t>
                          </w:r>
                          <w:r>
                            <w:rPr>
                              <w:i/>
                              <w:szCs w:val="24"/>
                            </w:rPr>
                            <w:t xml:space="preserve"> t</w:t>
                          </w:r>
                          <w:r>
                            <w:rPr>
                              <w:szCs w:val="24"/>
                            </w:rPr>
                            <w:t xml:space="preserve"> metams leidžiamos pajamos, EUR;</w:t>
                          </w:r>
                        </w:p>
                        <w:p>
                          <w:pPr>
                            <w:tabs>
                              <w:tab w:val="left" w:pos="1134"/>
                              <w:tab w:val="left" w:pos="1843"/>
                              <w:tab w:val="left" w:pos="2268"/>
                            </w:tabs>
                            <w:jc w:val="both"/>
                            <w:rPr>
                              <w:szCs w:val="24"/>
                            </w:rPr>
                          </w:pPr>
                          <w:r>
                            <w:rPr>
                              <w:szCs w:val="24"/>
                            </w:rPr>
                            <w:t>E</w:t>
                          </w:r>
                          <w:r>
                            <w:rPr>
                              <w:szCs w:val="24"/>
                              <w:vertAlign w:val="subscript"/>
                            </w:rPr>
                            <w:t>10,t</w:t>
                          </w:r>
                          <w:r>
                            <w:rPr>
                              <w:szCs w:val="24"/>
                            </w:rPr>
                            <w:t xml:space="preserve"> – STO planuojamas </w:t>
                          </w:r>
                          <w:r>
                            <w:rPr>
                              <w:i/>
                              <w:szCs w:val="24"/>
                            </w:rPr>
                            <w:t>t</w:t>
                          </w:r>
                          <w:r>
                            <w:rPr>
                              <w:szCs w:val="24"/>
                            </w:rPr>
                            <w:t xml:space="preserve"> metais paskirstyti elektros energijos kiekis VĮ tinkle </w:t>
                          </w:r>
                          <w:r>
                            <w:rPr>
                              <w:i/>
                              <w:szCs w:val="24"/>
                            </w:rPr>
                            <w:t xml:space="preserve">t </w:t>
                          </w:r>
                          <w:r>
                            <w:rPr>
                              <w:szCs w:val="24"/>
                            </w:rPr>
                            <w:t>metams, kWh.</w:t>
                          </w:r>
                        </w:p>
                      </w:sdtContent>
                    </w:sdt>
                  </w:sdtContent>
                </w:sdt>
                <w:sdt>
                  <w:sdtPr>
                    <w:alias w:val="75 p."/>
                    <w:tag w:val="part_17046889d80846a7a53626507e176688"/>
                    <w:lock w:val="sdtLocked"/>
                    <w:richText/>
                  </w:sdtPr>
                  <w:sdtContent>
                    <w:p>
                      <w:pPr>
                        <w:tabs>
                          <w:tab w:val="left" w:pos="1134"/>
                        </w:tabs>
                        <w:ind w:firstLine="709"/>
                        <w:jc w:val="both"/>
                        <w:rPr>
                          <w:szCs w:val="24"/>
                        </w:rPr>
                      </w:pPr>
                      <w:sdt>
                        <w:sdtPr>
                          <w:alias w:val="Numeris"/>
                          <w:tag w:val="nr_17046889d80846a7a53626507e176688"/>
                          <w:lock w:val="sdtLocked"/>
                          <w:richText/>
                        </w:sdtPr>
                        <w:sdtContent>
                          <w:r>
                            <w:rPr>
                              <w:szCs w:val="24"/>
                            </w:rPr>
                            <w:t>75</w:t>
                          </w:r>
                        </w:sdtContent>
                      </w:sdt>
                      <w:r>
                        <w:rPr>
                          <w:szCs w:val="24"/>
                        </w:rPr>
                        <w:t>. Skirstymo paslaugos ŽĮ ir VĮ tinklais kainos viršutinės ribos indeksavimo koeficientas apskaičiuojamas lyginant t-2 reguliavimo metams planuotą ir t-2 metų faktinę infliaciją OPEX (išskyrus darbo užmokesčio kaštus) kaštų atveju bei vidutinį darbo užmokesčio pokytį – darbo užmokesčio atveju. Šios korekcijos tikslas – leisti kainos viršutines ribas koreguoti dėl faktinio infliacijos bei vidutinio darbo užmokesčio pokyčio lygio pasikeitimo.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6 p."/>
                    <w:tag w:val="part_93d81a33e7fc4e1892114906c256a7fb"/>
                    <w:lock w:val="sdtLocked"/>
                    <w:richText/>
                  </w:sdtPr>
                  <w:sdtContent>
                    <w:p>
                      <w:pPr>
                        <w:tabs>
                          <w:tab w:val="left" w:pos="1134"/>
                        </w:tabs>
                        <w:ind w:firstLine="709"/>
                        <w:jc w:val="both"/>
                        <w:rPr>
                          <w:szCs w:val="24"/>
                        </w:rPr>
                      </w:pPr>
                      <w:sdt>
                        <w:sdtPr>
                          <w:alias w:val="Numeris"/>
                          <w:tag w:val="nr_93d81a33e7fc4e1892114906c256a7fb"/>
                          <w:lock w:val="sdtLocked"/>
                          <w:richText/>
                        </w:sdtPr>
                        <w:sdtContent>
                          <w:r>
                            <w:rPr>
                              <w:szCs w:val="24"/>
                            </w:rPr>
                            <w:t>76</w:t>
                          </w:r>
                        </w:sdtContent>
                      </w:sdt>
                      <w:r>
                        <w:rPr>
                          <w:szCs w:val="24"/>
                        </w:rPr>
                        <w:t xml:space="preserve">. Infliacija arba vidutinis darbo užmokesčio pokytis  taikomas tik OPEX, kai žinoma t-2 metų faktinė infliacija arba vidutinis darbo užmokesčio pokytis.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7 p."/>
                    <w:tag w:val="part_56af83aa4895466493d82ca342959bcb"/>
                    <w:lock w:val="sdtLocked"/>
                    <w:richText/>
                  </w:sdtPr>
                  <w:sdtContent>
                    <w:p>
                      <w:pPr>
                        <w:tabs>
                          <w:tab w:val="left" w:pos="1134"/>
                          <w:tab w:val="left" w:pos="1843"/>
                          <w:tab w:val="left" w:pos="2268"/>
                        </w:tabs>
                        <w:ind w:firstLine="720"/>
                        <w:jc w:val="both"/>
                        <w:rPr>
                          <w:szCs w:val="24"/>
                        </w:rPr>
                      </w:pPr>
                      <w:sdt>
                        <w:sdtPr>
                          <w:alias w:val="Numeris"/>
                          <w:tag w:val="nr_56af83aa4895466493d82ca342959bcb"/>
                          <w:lock w:val="sdtLocked"/>
                          <w:richText/>
                        </w:sdtPr>
                        <w:sdtContent>
                          <w:r>
                            <w:rPr>
                              <w:szCs w:val="24"/>
                            </w:rPr>
                            <w:t>77</w:t>
                          </w:r>
                        </w:sdtContent>
                      </w:sdt>
                      <w:r>
                        <w:rPr>
                          <w:szCs w:val="24"/>
                        </w:rPr>
                        <w:t>. Indeksavimo koeficientas apskaičiuojamas pagal formules:</w:t>
                      </w:r>
                    </w:p>
                    <w:p>
                      <w:pPr>
                        <w:tabs>
                          <w:tab w:val="left" w:pos="1134"/>
                          <w:tab w:val="left" w:pos="1843"/>
                          <w:tab w:val="left" w:pos="2268"/>
                        </w:tabs>
                        <w:jc w:val="both"/>
                        <w:rPr>
                          <w:szCs w:val="24"/>
                        </w:rPr>
                      </w:pPr>
                    </w:p>
                    <w:p>
                      <w:pPr>
                        <w:tabs>
                          <w:tab w:val="left" w:pos="9214"/>
                        </w:tabs>
                        <w:ind w:firstLine="9214"/>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04,</m:t>
                            </m:r>
                            <m:r>
                              <w:rPr>
                                <w:rFonts w:ascii="Cambria Math" w:hAnsi="Cambria Math"/>
                              </w:rPr>
                              <m:t>t</m:t>
                            </m:r>
                          </m:sub>
                        </m:sSub>
                        <m:r>
                          <w:rPr>
                            <w:rFonts w:ascii="Cambria Math" w:hAnsi="Cambria Math"/>
                          </w:rPr>
                          <m:t>=1+</m:t>
                        </m:r>
                        <m:d>
                          <m:dPr>
                            <m:ctrlPr>
                              <w:rPr>
                                <w:rFonts w:ascii="Cambria Math" w:hAnsi="Cambria Math"/>
                                <w:i/>
                              </w:rPr>
                            </m:ctrlPr>
                          </m:dPr>
                          <m:e>
                            <m:d>
                              <m:dPr>
                                <m:ctrlPr>
                                  <w:rPr>
                                    <w:rFonts w:ascii="Cambria Math" w:hAnsi="Cambria Math"/>
                                    <w:i/>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m:t>
                                        </m:r>
                                        <m:r>
                                          <w:rPr>
                                            <w:rFonts w:ascii="Cambria Math" w:hAnsi="Cambria Math"/>
                                          </w:rPr>
                                          <m:t>2</m:t>
                                        </m:r>
                                      </m:sub>
                                      <m:sup>
                                        <m:r>
                                          <w:rPr>
                                            <w:rFonts w:ascii="Cambria Math" w:hAnsi="Cambria Math"/>
                                          </w:rPr>
                                          <m:t>f</m:t>
                                        </m:r>
                                      </m:sup>
                                    </m:sSubSup>
                                  </m:e>
                                  <m:sup/>
                                </m:s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04</m:t>
                                </m:r>
                              </m:sub>
                            </m:sSub>
                          </m:e>
                        </m:d>
                      </m:oMath>
                      <w:r>
                        <w:tab/>
                      </w:r>
                      <w:r>
                        <w:rPr>
                          <w:szCs w:val="24"/>
                        </w:rPr>
                        <w:t>(44)</w:t>
                      </w:r>
                    </w:p>
                    <w:p>
                      <w:pPr>
                        <w:tabs>
                          <w:tab w:val="left" w:pos="1134"/>
                          <w:tab w:val="left" w:pos="1843"/>
                          <w:tab w:val="left" w:pos="2268"/>
                        </w:tabs>
                        <w:rPr>
                          <w:szCs w:val="24"/>
                        </w:rPr>
                      </w:pPr>
                    </w:p>
                    <w:p>
                      <w:pPr>
                        <w:tabs>
                          <w:tab w:val="left" w:pos="9214"/>
                        </w:tabs>
                        <w:ind w:firstLine="9214"/>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10,</m:t>
                            </m:r>
                            <m:r>
                              <w:rPr>
                                <w:rFonts w:ascii="Cambria Math" w:hAnsi="Cambria Math"/>
                              </w:rPr>
                              <m:t>t</m:t>
                            </m:r>
                          </m:sub>
                        </m:sSub>
                        <m:r>
                          <w:rPr>
                            <w:rFonts w:ascii="Cambria Math" w:hAnsi="Cambria Math"/>
                          </w:rPr>
                          <m:t>=1+</m:t>
                        </m:r>
                        <m:d>
                          <m:dPr>
                            <m:ctrlPr>
                              <w:rPr>
                                <w:rFonts w:ascii="Cambria Math" w:hAnsi="Cambria Math"/>
                                <w:i/>
                              </w:rPr>
                            </m:ctrlPr>
                          </m:dPr>
                          <m:e>
                            <m:d>
                              <m:dPr>
                                <m:ctrlPr>
                                  <w:rPr>
                                    <w:rFonts w:ascii="Cambria Math" w:hAnsi="Cambria Math"/>
                                    <w:i/>
                                  </w:rPr>
                                </m:ctrlPr>
                              </m:dPr>
                              <m:e>
                                <m:sSup>
                                  <m:sSupPr>
                                    <m:ctrlPr>
                                      <w:rPr>
                                        <w:rFonts w:ascii="Cambria Math" w:hAnsi="Cambria Math"/>
                                        <w:i/>
                                      </w:rPr>
                                    </m:ctrlPr>
                                  </m:sSupPr>
                                  <m:e>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f</m:t>
                                        </m:r>
                                      </m:sup>
                                    </m:sSubSup>
                                  </m:e>
                                  <m:sup/>
                                </m:sSup>
                                <m:r>
                                  <w:rPr>
                                    <w:rFonts w:ascii="Cambria Math" w:hAnsi="Cambria Math"/>
                                  </w:rPr>
                                  <m:t>-</m:t>
                                </m:r>
                                <m:sSubSup>
                                  <m:sSubSupPr>
                                    <m:ctrlPr>
                                      <w:rPr>
                                        <w:rFonts w:ascii="Cambria Math" w:hAnsi="Cambria Math"/>
                                        <w:i/>
                                      </w:rPr>
                                    </m:ctrlPr>
                                  </m:sSubSupPr>
                                  <m:e>
                                    <m:r>
                                      <w:rPr>
                                        <w:rFonts w:ascii="Cambria Math" w:hAnsi="Cambria Math"/>
                                      </w:rPr>
                                      <m:t>i</m:t>
                                    </m:r>
                                  </m:e>
                                  <m:sub>
                                    <m:r>
                                      <w:rPr>
                                        <w:rFonts w:ascii="Cambria Math" w:hAnsi="Cambria Math"/>
                                      </w:rPr>
                                      <m:t>t</m:t>
                                    </m:r>
                                    <m:r>
                                      <w:rPr>
                                        <w:rFonts w:ascii="Cambria Math" w:hAnsi="Cambria Math"/>
                                      </w:rPr>
                                      <m:t>-2</m:t>
                                    </m:r>
                                  </m:sub>
                                  <m:sup>
                                    <m:r>
                                      <w:rPr>
                                        <w:rFonts w:ascii="Cambria Math" w:hAnsi="Cambria Math"/>
                                      </w:rPr>
                                      <m:t>pl</m:t>
                                    </m:r>
                                  </m:sup>
                                </m:sSubSup>
                              </m:e>
                            </m:d>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r>
                                  <w:rPr>
                                    <w:rFonts w:ascii="Cambria Math" w:hAnsi="Cambria Math"/>
                                  </w:rPr>
                                  <m:t>10</m:t>
                                </m:r>
                              </m:sub>
                            </m:sSub>
                          </m:e>
                        </m:d>
                      </m:oMath>
                      <w:r>
                        <w:tab/>
                      </w:r>
                      <w:r>
                        <w:rPr>
                          <w:szCs w:val="24"/>
                        </w:rPr>
                        <w:t>(45)</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04,t</w:t>
                      </w:r>
                      <w:r>
                        <w:rPr>
                          <w:szCs w:val="24"/>
                        </w:rPr>
                        <w:t xml:space="preserve"> – </w:t>
                      </w:r>
                      <w:r>
                        <w:rPr>
                          <w:i/>
                          <w:szCs w:val="24"/>
                        </w:rPr>
                        <w:t>t</w:t>
                      </w:r>
                      <w:r>
                        <w:rPr>
                          <w:szCs w:val="24"/>
                        </w:rPr>
                        <w:t xml:space="preserve"> metų indeksavimo koeficientas skirstymo paslaugos ŽĮ tinkle kainos viršutinei ribai;</w:t>
                      </w:r>
                    </w:p>
                    <w:p>
                      <w:pPr>
                        <w:tabs>
                          <w:tab w:val="left" w:pos="1134"/>
                          <w:tab w:val="left" w:pos="1843"/>
                          <w:tab w:val="left" w:pos="2268"/>
                        </w:tabs>
                        <w:jc w:val="both"/>
                        <w:rPr>
                          <w:szCs w:val="24"/>
                        </w:rPr>
                      </w:pPr>
                      <w:r>
                        <w:rPr>
                          <w:szCs w:val="24"/>
                        </w:rPr>
                        <w:t>IK</w:t>
                      </w:r>
                      <w:r>
                        <w:rPr>
                          <w:szCs w:val="24"/>
                          <w:vertAlign w:val="subscript"/>
                        </w:rPr>
                        <w:t xml:space="preserve">10,t </w:t>
                      </w:r>
                      <w:r>
                        <w:rPr>
                          <w:szCs w:val="24"/>
                        </w:rPr>
                        <w:t xml:space="preserve">– </w:t>
                      </w:r>
                      <w:r>
                        <w:rPr>
                          <w:i/>
                          <w:szCs w:val="24"/>
                        </w:rPr>
                        <w:t>t</w:t>
                      </w:r>
                      <w:r>
                        <w:rPr>
                          <w:szCs w:val="24"/>
                        </w:rPr>
                        <w:t xml:space="preserve"> metų indeksavimo koeficientas skirstymo paslaugos VĮ tinkle kainos viršutinei ribai;</w:t>
                      </w:r>
                    </w:p>
                    <w:p>
                      <w:pPr>
                        <w:tabs>
                          <w:tab w:val="left" w:pos="0"/>
                          <w:tab w:val="left" w:pos="1134"/>
                          <w:tab w:val="left" w:pos="1843"/>
                          <w:tab w:val="left" w:pos="2268"/>
                        </w:tabs>
                        <w:jc w:val="both"/>
                        <w:rPr>
                          <w:szCs w:val="24"/>
                        </w:rPr>
                      </w:pPr>
                      <w:r>
                        <w:rPr>
                          <w:i/>
                          <w:szCs w:val="24"/>
                        </w:rPr>
                        <w:t>i</w:t>
                      </w:r>
                      <w:r>
                        <w:rPr>
                          <w:i/>
                          <w:szCs w:val="24"/>
                          <w:vertAlign w:val="superscript"/>
                        </w:rPr>
                        <w:t>f</w:t>
                      </w:r>
                      <w:r>
                        <w:rPr>
                          <w:szCs w:val="24"/>
                        </w:rPr>
                        <w:t xml:space="preserve"> – faktinės vidutinės </w:t>
                      </w:r>
                      <w:r>
                        <w:rPr>
                          <w:i/>
                          <w:szCs w:val="24"/>
                        </w:rPr>
                        <w:t>t-2</w:t>
                      </w:r>
                      <w:r>
                        <w:rPr>
                          <w:szCs w:val="24"/>
                        </w:rPr>
                        <w:t xml:space="preserve"> reguliavimo metų infliacijos koeficientas;</w:t>
                      </w:r>
                    </w:p>
                    <w:p>
                      <w:pPr>
                        <w:tabs>
                          <w:tab w:val="left" w:pos="0"/>
                          <w:tab w:val="left" w:pos="1134"/>
                          <w:tab w:val="left" w:pos="1843"/>
                          <w:tab w:val="left" w:pos="2268"/>
                        </w:tabs>
                        <w:jc w:val="both"/>
                        <w:rPr>
                          <w:szCs w:val="24"/>
                        </w:rPr>
                      </w:pPr>
                      <w:r>
                        <w:rPr>
                          <w:i/>
                          <w:szCs w:val="24"/>
                        </w:rPr>
                        <w:t>ipl</w:t>
                      </w:r>
                      <w:r>
                        <w:rPr>
                          <w:szCs w:val="24"/>
                        </w:rPr>
                        <w:t xml:space="preserve"> – planuotos </w:t>
                      </w:r>
                      <w:r>
                        <w:rPr>
                          <w:i/>
                          <w:szCs w:val="24"/>
                        </w:rPr>
                        <w:t>t-2</w:t>
                      </w:r>
                      <w:r>
                        <w:rPr>
                          <w:szCs w:val="24"/>
                        </w:rPr>
                        <w:t xml:space="preserve"> reguliavimo metų infliacijos koeficientas;</w:t>
                      </w:r>
                    </w:p>
                    <w:p>
                      <w:pPr>
                        <w:tabs>
                          <w:tab w:val="left" w:pos="0"/>
                          <w:tab w:val="left" w:pos="1134"/>
                          <w:tab w:val="left" w:pos="1843"/>
                          <w:tab w:val="left" w:pos="2268"/>
                        </w:tabs>
                        <w:jc w:val="both"/>
                        <w:rPr>
                          <w:szCs w:val="24"/>
                        </w:rPr>
                      </w:pPr>
                      <w:r>
                        <w:rPr>
                          <w:szCs w:val="24"/>
                        </w:rPr>
                        <w:t>L</w:t>
                      </w:r>
                      <w:r>
                        <w:rPr>
                          <w:szCs w:val="24"/>
                          <w:vertAlign w:val="subscript"/>
                        </w:rPr>
                        <w:t>k04</w:t>
                      </w:r>
                      <w:r>
                        <w:rPr>
                          <w:szCs w:val="24"/>
                        </w:rPr>
                        <w:t xml:space="preserve"> – OPEX kaštų proporcija, palyginti su visomis STO ŽĮ tinkle leidžiamomis pajamomis. Šią proporciją apskaičiuoja Modelis;</w:t>
                      </w:r>
                    </w:p>
                    <w:p>
                      <w:pPr>
                        <w:tabs>
                          <w:tab w:val="left" w:pos="1134"/>
                          <w:tab w:val="left" w:pos="1843"/>
                          <w:tab w:val="left" w:pos="2268"/>
                        </w:tabs>
                        <w:jc w:val="both"/>
                        <w:rPr>
                          <w:szCs w:val="24"/>
                        </w:rPr>
                      </w:pPr>
                      <w:r>
                        <w:rPr>
                          <w:szCs w:val="24"/>
                        </w:rPr>
                        <w:t>L</w:t>
                      </w:r>
                      <w:r>
                        <w:rPr>
                          <w:szCs w:val="24"/>
                          <w:vertAlign w:val="subscript"/>
                        </w:rPr>
                        <w:t>k10</w:t>
                      </w:r>
                      <w:r>
                        <w:rPr>
                          <w:szCs w:val="24"/>
                        </w:rPr>
                        <w:t xml:space="preserve"> – OPEX kaštų proporcija, palyginti su visomis STO VĮ tinkle leidžiamomis pajamomis. Šią proporciją apskaičiuoja Modelis.</w:t>
                      </w:r>
                    </w:p>
                  </w:sdtContent>
                </w:sdt>
                <w:sdt>
                  <w:sdtPr>
                    <w:alias w:val="77-1 p."/>
                    <w:tag w:val="part_29a18ffc699c4d5ca0e39f95c718d3b1"/>
                    <w:lock w:val="sdtLocked"/>
                    <w:richText/>
                  </w:sdtPr>
                  <w:sdtContent>
                    <w:p>
                      <w:pPr>
                        <w:tabs>
                          <w:tab w:val="left" w:pos="1134"/>
                        </w:tabs>
                        <w:ind w:firstLine="709"/>
                        <w:jc w:val="both"/>
                        <w:rPr>
                          <w:szCs w:val="24"/>
                        </w:rPr>
                      </w:pPr>
                      <w:sdt>
                        <w:sdtPr>
                          <w:alias w:val="Numeris"/>
                          <w:tag w:val="nr_29a18ffc699c4d5ca0e39f95c718d3b1"/>
                          <w:lock w:val="sdtLocked"/>
                          <w:richText/>
                        </w:sdtPr>
                        <w:sdtContent>
                          <w:r>
                            <w:rPr>
                              <w:szCs w:val="24"/>
                            </w:rPr>
                            <w:t>77</w:t>
                          </w:r>
                          <w:r>
                            <w:rPr>
                              <w:szCs w:val="24"/>
                              <w:vertAlign w:val="superscript"/>
                            </w:rPr>
                            <w:t>1</w:t>
                          </w:r>
                        </w:sdtContent>
                      </w:sdt>
                      <w:r>
                        <w:rPr>
                          <w:szCs w:val="24"/>
                        </w:rPr>
                        <w:t xml:space="preserve">. Elektros energijos kiekio poveikio koeficientas </w:t>
                      </w:r>
                      <w:r>
                        <w:rPr>
                          <w:i/>
                          <w:szCs w:val="24"/>
                        </w:rPr>
                        <w:t>t</w:t>
                      </w:r>
                      <w:r>
                        <w:rPr>
                          <w:szCs w:val="24"/>
                        </w:rPr>
                        <w:t xml:space="preserve"> metais apskaičiuojamas pagal formulę:</w:t>
                      </w:r>
                    </w:p>
                    <w:p>
                      <w:pPr>
                        <w:jc w:val="both"/>
                        <w:rPr>
                          <w:szCs w:val="24"/>
                        </w:rPr>
                      </w:pPr>
                    </w:p>
                    <w:p>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04,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04,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04,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04, </m:t>
                            </m:r>
                            <m:r>
                              <w:rPr>
                                <w:rFonts w:ascii="Cambria Math" w:hAnsi="Cambria Math"/>
                                <w:szCs w:val="24"/>
                              </w:rPr>
                              <m:t>t</m:t>
                            </m:r>
                            <m:r>
                              <w:rPr>
                                <w:rFonts w:ascii="Cambria Math" w:hAnsi="Cambria Math"/>
                                <w:szCs w:val="24"/>
                              </w:rPr>
                              <m:t>-2</m:t>
                            </m:r>
                          </m:sub>
                        </m:sSub>
                      </m:oMath>
                      <w:r>
                        <w:rPr>
                          <w:szCs w:val="24"/>
                        </w:rPr>
                        <w:t>(45</w:t>
                      </w:r>
                      <w:r>
                        <w:rPr>
                          <w:szCs w:val="24"/>
                          <w:vertAlign w:val="superscript"/>
                        </w:rPr>
                        <w:t>1</w:t>
                      </w:r>
                      <w:r>
                        <w:rPr>
                          <w:szCs w:val="24"/>
                        </w:rPr>
                        <w:t>)</w:t>
                      </w:r>
                    </w:p>
                    <w:p>
                      <w:pPr>
                        <w:tabs>
                          <w:tab w:val="left" w:pos="9072"/>
                        </w:tabs>
                        <w:ind w:firstLine="9072"/>
                        <w:jc w:val="both"/>
                        <w:rPr>
                          <w:szCs w:val="24"/>
                        </w:rPr>
                      </w:pPr>
                      <m:oMath>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10, </m:t>
                            </m:r>
                            <m:r>
                              <w:rPr>
                                <w:rFonts w:ascii="Cambria Math" w:hAnsi="Cambria Math"/>
                                <w:szCs w:val="24"/>
                              </w:rPr>
                              <m:t>t</m:t>
                            </m:r>
                          </m:sub>
                        </m:sSub>
                        <m:r>
                          <w:rPr>
                            <w:rFonts w:ascii="Cambria Math" w:hAnsi="Cambria Math"/>
                            <w:szCs w:val="24"/>
                          </w:rPr>
                          <m:t>=0,5×(</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10, </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 xml:space="preserve">10, </m:t>
                                </m:r>
                                <m:r>
                                  <w:rPr>
                                    <w:rFonts w:ascii="Cambria Math" w:hAnsi="Cambria Math"/>
                                    <w:szCs w:val="24"/>
                                  </w:rPr>
                                  <m:t>t</m:t>
                                </m:r>
                                <m:r>
                                  <w:rPr>
                                    <w:rFonts w:ascii="Cambria Math" w:hAnsi="Cambria Math"/>
                                    <w:szCs w:val="24"/>
                                  </w:rPr>
                                  <m:t>-2</m:t>
                                </m:r>
                              </m:sub>
                            </m:sSub>
                          </m:den>
                        </m:f>
                        <m:r>
                          <w:rPr>
                            <w:rFonts w:ascii="Cambria Math" w:hAnsi="Cambria Math"/>
                            <w:szCs w:val="24"/>
                          </w:rPr>
                          <m:t>+1)×</m:t>
                        </m:r>
                        <m:sSub>
                          <m:sSubPr>
                            <m:ctrlPr>
                              <w:rPr>
                                <w:rFonts w:ascii="Cambria Math" w:hAnsi="Cambria Math"/>
                                <w:i/>
                                <w:szCs w:val="24"/>
                              </w:rPr>
                            </m:ctrlPr>
                          </m:sSubPr>
                          <m:e>
                            <m:r>
                              <w:rPr>
                                <w:rFonts w:ascii="Cambria Math" w:hAnsi="Cambria Math"/>
                                <w:szCs w:val="24"/>
                              </w:rPr>
                              <m:t>EK</m:t>
                            </m:r>
                          </m:e>
                          <m:sub>
                            <m:r>
                              <w:rPr>
                                <w:rFonts w:ascii="Cambria Math" w:hAnsi="Cambria Math"/>
                                <w:szCs w:val="24"/>
                              </w:rPr>
                              <m:t xml:space="preserve">10, </m:t>
                            </m:r>
                            <m:r>
                              <w:rPr>
                                <w:rFonts w:ascii="Cambria Math" w:hAnsi="Cambria Math"/>
                                <w:szCs w:val="24"/>
                              </w:rPr>
                              <m:t>t</m:t>
                            </m:r>
                            <m:r>
                              <w:rPr>
                                <w:rFonts w:ascii="Cambria Math" w:hAnsi="Cambria Math"/>
                                <w:szCs w:val="24"/>
                              </w:rPr>
                              <m:t>-2</m:t>
                            </m:r>
                          </m:sub>
                        </m:sSub>
                      </m:oMath>
                      <w:r>
                        <w:rPr>
                          <w:szCs w:val="24"/>
                        </w:rPr>
                        <w:t>(45</w:t>
                      </w:r>
                      <w:r>
                        <w:rPr>
                          <w:szCs w:val="24"/>
                          <w:vertAlign w:val="superscript"/>
                        </w:rPr>
                        <w:t>2</w:t>
                      </w:r>
                      <w:r>
                        <w:rPr>
                          <w:szCs w:val="24"/>
                        </w:rPr>
                        <w:t>)</w:t>
                      </w:r>
                    </w:p>
                    <w:p>
                      <w:pPr>
                        <w:jc w:val="both"/>
                        <w:rPr>
                          <w:szCs w:val="24"/>
                        </w:rPr>
                      </w:pPr>
                    </w:p>
                    <w:p>
                      <w:pPr>
                        <w:jc w:val="both"/>
                        <w:rPr>
                          <w:i/>
                          <w:iCs/>
                          <w:szCs w:val="24"/>
                        </w:rPr>
                      </w:pPr>
                      <w:r>
                        <w:rPr>
                          <w:i/>
                          <w:iCs/>
                          <w:szCs w:val="24"/>
                        </w:rPr>
                        <w:t>čia:</w:t>
                      </w:r>
                    </w:p>
                    <w:p>
                      <w:pPr>
                        <w:jc w:val="both"/>
                        <w:rPr>
                          <w:szCs w:val="24"/>
                        </w:rPr>
                      </w:pPr>
                      <w:r>
                        <w:rPr>
                          <w:szCs w:val="24"/>
                        </w:rPr>
                        <w:t>EK</w:t>
                      </w:r>
                      <w:r>
                        <w:rPr>
                          <w:szCs w:val="24"/>
                          <w:vertAlign w:val="subscript"/>
                        </w:rPr>
                        <w:t>10, t</w:t>
                      </w:r>
                      <w:r>
                        <w:rPr>
                          <w:szCs w:val="24"/>
                        </w:rPr>
                        <w:t xml:space="preserve"> - elektros energijos kiekio poveikio koeficientas </w:t>
                      </w:r>
                      <w:r>
                        <w:rPr>
                          <w:i/>
                          <w:iCs/>
                          <w:szCs w:val="24"/>
                        </w:rPr>
                        <w:t xml:space="preserve">t </w:t>
                      </w:r>
                      <w:r>
                        <w:rPr>
                          <w:szCs w:val="24"/>
                        </w:rPr>
                        <w:t>metais VĮ tinklams;</w:t>
                      </w:r>
                    </w:p>
                    <w:p>
                      <w:pPr>
                        <w:jc w:val="both"/>
                        <w:rPr>
                          <w:szCs w:val="24"/>
                        </w:rPr>
                      </w:pPr>
                      <w:r>
                        <w:rPr>
                          <w:szCs w:val="24"/>
                        </w:rPr>
                        <w:t>EK</w:t>
                      </w:r>
                      <w:r>
                        <w:rPr>
                          <w:szCs w:val="24"/>
                          <w:vertAlign w:val="subscript"/>
                        </w:rPr>
                        <w:t>10, t-2</w:t>
                      </w:r>
                      <w:r>
                        <w:rPr>
                          <w:szCs w:val="24"/>
                        </w:rPr>
                        <w:t xml:space="preserve"> - elektros energijos kiekio poveikio koeficientas </w:t>
                      </w:r>
                      <w:r>
                        <w:rPr>
                          <w:i/>
                          <w:iCs/>
                          <w:szCs w:val="24"/>
                        </w:rPr>
                        <w:t xml:space="preserve">t-2 </w:t>
                      </w:r>
                      <w:r>
                        <w:rPr>
                          <w:szCs w:val="24"/>
                        </w:rPr>
                        <w:t>metais VĮ tinklams;</w:t>
                      </w:r>
                    </w:p>
                    <w:p>
                      <w:pPr>
                        <w:jc w:val="both"/>
                        <w:rPr>
                          <w:szCs w:val="24"/>
                        </w:rPr>
                      </w:pPr>
                      <w:r>
                        <w:rPr>
                          <w:szCs w:val="24"/>
                        </w:rPr>
                        <w:t>E</w:t>
                      </w:r>
                      <w:r>
                        <w:rPr>
                          <w:szCs w:val="24"/>
                          <w:vertAlign w:val="subscript"/>
                        </w:rPr>
                        <w:t>10, t-2</w:t>
                      </w:r>
                      <w:r>
                        <w:rPr>
                          <w:szCs w:val="24"/>
                        </w:rPr>
                        <w:t xml:space="preserve"> – faktiškai t-2 paskirstytas energijos kiekis VĮ tinklais;</w:t>
                      </w:r>
                    </w:p>
                    <w:p>
                      <w:pPr>
                        <w:jc w:val="both"/>
                        <w:rPr>
                          <w:szCs w:val="24"/>
                        </w:rPr>
                      </w:pPr>
                      <w:r>
                        <w:rPr>
                          <w:szCs w:val="24"/>
                        </w:rPr>
                        <w:t>E</w:t>
                      </w:r>
                      <w:r>
                        <w:rPr>
                          <w:szCs w:val="24"/>
                          <w:vertAlign w:val="subscript"/>
                        </w:rPr>
                        <w:t>10, t</w:t>
                      </w:r>
                      <w:r>
                        <w:rPr>
                          <w:szCs w:val="24"/>
                        </w:rPr>
                        <w:t xml:space="preserve"> – planuojamas paskirstyti energijos kiekis VĮ tinklais;</w:t>
                      </w:r>
                    </w:p>
                    <w:p>
                      <w:pPr>
                        <w:jc w:val="both"/>
                        <w:rPr>
                          <w:szCs w:val="24"/>
                        </w:rPr>
                      </w:pPr>
                      <w:r>
                        <w:rPr>
                          <w:szCs w:val="24"/>
                        </w:rPr>
                        <w:t>EK</w:t>
                      </w:r>
                      <w:r>
                        <w:rPr>
                          <w:szCs w:val="24"/>
                          <w:vertAlign w:val="subscript"/>
                        </w:rPr>
                        <w:t>04, t</w:t>
                      </w:r>
                      <w:r>
                        <w:rPr>
                          <w:szCs w:val="24"/>
                        </w:rPr>
                        <w:t xml:space="preserve"> - elektros energijos kiekio poveikio koeficientas </w:t>
                      </w:r>
                      <w:r>
                        <w:rPr>
                          <w:i/>
                          <w:iCs/>
                          <w:szCs w:val="24"/>
                        </w:rPr>
                        <w:t xml:space="preserve">t </w:t>
                      </w:r>
                      <w:r>
                        <w:rPr>
                          <w:szCs w:val="24"/>
                        </w:rPr>
                        <w:t>metais ŽĮ tinklams;</w:t>
                      </w:r>
                    </w:p>
                    <w:p>
                      <w:pPr>
                        <w:jc w:val="both"/>
                        <w:rPr>
                          <w:szCs w:val="24"/>
                        </w:rPr>
                      </w:pPr>
                      <w:r>
                        <w:rPr>
                          <w:szCs w:val="24"/>
                        </w:rPr>
                        <w:t>EK</w:t>
                      </w:r>
                      <w:r>
                        <w:rPr>
                          <w:szCs w:val="24"/>
                          <w:vertAlign w:val="subscript"/>
                        </w:rPr>
                        <w:t>04, t-2</w:t>
                      </w:r>
                      <w:r>
                        <w:rPr>
                          <w:szCs w:val="24"/>
                        </w:rPr>
                        <w:t xml:space="preserve"> - elektros energijos kiekio poveikio koeficientas </w:t>
                      </w:r>
                      <w:r>
                        <w:rPr>
                          <w:i/>
                          <w:iCs/>
                          <w:szCs w:val="24"/>
                        </w:rPr>
                        <w:t xml:space="preserve">t-2 </w:t>
                      </w:r>
                      <w:r>
                        <w:rPr>
                          <w:szCs w:val="24"/>
                        </w:rPr>
                        <w:t>metais ŽĮ tinklams;</w:t>
                      </w:r>
                    </w:p>
                    <w:p>
                      <w:pPr>
                        <w:jc w:val="both"/>
                        <w:rPr>
                          <w:szCs w:val="24"/>
                        </w:rPr>
                      </w:pPr>
                      <w:r>
                        <w:rPr>
                          <w:szCs w:val="24"/>
                        </w:rPr>
                        <w:t>E</w:t>
                      </w:r>
                      <w:r>
                        <w:rPr>
                          <w:szCs w:val="24"/>
                          <w:vertAlign w:val="subscript"/>
                        </w:rPr>
                        <w:t>04, t-2</w:t>
                      </w:r>
                      <w:r>
                        <w:rPr>
                          <w:szCs w:val="24"/>
                        </w:rPr>
                        <w:t xml:space="preserve"> – faktiškai t-2 paskirstytas energijos kiekis ŽĮ tinklais;</w:t>
                      </w:r>
                    </w:p>
                    <w:p>
                      <w:pPr>
                        <w:jc w:val="both"/>
                        <w:rPr>
                          <w:szCs w:val="24"/>
                        </w:rPr>
                      </w:pPr>
                      <w:r>
                        <w:rPr>
                          <w:szCs w:val="24"/>
                        </w:rPr>
                        <w:t>E</w:t>
                      </w:r>
                      <w:r>
                        <w:rPr>
                          <w:szCs w:val="24"/>
                          <w:vertAlign w:val="subscript"/>
                        </w:rPr>
                        <w:t>04, t</w:t>
                      </w:r>
                      <w:r>
                        <w:rPr>
                          <w:szCs w:val="24"/>
                        </w:rPr>
                        <w:t xml:space="preserve"> – planuojamas paskirstyti energijos kiekis ŽĮ tinklais.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359a7efde680465984cbbe98ab8a9e24"/>
                    <w:lock w:val="sdtLocked"/>
                    <w:richText/>
                  </w:sdtPr>
                  <w:sdtContent>
                    <w:p>
                      <w:pPr>
                        <w:tabs>
                          <w:tab w:val="left" w:pos="1134"/>
                        </w:tabs>
                        <w:ind w:firstLine="709"/>
                        <w:jc w:val="both"/>
                        <w:rPr>
                          <w:szCs w:val="24"/>
                        </w:rPr>
                      </w:pPr>
                      <w:sdt>
                        <w:sdtPr>
                          <w:alias w:val="Numeris"/>
                          <w:tag w:val="nr_359a7efde680465984cbbe98ab8a9e24"/>
                          <w:lock w:val="sdtLocked"/>
                          <w:richText/>
                        </w:sdtPr>
                        <w:sdtContent>
                          <w:r>
                            <w:rPr>
                              <w:szCs w:val="24"/>
                            </w:rPr>
                            <w:t>78</w:t>
                          </w:r>
                        </w:sdtContent>
                      </w:sdt>
                      <w:r>
                        <w:rPr>
                          <w:szCs w:val="24"/>
                        </w:rPr>
                        <w:t xml:space="preserve">. Skirstymo  paslaugos žemos ir vidutinės įtampos tinklais kainos viršutinė riba, taikant indeksavimo ir kiekio poveikio koeficientus ą, apskaičiuojama pagal formulę:</w:t>
                      </w:r>
                    </w:p>
                    <w:p>
                      <w:pPr>
                        <w:tabs>
                          <w:tab w:val="left" w:pos="1134"/>
                        </w:tabs>
                        <w:ind w:firstLine="709"/>
                        <w:jc w:val="both"/>
                        <w:rPr>
                          <w:szCs w:val="24"/>
                        </w:rPr>
                      </w:pPr>
                    </w:p>
                    <w:p>
                      <w:pPr>
                        <w:tabs>
                          <w:tab w:val="left" w:pos="1134"/>
                          <w:tab w:val="left" w:pos="9214"/>
                        </w:tabs>
                        <w:jc w:val="both"/>
                        <w:rPr>
                          <w:szCs w:val="24"/>
                        </w:rPr>
                      </w:pPr>
                      <w:r>
                        <w:rPr>
                          <w:i/>
                          <w:iCs/>
                          <w:szCs w:val="24"/>
                        </w:rPr>
                        <w:t>T</w:t>
                      </w:r>
                      <w:r>
                        <w:rPr>
                          <w:szCs w:val="24"/>
                          <w:vertAlign w:val="subscript"/>
                        </w:rPr>
                        <w:t xml:space="preserve">04, </w:t>
                      </w:r>
                      <w:r>
                        <w:rPr>
                          <w:i/>
                          <w:iCs/>
                          <w:szCs w:val="24"/>
                          <w:vertAlign w:val="subscript"/>
                        </w:rPr>
                        <w:t>t</w:t>
                      </w:r>
                      <w:r>
                        <w:rPr>
                          <w:szCs w:val="24"/>
                        </w:rPr>
                        <w:t>=(</w:t>
                      </w:r>
                      <w:r>
                        <w:rPr>
                          <w:i/>
                          <w:iCs/>
                          <w:szCs w:val="24"/>
                        </w:rPr>
                        <w:t>P</w:t>
                      </w:r>
                      <w:r>
                        <w:rPr>
                          <w:szCs w:val="24"/>
                          <w:vertAlign w:val="subscript"/>
                        </w:rPr>
                        <w:t xml:space="preserve">04, </w:t>
                      </w:r>
                      <w:r>
                        <w:rPr>
                          <w:i/>
                          <w:iCs/>
                          <w:szCs w:val="24"/>
                          <w:vertAlign w:val="subscript"/>
                        </w:rPr>
                        <w:t>t</w:t>
                      </w:r>
                      <w:r>
                        <w:rPr>
                          <w:i/>
                          <w:iCs/>
                          <w:szCs w:val="24"/>
                        </w:rPr>
                        <w:t>×IK</w:t>
                      </w:r>
                      <w:r>
                        <w:rPr>
                          <w:szCs w:val="24"/>
                          <w:vertAlign w:val="subscript"/>
                        </w:rPr>
                        <w:t>04,</w:t>
                      </w:r>
                      <w:r>
                        <w:rPr>
                          <w:i/>
                          <w:iCs/>
                          <w:szCs w:val="24"/>
                          <w:vertAlign w:val="subscript"/>
                        </w:rPr>
                        <w:t>t</w:t>
                      </w:r>
                      <w:r>
                        <w:rPr>
                          <w:i/>
                          <w:iCs/>
                          <w:szCs w:val="24"/>
                        </w:rPr>
                        <w:t>×EK</w:t>
                      </w:r>
                      <w:r>
                        <w:rPr>
                          <w:i/>
                          <w:iCs/>
                          <w:szCs w:val="24"/>
                          <w:vertAlign w:val="subscript"/>
                        </w:rPr>
                        <w:t>04, t</w:t>
                      </w:r>
                      <w:r>
                        <w:rPr>
                          <w:szCs w:val="24"/>
                        </w:rPr>
                        <w:t>)/</w:t>
                      </w:r>
                      <w:r>
                        <w:rPr>
                          <w:i/>
                          <w:iCs/>
                          <w:szCs w:val="24"/>
                        </w:rPr>
                        <w:t>E</w:t>
                      </w:r>
                      <w:r>
                        <w:rPr>
                          <w:szCs w:val="24"/>
                          <w:vertAlign w:val="subscript"/>
                        </w:rPr>
                        <w:t xml:space="preserve">04, </w:t>
                      </w:r>
                      <w:r>
                        <w:rPr>
                          <w:i/>
                          <w:iCs/>
                          <w:szCs w:val="24"/>
                          <w:vertAlign w:val="subscript"/>
                        </w:rPr>
                        <w:t>t</w:t>
                      </w:r>
                      <w:r>
                        <w:rPr>
                          <w:i/>
                          <w:iCs/>
                          <w:szCs w:val="24"/>
                        </w:rPr>
                        <w:tab/>
                      </w:r>
                      <w:r>
                        <w:rPr>
                          <w:szCs w:val="24"/>
                        </w:rPr>
                        <w:t>(46)</w:t>
                      </w:r>
                    </w:p>
                    <w:p>
                      <w:pPr>
                        <w:tabs>
                          <w:tab w:val="left" w:pos="1134"/>
                          <w:tab w:val="left" w:pos="9214"/>
                        </w:tabs>
                        <w:jc w:val="both"/>
                        <w:rPr>
                          <w:szCs w:val="24"/>
                        </w:rPr>
                      </w:pPr>
                      <w:r>
                        <w:rPr>
                          <w:i/>
                          <w:iCs/>
                          <w:szCs w:val="24"/>
                        </w:rPr>
                        <w:t>T</w:t>
                      </w:r>
                      <w:r>
                        <w:rPr>
                          <w:szCs w:val="24"/>
                          <w:vertAlign w:val="subscript"/>
                        </w:rPr>
                        <w:t xml:space="preserve">10, </w:t>
                      </w:r>
                      <w:r>
                        <w:rPr>
                          <w:i/>
                          <w:iCs/>
                          <w:szCs w:val="24"/>
                          <w:vertAlign w:val="subscript"/>
                        </w:rPr>
                        <w:t>t</w:t>
                      </w:r>
                      <w:r>
                        <w:rPr>
                          <w:szCs w:val="24"/>
                        </w:rPr>
                        <w:t>=(</w:t>
                      </w:r>
                      <w:r>
                        <w:rPr>
                          <w:i/>
                          <w:iCs/>
                          <w:szCs w:val="24"/>
                        </w:rPr>
                        <w:t>P</w:t>
                      </w:r>
                      <w:r>
                        <w:rPr>
                          <w:szCs w:val="24"/>
                          <w:vertAlign w:val="subscript"/>
                        </w:rPr>
                        <w:t xml:space="preserve">10, </w:t>
                      </w:r>
                      <w:r>
                        <w:rPr>
                          <w:i/>
                          <w:iCs/>
                          <w:szCs w:val="24"/>
                          <w:vertAlign w:val="subscript"/>
                        </w:rPr>
                        <w:t>t</w:t>
                      </w:r>
                      <w:r>
                        <w:rPr>
                          <w:i/>
                          <w:iCs/>
                          <w:szCs w:val="24"/>
                        </w:rPr>
                        <w:t>×IK</w:t>
                      </w:r>
                      <w:r>
                        <w:rPr>
                          <w:szCs w:val="24"/>
                          <w:vertAlign w:val="subscript"/>
                        </w:rPr>
                        <w:t>10,</w:t>
                      </w:r>
                      <w:r>
                        <w:rPr>
                          <w:i/>
                          <w:iCs/>
                          <w:szCs w:val="24"/>
                          <w:vertAlign w:val="subscript"/>
                        </w:rPr>
                        <w:t>t</w:t>
                      </w:r>
                      <w:r>
                        <w:rPr>
                          <w:i/>
                          <w:iCs/>
                          <w:szCs w:val="24"/>
                        </w:rPr>
                        <w:t>×EK</w:t>
                      </w:r>
                      <w:r>
                        <w:rPr>
                          <w:i/>
                          <w:iCs/>
                          <w:szCs w:val="24"/>
                          <w:vertAlign w:val="subscript"/>
                        </w:rPr>
                        <w:t>10, t</w:t>
                      </w:r>
                      <w:r>
                        <w:rPr>
                          <w:szCs w:val="24"/>
                        </w:rPr>
                        <w:t>)/</w:t>
                      </w:r>
                      <w:r>
                        <w:rPr>
                          <w:i/>
                          <w:iCs/>
                          <w:szCs w:val="24"/>
                        </w:rPr>
                        <w:t>E</w:t>
                      </w:r>
                      <w:r>
                        <w:rPr>
                          <w:szCs w:val="24"/>
                          <w:vertAlign w:val="subscript"/>
                        </w:rPr>
                        <w:t xml:space="preserve">10, </w:t>
                      </w:r>
                      <w:r>
                        <w:rPr>
                          <w:i/>
                          <w:iCs/>
                          <w:szCs w:val="24"/>
                          <w:vertAlign w:val="subscript"/>
                        </w:rPr>
                        <w:t>t</w:t>
                      </w:r>
                      <w:r>
                        <w:rPr>
                          <w:i/>
                          <w:iCs/>
                          <w:szCs w:val="24"/>
                        </w:rPr>
                        <w:tab/>
                      </w:r>
                      <w:r>
                        <w:rPr>
                          <w:szCs w:val="24"/>
                        </w:rPr>
                        <w:t>(47)</w:t>
                      </w:r>
                    </w:p>
                    <w:p>
                      <w:pPr>
                        <w:tabs>
                          <w:tab w:val="left" w:pos="1134"/>
                        </w:tabs>
                        <w:jc w:val="both"/>
                        <w:rPr>
                          <w:szCs w:val="24"/>
                        </w:rPr>
                      </w:pPr>
                    </w:p>
                    <w:p>
                      <w:pPr>
                        <w:tabs>
                          <w:tab w:val="left" w:pos="1134"/>
                        </w:tabs>
                        <w:jc w:val="both"/>
                        <w:rPr>
                          <w:i/>
                          <w:iCs/>
                          <w:szCs w:val="24"/>
                        </w:rPr>
                      </w:pPr>
                      <w:r>
                        <w:rPr>
                          <w:i/>
                          <w:iCs/>
                          <w:szCs w:val="24"/>
                        </w:rPr>
                        <w:t>čia:</w:t>
                      </w:r>
                    </w:p>
                    <w:p>
                      <w:pPr>
                        <w:tabs>
                          <w:tab w:val="left" w:pos="1134"/>
                        </w:tabs>
                        <w:jc w:val="both"/>
                        <w:rPr>
                          <w:szCs w:val="24"/>
                        </w:rPr>
                      </w:pPr>
                      <w:r>
                        <w:rPr>
                          <w:szCs w:val="24"/>
                        </w:rPr>
                        <w:t>T</w:t>
                      </w:r>
                      <w:r>
                        <w:rPr>
                          <w:szCs w:val="24"/>
                          <w:vertAlign w:val="subscript"/>
                        </w:rPr>
                        <w:t xml:space="preserve">04,t </w:t>
                      </w:r>
                      <w:r>
                        <w:rPr>
                          <w:szCs w:val="24"/>
                        </w:rPr>
                        <w:t xml:space="preserve">–  skirstymo paslaugos ŽĮ tinklais </w:t>
                      </w:r>
                      <w:r>
                        <w:rPr>
                          <w:i/>
                          <w:iCs/>
                          <w:szCs w:val="24"/>
                        </w:rPr>
                        <w:t xml:space="preserve">t </w:t>
                      </w:r>
                      <w:r>
                        <w:rPr>
                          <w:szCs w:val="24"/>
                        </w:rPr>
                        <w:t>metų kainos viršutinė riba, EUR/kWh;</w:t>
                      </w:r>
                    </w:p>
                    <w:p>
                      <w:pPr>
                        <w:tabs>
                          <w:tab w:val="left" w:pos="1134"/>
                        </w:tabs>
                        <w:jc w:val="both"/>
                        <w:rPr>
                          <w:szCs w:val="24"/>
                        </w:rPr>
                      </w:pPr>
                      <w:r>
                        <w:rPr>
                          <w:szCs w:val="24"/>
                        </w:rPr>
                        <w:t>T</w:t>
                      </w:r>
                      <w:r>
                        <w:rPr>
                          <w:szCs w:val="24"/>
                          <w:vertAlign w:val="subscript"/>
                        </w:rPr>
                        <w:t xml:space="preserve">10,t </w:t>
                      </w:r>
                      <w:r>
                        <w:rPr>
                          <w:szCs w:val="24"/>
                        </w:rPr>
                        <w:t xml:space="preserve">–  skirstymo paslaugos VĮ tinklais </w:t>
                      </w:r>
                      <w:r>
                        <w:rPr>
                          <w:i/>
                          <w:iCs/>
                          <w:szCs w:val="24"/>
                        </w:rPr>
                        <w:t xml:space="preserve">t </w:t>
                      </w:r>
                      <w:r>
                        <w:rPr>
                          <w:szCs w:val="24"/>
                        </w:rPr>
                        <w:t>metų kainos viršutinė riba, EUR/kWh;</w:t>
                      </w:r>
                    </w:p>
                    <w:p>
                      <w:pPr>
                        <w:tabs>
                          <w:tab w:val="left" w:pos="1134"/>
                        </w:tabs>
                        <w:jc w:val="both"/>
                        <w:rPr>
                          <w:szCs w:val="24"/>
                        </w:rPr>
                      </w:pPr>
                      <w:r>
                        <w:rPr>
                          <w:szCs w:val="24"/>
                        </w:rPr>
                        <w:t>P</w:t>
                      </w:r>
                      <w:r>
                        <w:rPr>
                          <w:szCs w:val="24"/>
                          <w:vertAlign w:val="subscript"/>
                        </w:rPr>
                        <w:t xml:space="preserve">04,t </w:t>
                      </w:r>
                      <w:r>
                        <w:rPr>
                          <w:szCs w:val="24"/>
                        </w:rPr>
                        <w:t xml:space="preserve">– galutinės </w:t>
                      </w:r>
                      <w:r>
                        <w:rPr>
                          <w:i/>
                          <w:iCs/>
                          <w:szCs w:val="24"/>
                        </w:rPr>
                        <w:t xml:space="preserve">t </w:t>
                      </w:r>
                      <w:r>
                        <w:rPr>
                          <w:szCs w:val="24"/>
                        </w:rPr>
                        <w:t>metų STO skirstymo ŽĮ tinklais leidžiamos pajamos, EUR;</w:t>
                      </w:r>
                    </w:p>
                    <w:p>
                      <w:pPr>
                        <w:tabs>
                          <w:tab w:val="left" w:pos="1134"/>
                        </w:tabs>
                        <w:jc w:val="both"/>
                        <w:rPr>
                          <w:szCs w:val="24"/>
                        </w:rPr>
                      </w:pPr>
                      <w:r>
                        <w:rPr>
                          <w:szCs w:val="24"/>
                        </w:rPr>
                        <w:t>P</w:t>
                      </w:r>
                      <w:r>
                        <w:rPr>
                          <w:szCs w:val="24"/>
                          <w:vertAlign w:val="subscript"/>
                        </w:rPr>
                        <w:t xml:space="preserve">10,t </w:t>
                      </w:r>
                      <w:r>
                        <w:rPr>
                          <w:szCs w:val="24"/>
                        </w:rPr>
                        <w:t xml:space="preserve">– galutinės </w:t>
                      </w:r>
                      <w:r>
                        <w:rPr>
                          <w:i/>
                          <w:iCs/>
                          <w:szCs w:val="24"/>
                        </w:rPr>
                        <w:t xml:space="preserve">t </w:t>
                      </w:r>
                      <w:r>
                        <w:rPr>
                          <w:szCs w:val="24"/>
                        </w:rPr>
                        <w:t>metų STO skirstymo VĮ tinklais leidžiamos pajamos, EUR;</w:t>
                      </w:r>
                    </w:p>
                    <w:p>
                      <w:pPr>
                        <w:tabs>
                          <w:tab w:val="left" w:pos="1134"/>
                        </w:tabs>
                        <w:jc w:val="both"/>
                        <w:rPr>
                          <w:szCs w:val="24"/>
                        </w:rPr>
                      </w:pPr>
                      <w:r>
                        <w:rPr>
                          <w:szCs w:val="24"/>
                        </w:rPr>
                        <w:t>IK</w:t>
                      </w:r>
                      <w:r>
                        <w:rPr>
                          <w:szCs w:val="24"/>
                          <w:vertAlign w:val="subscript"/>
                        </w:rPr>
                        <w:t xml:space="preserve">04,t </w:t>
                      </w:r>
                      <w:r>
                        <w:rPr>
                          <w:szCs w:val="24"/>
                        </w:rPr>
                        <w:t xml:space="preserve">– </w:t>
                      </w:r>
                      <w:r>
                        <w:rPr>
                          <w:i/>
                          <w:iCs/>
                          <w:szCs w:val="24"/>
                        </w:rPr>
                        <w:t xml:space="preserve">t </w:t>
                      </w:r>
                      <w:r>
                        <w:rPr>
                          <w:szCs w:val="24"/>
                        </w:rPr>
                        <w:t>metų indeksavimo koeficientas skirstymo paslaugos ŽĮ tinklais;</w:t>
                      </w:r>
                    </w:p>
                    <w:p>
                      <w:pPr>
                        <w:tabs>
                          <w:tab w:val="left" w:pos="1134"/>
                        </w:tabs>
                        <w:jc w:val="both"/>
                        <w:rPr>
                          <w:szCs w:val="24"/>
                        </w:rPr>
                      </w:pPr>
                      <w:r>
                        <w:rPr>
                          <w:szCs w:val="24"/>
                        </w:rPr>
                        <w:t>IK</w:t>
                      </w:r>
                      <w:r>
                        <w:rPr>
                          <w:szCs w:val="24"/>
                          <w:vertAlign w:val="subscript"/>
                        </w:rPr>
                        <w:t xml:space="preserve">10,t </w:t>
                      </w:r>
                      <w:r>
                        <w:rPr>
                          <w:szCs w:val="24"/>
                        </w:rPr>
                        <w:t xml:space="preserve">– </w:t>
                      </w:r>
                      <w:r>
                        <w:rPr>
                          <w:i/>
                          <w:iCs/>
                          <w:szCs w:val="24"/>
                        </w:rPr>
                        <w:t xml:space="preserve">t </w:t>
                      </w:r>
                      <w:r>
                        <w:rPr>
                          <w:szCs w:val="24"/>
                        </w:rPr>
                        <w:t>metų indeksavimo koeficientas skirstymo paslaugos VĮ tinklais;</w:t>
                      </w:r>
                    </w:p>
                    <w:p>
                      <w:pPr>
                        <w:tabs>
                          <w:tab w:val="left" w:pos="1134"/>
                        </w:tabs>
                        <w:jc w:val="both"/>
                        <w:rPr>
                          <w:szCs w:val="24"/>
                        </w:rPr>
                      </w:pPr>
                      <w:r>
                        <w:rPr>
                          <w:szCs w:val="24"/>
                        </w:rPr>
                        <w:t>EK</w:t>
                      </w:r>
                      <w:r>
                        <w:rPr>
                          <w:szCs w:val="24"/>
                          <w:vertAlign w:val="subscript"/>
                        </w:rPr>
                        <w:t>04, t</w:t>
                      </w:r>
                      <w:r>
                        <w:rPr>
                          <w:szCs w:val="24"/>
                        </w:rPr>
                        <w:t xml:space="preserve"> – </w:t>
                      </w:r>
                      <w:r>
                        <w:rPr>
                          <w:i/>
                          <w:szCs w:val="24"/>
                        </w:rPr>
                        <w:t>t</w:t>
                      </w:r>
                      <w:r>
                        <w:rPr>
                          <w:szCs w:val="24"/>
                        </w:rPr>
                        <w:t xml:space="preserve"> metų kiekio poveikio koeficientas skirstymo paslaugos ŽĮ tinklais;</w:t>
                      </w:r>
                    </w:p>
                    <w:p>
                      <w:pPr>
                        <w:tabs>
                          <w:tab w:val="left" w:pos="1134"/>
                        </w:tabs>
                        <w:jc w:val="both"/>
                        <w:rPr>
                          <w:szCs w:val="24"/>
                        </w:rPr>
                      </w:pPr>
                      <w:r>
                        <w:rPr>
                          <w:szCs w:val="24"/>
                        </w:rPr>
                        <w:t>EK</w:t>
                      </w:r>
                      <w:r>
                        <w:rPr>
                          <w:szCs w:val="24"/>
                          <w:vertAlign w:val="subscript"/>
                        </w:rPr>
                        <w:t>10, t</w:t>
                      </w:r>
                      <w:r>
                        <w:rPr>
                          <w:szCs w:val="24"/>
                        </w:rPr>
                        <w:t xml:space="preserve"> – </w:t>
                      </w:r>
                      <w:r>
                        <w:rPr>
                          <w:i/>
                          <w:szCs w:val="24"/>
                        </w:rPr>
                        <w:t>t</w:t>
                      </w:r>
                      <w:r>
                        <w:rPr>
                          <w:szCs w:val="24"/>
                        </w:rPr>
                        <w:t xml:space="preserve"> metų kiekio poveikio koeficientas skirstymo paslaugos VĮ tinklais;</w:t>
                      </w:r>
                    </w:p>
                    <w:p>
                      <w:pPr>
                        <w:tabs>
                          <w:tab w:val="left" w:pos="1134"/>
                        </w:tabs>
                        <w:jc w:val="both"/>
                        <w:rPr>
                          <w:szCs w:val="24"/>
                        </w:rPr>
                      </w:pPr>
                      <w:r>
                        <w:rPr>
                          <w:szCs w:val="24"/>
                        </w:rPr>
                        <w:t>E</w:t>
                      </w:r>
                      <w:r>
                        <w:rPr>
                          <w:szCs w:val="24"/>
                          <w:vertAlign w:val="subscript"/>
                        </w:rPr>
                        <w:t xml:space="preserve">04,t </w:t>
                      </w:r>
                      <w:r>
                        <w:rPr>
                          <w:szCs w:val="24"/>
                        </w:rPr>
                        <w:t xml:space="preserve">– planuojamas </w:t>
                      </w:r>
                      <w:r>
                        <w:rPr>
                          <w:i/>
                          <w:iCs/>
                          <w:szCs w:val="24"/>
                        </w:rPr>
                        <w:t xml:space="preserve">t </w:t>
                      </w:r>
                      <w:r>
                        <w:rPr>
                          <w:szCs w:val="24"/>
                        </w:rPr>
                        <w:t>metais paskirstyti elektros energijos kiekis ŽĮ tinklais, kWh;</w:t>
                      </w:r>
                    </w:p>
                    <w:p>
                      <w:pPr>
                        <w:tabs>
                          <w:tab w:val="left" w:pos="1134"/>
                        </w:tabs>
                        <w:jc w:val="both"/>
                        <w:rPr>
                          <w:szCs w:val="24"/>
                        </w:rPr>
                      </w:pPr>
                      <w:r>
                        <w:rPr>
                          <w:szCs w:val="24"/>
                        </w:rPr>
                        <w:t>E</w:t>
                      </w:r>
                      <w:r>
                        <w:rPr>
                          <w:szCs w:val="24"/>
                          <w:vertAlign w:val="subscript"/>
                        </w:rPr>
                        <w:t xml:space="preserve">10,t </w:t>
                      </w:r>
                      <w:r>
                        <w:rPr>
                          <w:szCs w:val="24"/>
                        </w:rPr>
                        <w:t xml:space="preserve">– planuojamas </w:t>
                      </w:r>
                      <w:r>
                        <w:rPr>
                          <w:i/>
                          <w:iCs/>
                          <w:szCs w:val="24"/>
                        </w:rPr>
                        <w:t xml:space="preserve">t </w:t>
                      </w:r>
                      <w:r>
                        <w:rPr>
                          <w:szCs w:val="24"/>
                        </w:rPr>
                        <w:t>metais paskirstyti elektros energijos kiekis VĮ tinklais,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7a3ef2ff2ada436abb5c9fc1b914548a"/>
                    <w:lock w:val="sdtLocked"/>
                    <w:richText/>
                  </w:sdtPr>
                  <w:sdtContent>
                    <w:p>
                      <w:pPr>
                        <w:tabs>
                          <w:tab w:val="left" w:pos="1080"/>
                          <w:tab w:val="left" w:pos="1134"/>
                          <w:tab w:val="left" w:pos="1843"/>
                          <w:tab w:val="left" w:pos="2268"/>
                        </w:tabs>
                        <w:ind w:firstLine="720"/>
                        <w:jc w:val="both"/>
                        <w:rPr>
                          <w:szCs w:val="24"/>
                        </w:rPr>
                      </w:pPr>
                      <w:sdt>
                        <w:sdtPr>
                          <w:alias w:val="Numeris"/>
                          <w:tag w:val="nr_7a3ef2ff2ada436abb5c9fc1b914548a"/>
                          <w:lock w:val="sdtLocked"/>
                          <w:richText/>
                        </w:sdtPr>
                        <w:sdtContent>
                          <w:r>
                            <w:rPr>
                              <w:szCs w:val="24"/>
                            </w:rPr>
                            <w:t>79</w:t>
                          </w:r>
                        </w:sdtContent>
                      </w:sdt>
                      <w:r>
                        <w:rPr>
                          <w:szCs w:val="24"/>
                        </w:rPr>
                        <w:t xml:space="preserve">. Korekcijos koeficientas naudojamas </w:t>
                      </w:r>
                      <w:r>
                        <w:rPr>
                          <w:i/>
                          <w:szCs w:val="24"/>
                        </w:rPr>
                        <w:t>t</w:t>
                      </w:r>
                      <w:r>
                        <w:rPr>
                          <w:szCs w:val="24"/>
                        </w:rPr>
                        <w:t xml:space="preserve"> metų skirstymo paslaugos kainos viršutinei ribai koreguoti dėl faktiškai </w:t>
                      </w:r>
                      <w:r>
                        <w:rPr>
                          <w:i/>
                          <w:szCs w:val="24"/>
                        </w:rPr>
                        <w:t>t-2</w:t>
                      </w:r>
                      <w:r>
                        <w:rPr>
                          <w:szCs w:val="24"/>
                        </w:rPr>
                        <w:t xml:space="preserve"> metais STO gautų pajamų ir planuotų </w:t>
                      </w:r>
                      <w:r>
                        <w:rPr>
                          <w:i/>
                          <w:szCs w:val="24"/>
                        </w:rPr>
                        <w:t>t-2</w:t>
                      </w:r>
                      <w:r>
                        <w:rPr>
                          <w:szCs w:val="24"/>
                        </w:rPr>
                        <w:t xml:space="preserve"> metais STO leidžiamų pajamų neatitikties už skirstymo paslaugą atitinkamos įtampos tinklais (susidaręs pajamų skirtumas dėl konkrečių kainų viršutinių ribų diferencijavimo ir (arba) prognozuoto perduoti bei faktiškai perduoto kiekio skirtumo).</w:t>
                      </w:r>
                    </w:p>
                  </w:sdtContent>
                </w:sdt>
                <w:sdt>
                  <w:sdtPr>
                    <w:alias w:val="80 p."/>
                    <w:tag w:val="part_5a0ac127708840babb47f454ec727ea1"/>
                    <w:lock w:val="sdtLocked"/>
                    <w:richText/>
                  </w:sdtPr>
                  <w:sdtContent>
                    <w:p>
                      <w:pPr>
                        <w:tabs>
                          <w:tab w:val="left" w:pos="1080"/>
                          <w:tab w:val="left" w:pos="1843"/>
                          <w:tab w:val="left" w:pos="2268"/>
                        </w:tabs>
                        <w:ind w:firstLine="720"/>
                        <w:jc w:val="both"/>
                        <w:rPr>
                          <w:szCs w:val="24"/>
                        </w:rPr>
                      </w:pPr>
                      <w:sdt>
                        <w:sdtPr>
                          <w:alias w:val="Numeris"/>
                          <w:tag w:val="nr_5a0ac127708840babb47f454ec727ea1"/>
                          <w:lock w:val="sdtLocked"/>
                          <w:richText/>
                        </w:sdtPr>
                        <w:sdtContent>
                          <w:r>
                            <w:rPr>
                              <w:szCs w:val="24"/>
                            </w:rPr>
                            <w:t>80</w:t>
                          </w:r>
                        </w:sdtContent>
                      </w:sdt>
                      <w:r>
                        <w:rPr>
                          <w:szCs w:val="24"/>
                        </w:rPr>
                        <w:t>. Korekcijos koeficientas atitinkamos įtampos tinkle apskaičiuojamas pagal formules:</w:t>
                      </w:r>
                    </w:p>
                    <w:p>
                      <w:pPr>
                        <w:tabs>
                          <w:tab w:val="left" w:pos="1080"/>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04,</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oMath>
                      <w:r>
                        <w:tab/>
                      </w:r>
                      <w:r>
                        <w:rPr>
                          <w:szCs w:val="24"/>
                        </w:rPr>
                        <w:t>(48)</w:t>
                      </w:r>
                    </w:p>
                    <w:p>
                      <w:pPr>
                        <w:tabs>
                          <w:tab w:val="left" w:pos="9214"/>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10,</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oMath>
                      <w:r>
                        <w:tab/>
                      </w:r>
                      <w:r>
                        <w:rPr>
                          <w:szCs w:val="24"/>
                        </w:rPr>
                        <w:t>(49)</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04,t</w:t>
                      </w:r>
                      <w:r>
                        <w:rPr>
                          <w:szCs w:val="24"/>
                        </w:rPr>
                        <w:t xml:space="preserve"> – </w:t>
                      </w:r>
                      <w:r>
                        <w:rPr>
                          <w:i/>
                          <w:szCs w:val="24"/>
                        </w:rPr>
                        <w:t>t</w:t>
                      </w:r>
                      <w:r>
                        <w:rPr>
                          <w:szCs w:val="24"/>
                        </w:rPr>
                        <w:t xml:space="preserve"> metų korekcijos koeficientas skirstymo paslaugos ŽĮ tinklais kainos viršutinei ribai, EUR/kWh;</w:t>
                      </w:r>
                    </w:p>
                    <w:p>
                      <w:pPr>
                        <w:tabs>
                          <w:tab w:val="left" w:pos="1134"/>
                          <w:tab w:val="left" w:pos="1843"/>
                          <w:tab w:val="left" w:pos="2268"/>
                        </w:tabs>
                        <w:jc w:val="both"/>
                        <w:rPr>
                          <w:szCs w:val="24"/>
                        </w:rPr>
                      </w:pPr>
                      <w:r>
                        <w:rPr>
                          <w:szCs w:val="24"/>
                        </w:rPr>
                        <w:t>K</w:t>
                      </w:r>
                      <w:r>
                        <w:rPr>
                          <w:szCs w:val="24"/>
                          <w:vertAlign w:val="subscript"/>
                        </w:rPr>
                        <w:t>10,t</w:t>
                      </w:r>
                      <w:r>
                        <w:rPr>
                          <w:szCs w:val="24"/>
                        </w:rPr>
                        <w:t xml:space="preserve"> – </w:t>
                      </w:r>
                      <w:r>
                        <w:rPr>
                          <w:i/>
                          <w:szCs w:val="24"/>
                        </w:rPr>
                        <w:t>t</w:t>
                      </w:r>
                      <w:r>
                        <w:rPr>
                          <w:szCs w:val="24"/>
                        </w:rPr>
                        <w:t xml:space="preserve"> metų korekcijos koeficientas skirstymo paslaugos VĮ tinklais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04,t-2</w:t>
                      </w:r>
                      <w:r>
                        <w:rPr>
                          <w:szCs w:val="24"/>
                        </w:rPr>
                        <w:t xml:space="preserve"> – faktinės STO pajamos iš skirstymo paslaugos ŽĮ tinklais </w:t>
                      </w:r>
                      <w:r>
                        <w:rPr>
                          <w:i/>
                          <w:szCs w:val="24"/>
                        </w:rPr>
                        <w:t xml:space="preserve">t-2 </w:t>
                      </w:r>
                      <w:r>
                        <w:rPr>
                          <w:szCs w:val="24"/>
                        </w:rPr>
                        <w:t>metais, EUR;</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10,t-2</w:t>
                      </w:r>
                      <w:r>
                        <w:rPr>
                          <w:szCs w:val="24"/>
                        </w:rPr>
                        <w:t xml:space="preserve"> – faktinės STO pajamos iš skirstymo paslaugos VĮ tinklais </w:t>
                      </w:r>
                      <w:r>
                        <w:rPr>
                          <w:i/>
                          <w:szCs w:val="24"/>
                        </w:rPr>
                        <w:t xml:space="preserve">t-2 </w:t>
                      </w:r>
                      <w:r>
                        <w:rPr>
                          <w:szCs w:val="24"/>
                        </w:rPr>
                        <w:t>metais, EUR;</w:t>
                      </w:r>
                    </w:p>
                    <w:p>
                      <w:pPr>
                        <w:tabs>
                          <w:tab w:val="left" w:pos="1134"/>
                          <w:tab w:val="left" w:pos="1843"/>
                          <w:tab w:val="left" w:pos="2268"/>
                        </w:tabs>
                        <w:jc w:val="both"/>
                        <w:rPr>
                          <w:szCs w:val="24"/>
                        </w:rPr>
                      </w:pPr>
                      <w:r>
                        <w:rPr>
                          <w:szCs w:val="24"/>
                        </w:rPr>
                        <w:t>T’</w:t>
                      </w:r>
                      <w:r>
                        <w:rPr>
                          <w:szCs w:val="24"/>
                          <w:vertAlign w:val="subscript"/>
                        </w:rPr>
                        <w:t>04,t-2</w:t>
                      </w:r>
                      <w:r>
                        <w:rPr>
                          <w:szCs w:val="24"/>
                        </w:rPr>
                        <w:t xml:space="preserve"> – skirstymo paslaugos ŽĮ tinklais kainos viršutinė riba </w:t>
                      </w:r>
                      <w:r>
                        <w:rPr>
                          <w:i/>
                          <w:szCs w:val="24"/>
                        </w:rPr>
                        <w:t xml:space="preserve">t-2 </w:t>
                      </w:r>
                      <w:r>
                        <w:rPr>
                          <w:szCs w:val="24"/>
                        </w:rPr>
                        <w:t>metais, EUR/kWh;</w:t>
                      </w:r>
                    </w:p>
                    <w:p>
                      <w:pPr>
                        <w:tabs>
                          <w:tab w:val="left" w:pos="1134"/>
                          <w:tab w:val="left" w:pos="1843"/>
                          <w:tab w:val="left" w:pos="2268"/>
                        </w:tabs>
                        <w:jc w:val="both"/>
                        <w:rPr>
                          <w:szCs w:val="24"/>
                        </w:rPr>
                      </w:pPr>
                      <w:r>
                        <w:rPr>
                          <w:szCs w:val="24"/>
                        </w:rPr>
                        <w:t>T’</w:t>
                      </w:r>
                      <w:r>
                        <w:rPr>
                          <w:szCs w:val="24"/>
                          <w:vertAlign w:val="subscript"/>
                        </w:rPr>
                        <w:t>10,t-2</w:t>
                      </w:r>
                      <w:r>
                        <w:rPr>
                          <w:szCs w:val="24"/>
                        </w:rPr>
                        <w:t xml:space="preserve"> – skirstymo paslaugos VĮ tinklais kainos viršutinė riba </w:t>
                      </w:r>
                      <w:r>
                        <w:rPr>
                          <w:i/>
                          <w:szCs w:val="24"/>
                        </w:rPr>
                        <w:t xml:space="preserve">t-2 </w:t>
                      </w:r>
                      <w:r>
                        <w:rPr>
                          <w:szCs w:val="24"/>
                        </w:rPr>
                        <w:t>metais, EUR/kWh;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04,t-2</w:t>
                      </w:r>
                      <w:r>
                        <w:rPr>
                          <w:szCs w:val="24"/>
                        </w:rPr>
                        <w:t xml:space="preserve"> – faktinis STO </w:t>
                      </w:r>
                      <w:r>
                        <w:rPr>
                          <w:i/>
                          <w:szCs w:val="24"/>
                        </w:rPr>
                        <w:t xml:space="preserve">t-2 </w:t>
                      </w:r>
                      <w:r>
                        <w:rPr>
                          <w:szCs w:val="24"/>
                        </w:rPr>
                        <w:t>metais paskirstytas elektros energijos ŽĮ tinklais kiekis, kWh;</w:t>
                      </w:r>
                    </w:p>
                    <w:p>
                      <w:pPr>
                        <w:tabs>
                          <w:tab w:val="left" w:pos="1134"/>
                          <w:tab w:val="left" w:pos="1843"/>
                          <w:tab w:val="left" w:pos="2268"/>
                        </w:tabs>
                        <w:jc w:val="both"/>
                        <w:rPr>
                          <w:szCs w:val="24"/>
                        </w:rPr>
                      </w:pPr>
                      <w:r>
                        <w:rPr>
                          <w:szCs w:val="24"/>
                        </w:rPr>
                        <w:t>E</w:t>
                      </w:r>
                      <w:r>
                        <w:rPr>
                          <w:szCs w:val="24"/>
                          <w:vertAlign w:val="superscript"/>
                        </w:rPr>
                        <w:t>f</w:t>
                      </w:r>
                      <w:r>
                        <w:rPr>
                          <w:szCs w:val="24"/>
                          <w:vertAlign w:val="subscript"/>
                        </w:rPr>
                        <w:t>10,t-2</w:t>
                      </w:r>
                      <w:r>
                        <w:rPr>
                          <w:szCs w:val="24"/>
                        </w:rPr>
                        <w:t xml:space="preserve"> – faktinis STO </w:t>
                      </w:r>
                      <w:r>
                        <w:rPr>
                          <w:i/>
                          <w:szCs w:val="24"/>
                        </w:rPr>
                        <w:t xml:space="preserve">t-2 </w:t>
                      </w:r>
                      <w:r>
                        <w:rPr>
                          <w:szCs w:val="24"/>
                        </w:rPr>
                        <w:t>metais paskirstytas elektros energijos VĮ tinklais kiekis, kWh;</w:t>
                      </w:r>
                    </w:p>
                    <w:p>
                      <w:pPr>
                        <w:tabs>
                          <w:tab w:val="left" w:pos="1134"/>
                          <w:tab w:val="left" w:pos="1843"/>
                          <w:tab w:val="left" w:pos="2268"/>
                        </w:tabs>
                        <w:jc w:val="both"/>
                        <w:rPr>
                          <w:szCs w:val="24"/>
                        </w:rPr>
                      </w:pPr>
                      <w:r>
                        <w:rPr>
                          <w:szCs w:val="24"/>
                        </w:rPr>
                        <w:t>E</w:t>
                      </w:r>
                      <w:r>
                        <w:rPr>
                          <w:szCs w:val="24"/>
                          <w:vertAlign w:val="subscript"/>
                        </w:rPr>
                        <w:t>04,t</w:t>
                      </w:r>
                      <w:r>
                        <w:rPr>
                          <w:szCs w:val="24"/>
                        </w:rPr>
                        <w:t xml:space="preserve"> – STO </w:t>
                      </w:r>
                      <w:r>
                        <w:rPr>
                          <w:i/>
                          <w:szCs w:val="24"/>
                        </w:rPr>
                        <w:t>t</w:t>
                      </w:r>
                      <w:r>
                        <w:rPr>
                          <w:szCs w:val="24"/>
                        </w:rPr>
                        <w:t xml:space="preserve"> metais planuojamas paskirstyti elektros energijos kiekis ŽĮ tinklais, kWh;</w:t>
                      </w:r>
                    </w:p>
                    <w:p>
                      <w:pPr>
                        <w:tabs>
                          <w:tab w:val="left" w:pos="1134"/>
                          <w:tab w:val="left" w:pos="1843"/>
                          <w:tab w:val="left" w:pos="2268"/>
                        </w:tabs>
                        <w:jc w:val="both"/>
                        <w:rPr>
                          <w:szCs w:val="24"/>
                        </w:rPr>
                      </w:pPr>
                      <w:r>
                        <w:rPr>
                          <w:szCs w:val="24"/>
                        </w:rPr>
                        <w:t>E</w:t>
                      </w:r>
                      <w:r>
                        <w:rPr>
                          <w:szCs w:val="24"/>
                          <w:vertAlign w:val="subscript"/>
                        </w:rPr>
                        <w:t>10,t</w:t>
                      </w:r>
                      <w:r>
                        <w:rPr>
                          <w:szCs w:val="24"/>
                        </w:rPr>
                        <w:t xml:space="preserve"> – STO </w:t>
                      </w:r>
                      <w:r>
                        <w:rPr>
                          <w:i/>
                          <w:szCs w:val="24"/>
                        </w:rPr>
                        <w:t>t</w:t>
                      </w:r>
                      <w:r>
                        <w:rPr>
                          <w:szCs w:val="24"/>
                        </w:rPr>
                        <w:t xml:space="preserve"> metais planuojamas paskirstyti elektros energijos kiekis VĮ tinklais, kWh.</w:t>
                      </w:r>
                    </w:p>
                  </w:sdtContent>
                </w:sdt>
                <w:sdt>
                  <w:sdtPr>
                    <w:alias w:val="81 p."/>
                    <w:tag w:val="part_19981fac0be34894b30ddb1cd322e5df"/>
                    <w:lock w:val="sdtLocked"/>
                    <w:richText/>
                  </w:sdtPr>
                  <w:sdtContent>
                    <w:p>
                      <w:pPr>
                        <w:tabs>
                          <w:tab w:val="left" w:pos="1080"/>
                          <w:tab w:val="left" w:pos="1843"/>
                          <w:tab w:val="left" w:pos="2268"/>
                        </w:tabs>
                        <w:ind w:firstLine="720"/>
                        <w:jc w:val="both"/>
                        <w:rPr>
                          <w:szCs w:val="24"/>
                        </w:rPr>
                      </w:pPr>
                      <w:sdt>
                        <w:sdtPr>
                          <w:alias w:val="Numeris"/>
                          <w:tag w:val="nr_19981fac0be34894b30ddb1cd322e5df"/>
                          <w:lock w:val="sdtLocked"/>
                          <w:richText/>
                        </w:sdtPr>
                        <w:sdtContent>
                          <w:r>
                            <w:rPr>
                              <w:szCs w:val="24"/>
                            </w:rPr>
                            <w:t>81</w:t>
                          </w:r>
                        </w:sdtContent>
                      </w:sdt>
                      <w:r>
                        <w:rPr>
                          <w:szCs w:val="24"/>
                        </w:rPr>
                        <w:t xml:space="preserve">. Skirstymo paslaugos ŽĮ ir VĮ tinklais kainos viršutinė riba </w:t>
                      </w:r>
                      <w:r>
                        <w:rPr>
                          <w:i/>
                          <w:szCs w:val="24"/>
                        </w:rPr>
                        <w:t>t</w:t>
                      </w:r>
                      <w:r>
                        <w:rPr>
                          <w:szCs w:val="24"/>
                        </w:rPr>
                        <w:t xml:space="preserve"> metais apskaičiuojama atimant kainos viršutinės ribos korekcijos koeficientą iš </w:t>
                      </w:r>
                      <w:r>
                        <w:rPr>
                          <w:i/>
                          <w:szCs w:val="24"/>
                        </w:rPr>
                        <w:t>t</w:t>
                      </w:r>
                      <w:r>
                        <w:rPr>
                          <w:szCs w:val="24"/>
                        </w:rPr>
                        <w:t xml:space="preserve"> metų indeksuotos elektros energijos atitinkamos įtampos skirstymo paslaugos kainos viršutinės ribos pagal formules:</w:t>
                      </w:r>
                    </w:p>
                    <w:p>
                      <w:pPr>
                        <w:tabs>
                          <w:tab w:val="left" w:pos="1134"/>
                          <w:tab w:val="left" w:pos="1843"/>
                          <w:tab w:val="left" w:pos="2268"/>
                        </w:tabs>
                        <w:jc w:val="both"/>
                        <w:rPr>
                          <w:szCs w:val="24"/>
                        </w:rPr>
                      </w:pPr>
                    </w:p>
                    <w:p>
                      <w:pPr>
                        <w:tabs>
                          <w:tab w:val="left" w:pos="9214"/>
                        </w:tabs>
                        <w:ind w:firstLine="9214"/>
                        <w:jc w:val="both"/>
                        <w:rPr>
                          <w:i/>
                          <w:szCs w:val="24"/>
                        </w:rPr>
                      </w:pPr>
                      <w:r>
                        <w:tab/>
                      </w: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oMath>
                      <w:r>
                        <w:tab/>
                      </w:r>
                      <w:r>
                        <w:rPr>
                          <w:szCs w:val="24"/>
                        </w:rPr>
                        <w:t>(50)</w:t>
                      </w:r>
                    </w:p>
                    <w:p>
                      <w:pPr>
                        <w:tabs>
                          <w:tab w:val="left" w:pos="1134"/>
                          <w:tab w:val="left" w:pos="1843"/>
                          <w:tab w:val="left" w:pos="2268"/>
                        </w:tabs>
                        <w:jc w:val="both"/>
                        <w:rPr>
                          <w:i/>
                          <w:szCs w:val="24"/>
                        </w:rPr>
                      </w:pPr>
                    </w:p>
                    <w:p>
                      <w:pPr>
                        <w:tabs>
                          <w:tab w:val="left" w:pos="9214"/>
                        </w:tabs>
                        <w:ind w:firstLine="9214"/>
                        <w:jc w:val="both"/>
                        <w:rPr>
                          <w:i/>
                          <w:szCs w:val="24"/>
                        </w:rPr>
                      </w:pPr>
                      <w:r>
                        <w:rPr>
                          <w:i/>
                        </w:rPr>
                        <w:t xml:space="preserve">  </w:t>
                      </w: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oMath>
                      <w:r>
                        <w:tab/>
                      </w:r>
                      <w:r>
                        <w:rPr>
                          <w:szCs w:val="24"/>
                        </w:rPr>
                        <w:t>(51)</w:t>
                      </w: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04,t</w:t>
                      </w:r>
                      <w:r>
                        <w:rPr>
                          <w:szCs w:val="24"/>
                        </w:rPr>
                        <w:t xml:space="preserve"> – </w:t>
                      </w:r>
                      <w:r>
                        <w:rPr>
                          <w:i/>
                          <w:szCs w:val="24"/>
                        </w:rPr>
                        <w:t>t</w:t>
                      </w:r>
                      <w:r>
                        <w:rPr>
                          <w:szCs w:val="24"/>
                        </w:rPr>
                        <w:t xml:space="preserve"> metų skirstymo paslaugos ŽĮ tinklais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skirstymo paslaugos VĮ tinklais kainos viršutinė riba, EUR/kWh;</w:t>
                      </w:r>
                    </w:p>
                    <w:p>
                      <w:pPr>
                        <w:tabs>
                          <w:tab w:val="left" w:pos="1134"/>
                          <w:tab w:val="left" w:pos="1843"/>
                          <w:tab w:val="left" w:pos="2268"/>
                        </w:tabs>
                        <w:jc w:val="both"/>
                        <w:rPr>
                          <w:szCs w:val="24"/>
                        </w:rPr>
                      </w:pPr>
                      <w:r>
                        <w:rPr>
                          <w:szCs w:val="24"/>
                        </w:rPr>
                        <w:t>T</w:t>
                      </w:r>
                      <w:r>
                        <w:rPr>
                          <w:szCs w:val="24"/>
                          <w:vertAlign w:val="subscript"/>
                        </w:rPr>
                        <w:t>04,t</w:t>
                      </w:r>
                      <w:r>
                        <w:rPr>
                          <w:szCs w:val="24"/>
                        </w:rPr>
                        <w:t xml:space="preserve"> – indeksuota </w:t>
                      </w:r>
                      <w:r>
                        <w:rPr>
                          <w:i/>
                          <w:szCs w:val="24"/>
                        </w:rPr>
                        <w:t>t</w:t>
                      </w:r>
                      <w:r>
                        <w:rPr>
                          <w:szCs w:val="24"/>
                        </w:rPr>
                        <w:t xml:space="preserve"> metų skirstymo ŽĮ tinklais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indeksuota </w:t>
                      </w:r>
                      <w:r>
                        <w:rPr>
                          <w:i/>
                          <w:szCs w:val="24"/>
                        </w:rPr>
                        <w:t>t</w:t>
                      </w:r>
                      <w:r>
                        <w:rPr>
                          <w:szCs w:val="24"/>
                        </w:rPr>
                        <w:t xml:space="preserve"> metų skirstymo VĮ tinklais paslaugos kainos viršutinė riba, EUR/kWh;</w:t>
                      </w:r>
                    </w:p>
                    <w:p>
                      <w:pPr>
                        <w:tabs>
                          <w:tab w:val="left" w:pos="1134"/>
                          <w:tab w:val="left" w:pos="1843"/>
                          <w:tab w:val="left" w:pos="2268"/>
                        </w:tabs>
                        <w:jc w:val="both"/>
                        <w:rPr>
                          <w:szCs w:val="24"/>
                        </w:rPr>
                      </w:pPr>
                      <w:r>
                        <w:rPr>
                          <w:szCs w:val="24"/>
                        </w:rPr>
                        <w:t>K</w:t>
                      </w:r>
                      <w:r>
                        <w:rPr>
                          <w:szCs w:val="24"/>
                          <w:vertAlign w:val="subscript"/>
                        </w:rPr>
                        <w:t>04,t</w:t>
                      </w:r>
                      <w:r>
                        <w:rPr>
                          <w:szCs w:val="24"/>
                        </w:rPr>
                        <w:t xml:space="preserve"> – </w:t>
                      </w:r>
                      <w:r>
                        <w:rPr>
                          <w:i/>
                          <w:szCs w:val="24"/>
                        </w:rPr>
                        <w:t>t</w:t>
                      </w:r>
                      <w:r>
                        <w:rPr>
                          <w:szCs w:val="24"/>
                        </w:rPr>
                        <w:t xml:space="preserve"> metų korekcijos koeficientas skirstymo ŽĮ tinklais paslaugai, EUR/kWh;</w:t>
                      </w:r>
                    </w:p>
                    <w:p>
                      <w:pPr>
                        <w:tabs>
                          <w:tab w:val="left" w:pos="1134"/>
                          <w:tab w:val="left" w:pos="1843"/>
                          <w:tab w:val="left" w:pos="2268"/>
                        </w:tabs>
                        <w:jc w:val="both"/>
                        <w:rPr>
                          <w:szCs w:val="24"/>
                        </w:rPr>
                      </w:pPr>
                      <w:r>
                        <w:rPr>
                          <w:szCs w:val="24"/>
                        </w:rPr>
                        <w:t>K</w:t>
                      </w:r>
                      <w:r>
                        <w:rPr>
                          <w:szCs w:val="24"/>
                          <w:vertAlign w:val="subscript"/>
                        </w:rPr>
                        <w:t>10,t</w:t>
                      </w:r>
                      <w:r>
                        <w:rPr>
                          <w:szCs w:val="24"/>
                        </w:rPr>
                        <w:t xml:space="preserve"> – </w:t>
                      </w:r>
                      <w:r>
                        <w:rPr>
                          <w:i/>
                          <w:szCs w:val="24"/>
                        </w:rPr>
                        <w:t>t</w:t>
                      </w:r>
                      <w:r>
                        <w:rPr>
                          <w:szCs w:val="24"/>
                        </w:rPr>
                        <w:t xml:space="preserve"> metų korekcijos koeficientas skirstymo VĮ tinklais paslaugai, EUR/kWh.</w:t>
                      </w:r>
                    </w:p>
                  </w:sdtContent>
                </w:sdt>
                <w:sdt>
                  <w:sdtPr>
                    <w:alias w:val="82 p."/>
                    <w:tag w:val="part_8eb7c14ffdbb48e08a90e683b9cc7c1c"/>
                    <w:lock w:val="sdtLocked"/>
                    <w:richText/>
                  </w:sdtPr>
                  <w:sdtContent>
                    <w:p>
                      <w:pPr>
                        <w:tabs>
                          <w:tab w:val="left" w:pos="1134"/>
                        </w:tabs>
                        <w:ind w:firstLine="709"/>
                        <w:jc w:val="both"/>
                        <w:rPr>
                          <w:szCs w:val="24"/>
                        </w:rPr>
                      </w:pPr>
                      <w:sdt>
                        <w:sdtPr>
                          <w:alias w:val="Numeris"/>
                          <w:tag w:val="nr_8eb7c14ffdbb48e08a90e683b9cc7c1c"/>
                          <w:lock w:val="sdtLocked"/>
                          <w:richText/>
                        </w:sdtPr>
                        <w:sdtContent>
                          <w:r>
                            <w:rPr>
                              <w:szCs w:val="24"/>
                            </w:rPr>
                            <w:t>82</w:t>
                          </w:r>
                        </w:sdtContent>
                      </w:sdt>
                      <w:r>
                        <w:rPr>
                          <w:szCs w:val="24"/>
                        </w:rPr>
                        <w:t>. Pirmaisiais reguliavimo periodo metais indeksavimo ir kiekio poveikio koeficientai lygūs vienetui, o korekcijos koeficientai – nuliui. Kitiems reguliavimo periodo metams koregavimo koeficientai skaičiuojami pagal patikslintus (faktinius) esamųjų metų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313def3feb494688a26552b469cc0f12"/>
            <w:lock w:val="sdtLocked"/>
            <w:richText/>
          </w:sdtPr>
          <w:sdtContent>
            <w:p>
              <w:pPr>
                <w:tabs>
                  <w:tab w:val="left" w:pos="1134"/>
                  <w:tab w:val="left" w:pos="1843"/>
                  <w:tab w:val="left" w:pos="2268"/>
                </w:tabs>
                <w:jc w:val="center"/>
                <w:rPr>
                  <w:b/>
                  <w:szCs w:val="24"/>
                </w:rPr>
              </w:pPr>
              <w:sdt>
                <w:sdtPr>
                  <w:alias w:val="Numeris"/>
                  <w:tag w:val="nr_313def3feb494688a26552b469cc0f12"/>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313def3feb494688a26552b469cc0f12"/>
                  <w:lock w:val="sdtLocked"/>
                  <w:richText/>
                </w:sdtPr>
                <w:sdtContent>
                  <w:r>
                    <w:rPr>
                      <w:b/>
                      <w:szCs w:val="24"/>
                    </w:rPr>
                    <w:t>ĮMONIŲ, BESIVERČIANČIŲ SKIRSTYMO VEIKLA, KURIŲ VEIKLOS TERITORIJOJE ESANČIŲ VARTOTOJŲ SKAIČIUS MAŽESNIS NEI 100 TŪKSTANČIŲ, KAINŲ VIRŠUTINIŲ RIBŲ NUSTATYMAS</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83 p."/>
                <w:tag w:val="part_8b11663ae4894d40b5f675ebe37ef006"/>
                <w:lock w:val="sdtLocked"/>
                <w:richText/>
              </w:sdtPr>
              <w:sdtContent>
                <w:p>
                  <w:pPr>
                    <w:tabs>
                      <w:tab w:val="left" w:pos="1134"/>
                      <w:tab w:val="left" w:pos="1843"/>
                      <w:tab w:val="left" w:pos="2268"/>
                    </w:tabs>
                    <w:ind w:firstLine="720"/>
                    <w:jc w:val="both"/>
                    <w:rPr>
                      <w:szCs w:val="24"/>
                    </w:rPr>
                  </w:pPr>
                  <w:sdt>
                    <w:sdtPr>
                      <w:alias w:val="Numeris"/>
                      <w:tag w:val="nr_8b11663ae4894d40b5f675ebe37ef006"/>
                      <w:lock w:val="sdtLocked"/>
                      <w:richText/>
                    </w:sdtPr>
                    <w:sdtContent>
                      <w:r>
                        <w:rPr>
                          <w:szCs w:val="24"/>
                        </w:rPr>
                        <w:t>83</w:t>
                      </w:r>
                    </w:sdtContent>
                  </w:sdt>
                  <w:r>
                    <w:rPr>
                      <w:szCs w:val="24"/>
                    </w:rPr>
                    <w:t>. Įmonėms, besiverčiančioms skirstymo veikla, kurių veiklos teritorijoje esančių vartotojų skaičius mažesnis nei 100 tūkstančių, skirstymo paslaugos pradinis pajamų lygis nustatomas vadovaujantis Metodikos 85 punktu.</w:t>
                  </w:r>
                </w:p>
              </w:sdtContent>
            </w:sdt>
            <w:sdt>
              <w:sdtPr>
                <w:alias w:val="84 p."/>
                <w:tag w:val="part_ce0b6459968242d88642ef07e0b962c7"/>
                <w:lock w:val="sdtLocked"/>
                <w:richText/>
              </w:sdtPr>
              <w:sdtContent>
                <w:p>
                  <w:pPr>
                    <w:tabs>
                      <w:tab w:val="left" w:pos="1134"/>
                      <w:tab w:val="left" w:pos="1843"/>
                      <w:tab w:val="left" w:pos="2268"/>
                    </w:tabs>
                    <w:ind w:firstLine="720"/>
                    <w:jc w:val="both"/>
                    <w:rPr>
                      <w:szCs w:val="24"/>
                    </w:rPr>
                  </w:pPr>
                  <w:sdt>
                    <w:sdtPr>
                      <w:alias w:val="Numeris"/>
                      <w:tag w:val="nr_ce0b6459968242d88642ef07e0b962c7"/>
                      <w:lock w:val="sdtLocked"/>
                      <w:richText/>
                    </w:sdtPr>
                    <w:sdtContent>
                      <w:r>
                        <w:rPr>
                          <w:szCs w:val="24"/>
                        </w:rPr>
                        <w:t>84</w:t>
                      </w:r>
                    </w:sdtContent>
                  </w:sdt>
                  <w:r>
                    <w:rPr>
                      <w:szCs w:val="24"/>
                    </w:rPr>
                    <w:t>. Elektros energijos skirstymo paslaugos viršutinė kainos riba skaičiuojama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mc:AlternateContent>
                      <mc:Choice Requires="wpc">
                        <w:drawing>
                          <wp:inline distT="0" distB="0" distL="0" distR="0">
                            <wp:extent cx="3359150" cy="362585"/>
                            <wp:effectExtent l="3810" t="0" r="0" b="0"/>
                            <wp:docPr id="52" name="Canvas 11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2" name="Rectangle 11"/>
                                    <wps:cNvSpPr>
                                      <a:spLocks noChangeArrowheads="1"/>
                                    </wps:cNvSpPr>
                                    <wps:spPr bwMode="auto">
                                      <a:xfrm>
                                        <a:off x="387906" y="17104"/>
                                        <a:ext cx="28000" cy="175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GB"/>
                                            </w:rPr>
                                            <w:t>'</w:t>
                                          </w:r>
                                        </w:p>
                                      </w:txbxContent>
                                    </wps:txbx>
                                    <wps:bodyPr rot="0" vert="horz" wrap="none" lIns="0" tIns="0" rIns="0" bIns="0" anchor="t" anchorCtr="0" upright="1">
                                      <a:spAutoFit/>
                                    </wps:bodyPr>
                                  </wps:wsp>
                                  <wps:wsp>
                                    <wps:cNvPr id="183" name="Rectangle 12"/>
                                    <wps:cNvSpPr>
                                      <a:spLocks noChangeArrowheads="1"/>
                                    </wps:cNvSpPr>
                                    <wps:spPr bwMode="auto">
                                      <a:xfrm>
                                        <a:off x="1516523"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4" name="Rectangle 13"/>
                                    <wps:cNvSpPr>
                                      <a:spLocks noChangeArrowheads="1"/>
                                    </wps:cNvSpPr>
                                    <wps:spPr bwMode="auto">
                                      <a:xfrm>
                                        <a:off x="1423221"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185" name="Rectangle 14"/>
                                    <wps:cNvSpPr>
                                      <a:spLocks noChangeArrowheads="1"/>
                                    </wps:cNvSpPr>
                                    <wps:spPr bwMode="auto">
                                      <a:xfrm>
                                        <a:off x="1395921" y="109826"/>
                                        <a:ext cx="22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6" name="Rectangle 15"/>
                                    <wps:cNvSpPr>
                                      <a:spLocks noChangeArrowheads="1"/>
                                    </wps:cNvSpPr>
                                    <wps:spPr bwMode="auto">
                                      <a:xfrm>
                                        <a:off x="1303819"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187" name="Rectangle 16"/>
                                    <wps:cNvSpPr>
                                      <a:spLocks noChangeArrowheads="1"/>
                                    </wps:cNvSpPr>
                                    <wps:spPr bwMode="auto">
                                      <a:xfrm>
                                        <a:off x="1276519"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8" name="Rectangle 17"/>
                                    <wps:cNvSpPr>
                                      <a:spLocks noChangeArrowheads="1"/>
                                    </wps:cNvSpPr>
                                    <wps:spPr bwMode="auto">
                                      <a:xfrm>
                                        <a:off x="927214"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89" name="Rectangle 18"/>
                                    <wps:cNvSpPr>
                                      <a:spLocks noChangeArrowheads="1"/>
                                    </wps:cNvSpPr>
                                    <wps:spPr bwMode="auto">
                                      <a:xfrm>
                                        <a:off x="833812"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190" name="Rectangle 19"/>
                                    <wps:cNvSpPr>
                                      <a:spLocks noChangeArrowheads="1"/>
                                    </wps:cNvSpPr>
                                    <wps:spPr bwMode="auto">
                                      <a:xfrm>
                                        <a:off x="806512" y="109826"/>
                                        <a:ext cx="22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191" name="Rectangle 20"/>
                                    <wps:cNvSpPr>
                                      <a:spLocks noChangeArrowheads="1"/>
                                    </wps:cNvSpPr>
                                    <wps:spPr bwMode="auto">
                                      <a:xfrm>
                                        <a:off x="713811"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64" name="Rectangle 21"/>
                                    <wps:cNvSpPr>
                                      <a:spLocks noChangeArrowheads="1"/>
                                    </wps:cNvSpPr>
                                    <wps:spPr bwMode="auto">
                                      <a:xfrm>
                                        <a:off x="687110"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5" name="Rectangle 22"/>
                                    <wps:cNvSpPr>
                                      <a:spLocks noChangeArrowheads="1"/>
                                    </wps:cNvSpPr>
                                    <wps:spPr bwMode="auto">
                                      <a:xfrm>
                                        <a:off x="335205" y="109826"/>
                                        <a:ext cx="299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6" name="Rectangle 23"/>
                                    <wps:cNvSpPr>
                                      <a:spLocks noChangeArrowheads="1"/>
                                    </wps:cNvSpPr>
                                    <wps:spPr bwMode="auto">
                                      <a:xfrm>
                                        <a:off x="241904"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04</w:t>
                                          </w:r>
                                        </w:p>
                                      </w:txbxContent>
                                    </wps:txbx>
                                    <wps:bodyPr rot="0" vert="horz" wrap="none" lIns="0" tIns="0" rIns="0" bIns="0" anchor="t" anchorCtr="0" upright="1">
                                      <a:spAutoFit/>
                                    </wps:bodyPr>
                                  </wps:wsp>
                                  <wps:wsp>
                                    <wps:cNvPr id="67" name="Rectangle 24"/>
                                    <wps:cNvSpPr>
                                      <a:spLocks noChangeArrowheads="1"/>
                                    </wps:cNvSpPr>
                                    <wps:spPr bwMode="auto">
                                      <a:xfrm>
                                        <a:off x="214603" y="109826"/>
                                        <a:ext cx="22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68" name="Rectangle 25"/>
                                    <wps:cNvSpPr>
                                      <a:spLocks noChangeArrowheads="1"/>
                                    </wps:cNvSpPr>
                                    <wps:spPr bwMode="auto">
                                      <a:xfrm>
                                        <a:off x="122502" y="109826"/>
                                        <a:ext cx="89501"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10</w:t>
                                          </w:r>
                                        </w:p>
                                      </w:txbxContent>
                                    </wps:txbx>
                                    <wps:bodyPr rot="0" vert="horz" wrap="none" lIns="0" tIns="0" rIns="0" bIns="0" anchor="t" anchorCtr="0" upright="1">
                                      <a:spAutoFit/>
                                    </wps:bodyPr>
                                  </wps:wsp>
                                  <wps:wsp>
                                    <wps:cNvPr id="69" name="Rectangle 26"/>
                                    <wps:cNvSpPr>
                                      <a:spLocks noChangeArrowheads="1"/>
                                    </wps:cNvSpPr>
                                    <wps:spPr bwMode="auto">
                                      <a:xfrm>
                                        <a:off x="95201" y="109826"/>
                                        <a:ext cx="298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GB"/>
                                            </w:rPr>
                                            <w:t>(</w:t>
                                          </w:r>
                                        </w:p>
                                      </w:txbxContent>
                                    </wps:txbx>
                                    <wps:bodyPr rot="0" vert="horz" wrap="none" lIns="0" tIns="0" rIns="0" bIns="0" anchor="t" anchorCtr="0" upright="1">
                                      <a:spAutoFit/>
                                    </wps:bodyPr>
                                  </wps:wsp>
                                  <wps:wsp>
                                    <wps:cNvPr id="70" name="Rectangle 27"/>
                                    <wps:cNvSpPr>
                                      <a:spLocks noChangeArrowheads="1"/>
                                    </wps:cNvSpPr>
                                    <wps:spPr bwMode="auto">
                                      <a:xfrm>
                                        <a:off x="1550923"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1" name="Rectangle 28"/>
                                    <wps:cNvSpPr>
                                      <a:spLocks noChangeArrowheads="1"/>
                                    </wps:cNvSpPr>
                                    <wps:spPr bwMode="auto">
                                      <a:xfrm>
                                        <a:off x="961414"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2" name="Rectangle 29"/>
                                    <wps:cNvSpPr>
                                      <a:spLocks noChangeArrowheads="1"/>
                                    </wps:cNvSpPr>
                                    <wps:spPr bwMode="auto">
                                      <a:xfrm>
                                        <a:off x="419706" y="110426"/>
                                        <a:ext cx="25400" cy="102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t</w:t>
                                          </w:r>
                                        </w:p>
                                      </w:txbxContent>
                                    </wps:txbx>
                                    <wps:bodyPr rot="0" vert="horz" wrap="none" lIns="0" tIns="0" rIns="0" bIns="0" anchor="t" anchorCtr="0" upright="1">
                                      <a:spAutoFit/>
                                    </wps:bodyPr>
                                  </wps:wsp>
                                  <wps:wsp>
                                    <wps:cNvPr id="73" name="Rectangle 30"/>
                                    <wps:cNvSpPr>
                                      <a:spLocks noChangeArrowheads="1"/>
                                    </wps:cNvSpPr>
                                    <wps:spPr bwMode="auto">
                                      <a:xfrm>
                                        <a:off x="1160817" y="17104"/>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K</w:t>
                                          </w:r>
                                        </w:p>
                                      </w:txbxContent>
                                    </wps:txbx>
                                    <wps:bodyPr rot="0" vert="horz" wrap="none" lIns="0" tIns="0" rIns="0" bIns="0" anchor="t" anchorCtr="0" upright="1">
                                      <a:spAutoFit/>
                                    </wps:bodyPr>
                                  </wps:wsp>
                                  <wps:wsp>
                                    <wps:cNvPr id="74" name="Rectangle 31"/>
                                    <wps:cNvSpPr>
                                      <a:spLocks noChangeArrowheads="1"/>
                                    </wps:cNvSpPr>
                                    <wps:spPr bwMode="auto">
                                      <a:xfrm>
                                        <a:off x="605109" y="17104"/>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75" name="Rectangle 32"/>
                                    <wps:cNvSpPr>
                                      <a:spLocks noChangeArrowheads="1"/>
                                    </wps:cNvSpPr>
                                    <wps:spPr bwMode="auto">
                                      <a:xfrm>
                                        <a:off x="13300" y="17104"/>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76" name="Rectangle 33"/>
                                    <wps:cNvSpPr>
                                      <a:spLocks noChangeArrowheads="1"/>
                                    </wps:cNvSpPr>
                                    <wps:spPr bwMode="auto">
                                      <a:xfrm>
                                        <a:off x="1042216" y="0"/>
                                        <a:ext cx="83801" cy="186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s:wsp>
                                    <wps:cNvPr id="77" name="Rectangle 34"/>
                                    <wps:cNvSpPr>
                                      <a:spLocks noChangeArrowheads="1"/>
                                    </wps:cNvSpPr>
                                    <wps:spPr bwMode="auto">
                                      <a:xfrm>
                                        <a:off x="490807" y="0"/>
                                        <a:ext cx="83901" cy="186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c:wpc>
                              </a:graphicData>
                            </a:graphic>
                          </wp:inline>
                        </w:drawing>
                      </mc:Choice>
                      <mc:Fallback>
                        <w:pict>
                          <v:group id="Canvas 116" o:spid="_x0000_s1026" editas="canvas" style="width:264.5pt;height:28.55pt;mso-position-horizontal-relative:char;mso-position-vertical-relative:line" coordsize="33591,362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Ui34UQYAAA1lAAAOAAAAZHJzL2Uyb0RvYy54bWzsXduO2zYQfS/QfxD07pikrhSiDRJ7XRRI 26BpP4CWZFuoLAmSst406L93SK1oey0HRZPlLqDZB6+uFC+jw+HMmdHrN/f7wrrLmjavytimr4ht ZWVSpXm5je0//1jNQttqO1GmoqjKLLY/Z6395ubHH14f6ihj1a4q0qyxoJCyjQ51bO+6ro7m8zbZ ZXvRvqrqrISTm6rZiw52m+08bcQBSt8Xc0aIPz9UTVo3VZK1LRxd9iftG1X+ZpMl3W+bTZt1VhHb ULdO/Tbqdy1/5zevRbRtRL3Lk4dqiP9Ri73IS3ioLmopOmF9avKLovZ50lRtteleJdV+Xm02eZKp NkBrKHnUmoUo70SrGpNA7wwVhK3vWO56K+tdVqu8KKA35lB6JI/J/wcYnwwOHmoYnbbW49R+2/M/ 7kSdqWa1UfLr3YfGylMQnpDZVin2ICW/w7iJcltkFqVyiOTz4cKP9YdGVrat31fJX61VVosdXJa9 bZrqsMtECvVS10MjTm6QOy3caq0Pv1QpFC8+dZUarftNs5cFwjhY97HthAEnvm19hmICStxeOrL7 zkrgLAsJARFK1FmPuf2TRDQUUjdt91NW7S25EdsNtEE9RNy9bzvZsyIaLjnrcREV5dkBuLA/Ak+G W+U5WQclTl844bfhbejOXObfzlyyXM7erhbuzF/RwFs6y8ViSf+Rz6VutMvTNCvlwA6iTd3/NnIP L1kvlFq426rIU1mcrFLbbNeLorHuBLxaK/Un+wsqf3LZ/Lwa6jS05VGTKHPJO8ZnKz8MZu7K9WY8 IOGMUP6O+8Tl7nJ13qT3eZl9e5OsQ2xzj3lqlE4q/ahtMOpy4C/aJqJ93gF4Ffk+tqVs9BeJSEri bZnCDSLqRF702yddIat/7ArosWGgldxKUe1Fvrtf30MpUn7XVfoZJLipQLJACAFxYWNXNX/b1gHQ K7ZLgFfbKn4u4R2QQDdsNMPGetgQZQI3xnZnW/3mousB8VPd5NsdlEv7HqnfwnuyypXsHusAFZc7 AAfGcMEZwQVmEBeoR32PQS3kq094yPxHyMC5RgbCGFPAAcOKyIDI8HTI0E+aw2swaYBwRwDCGXrG gOJAXeYwRq8CRMg9AmeV6oAAgaqDGdVBAYSeJycNEN4IQKhZWqoyJgDC4R7/CkAwubhAgMC1hV5e mVhbKIDQ8+SkAQJW/RemB8+kBuEQJ6QcNQgwh6Hx4WhYUWaFZzM+KIDQ8+SkASIYAQhlBjClQbDA 974CEIyjBoHWyVMDrTENQs+TkwYIcHRdaBCBQQ2Cs4BRMIRctVEiPiA+PAs+6Gly0vgAuv0FPoQG 8SF0YIEBHtYr+IAmyuseQPRuPpV3Uy0w9Cw5ZXzgYP67wAduEh8IrC+u4wNj6ONE/eFZ9Ac9S04a H8B/+BgfmDIMGTJABBT0B3RxSr4eGihflIFSz5ITxgd/hAIB/sYH9pgBDydQ9ygFHebK8oIhRep0 7kTypBHypFpegFQiidIfYUAwzQ0xgA+O4zEClUB8QPXhhDj+AvybxxCDKesPIwQIYDyb0x8gnoJD xMU1fEDzJJonTwNLDDIowSiG+oM/wn/o4xwMmR/At+mTr4RgIIES1xdnEGmM/kD1NDll/WGE/gCR deb0B8qYR667L1B/OHs50P5g0P6ABMrY9kfoD30YpSH9AQJ9ZQjWVfMDsqPQu3mqQZlTH/QsOWH1 IRhhPzDNCzFgnqSeR/gQ4g2pHy5CvD0XA7Qw+cMJRpoDCORPxnYwRn/QxBADAMF96g70asQHmYEJ k8PInFKaGXme+MakfVLPk1NWIEZyRzFNDDGAD+C+CIbcUYgPiA8PibFeAj7oaXLK+DCSQ8rRxBAD +ECpT0IKXhRpgbhMLkchLYwD9Ighu5w/xPxiDinMIfXUOaT0PDllgBghUDpGCZTEg9xy1/AhBPPE kCAm8BjCwwmHCMOz9CLkOyefVPzJY5TBlOFhhD/paGKICf3BcaQBclx7QHRA7+YzsaOOQQZTRocR 9qSjaSEm0AE8Foz2qavVyqFPGS3TVodOqHNPhr7vYnLaY/ASag5PqznoCXLK2DDCnHQ0JcQANric hKQ3PFxAA0doQKfmczg1j7EFLxMa1Gcw4BMYKk3/w/dB5Ec9TvdVJvzjV0xu/gUAAP//AwBQSwME FAAGAAgAAAAhAOgkPMnZAAAABAEAAA8AAABkcnMvZG93bnJldi54bWxMj8FuwjAQRO+V+g/WVuJW HJBK2zQOqpDoCQ4J/QATb5OQeB3FJpi/Z+mlvax2NKvZN9k62l5MOPrWkYLFPAGBVDnTUq3g+7B9 fgPhgyaje0eo4Ioe1vnjQ6ZT4y5U4FSGWnAI+VQraEIYUil91aDVfu4GJPZ+3Gh1YDnW0oz6wuG2 l8skWUmrW+IPjR5w02DVlWer4CS31+JrU+Cp2+3rzpRxtZuiUrOn+PkBImAMf8dwx2d0yJnp6M5k vOgVcJHwO9l7Wb6zPPLyugCZZ/I/fH4DAAD//wMAUEsBAi0AFAAGAAgAAAAhALaDOJL+AAAA4QEA ABMAAAAAAAAAAAAAAAAAAAAAAFtDb250ZW50X1R5cGVzXS54bWxQSwECLQAUAAYACAAAACEAOP0h /9YAAACUAQAACwAAAAAAAAAAAAAAAAAvAQAAX3JlbHMvLnJlbHNQSwECLQAUAAYACAAAACEAY1It +FEGAAANZQAADgAAAAAAAAAAAAAAAAAuAgAAZHJzL2Uyb0RvYy54bWxQSwECLQAUAAYACAAAACEA 6CQ8ydkAAAAEAQAADwAAAAAAAAAAAAAAAACrCAAAZHJzL2Rvd25yZXYueG1sUEsFBgAAAAAEAAQA 8wAAALEJA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3591;height:3625;visibility:visible;mso-wrap-style:square">
                              <v:fill o:detectmouseclick="t"/>
                              <v:path o:connecttype="none"/>
                            </v:shape>
                            <v:rect id="Rectangle 11" o:spid="_x0000_s1028" style="position:absolute;left:3879;top:171;width:28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laHWL8A AADcAAAADwAAAGRycy9kb3ducmV2LnhtbERPzYrCMBC+L/gOYQRva7o9SKlGkQVBFy/WfYChmf5g MilJtN23N4Kwt/n4fmezm6wRD/Khd6zga5mBIK6d7rlV8Hs9fBYgQkTWaByTgj8KsNvOPjZYajfy hR5VbEUK4VCigi7GoZQy1B1ZDEs3ECeucd5iTNC3UnscU7g1Ms+ylbTYc2rocKDvjupbdbcK5LU6 jEVlfOZ+8uZsTsdLQ06pxXzar0FEmuK/+O0+6jS/yOH1TLpAbp8AAAD//wMAUEsBAi0AFAAGAAgA AAAhAPD3irv9AAAA4gEAABMAAAAAAAAAAAAAAAAAAAAAAFtDb250ZW50X1R5cGVzXS54bWxQSwEC LQAUAAYACAAAACEAMd1fYdIAAACPAQAACwAAAAAAAAAAAAAAAAAuAQAAX3JlbHMvLnJlbHNQSwEC LQAUAAYACAAAACEAMy8FnkEAAAA5AAAAEAAAAAAAAAAAAAAAAAApAgAAZHJzL3NoYXBleG1sLnht bFBLAQItABQABgAIAAAAIQCaVodYvwAAANwAAAAPAAAAAAAAAAAAAAAAAJgCAABkcnMvZG93bnJl di54bWxQSwUGAAAAAAQABAD1AAAAhAMAAAAA " filled="f" stroked="f">
                              <v:textbox style="mso-fit-shape-to-text:t" inset="0,0,0,0">
                                <w:txbxContent>
                                  <w:p>
                                    <w:pPr>
                                      <w:rPr>
                                        <w:szCs w:val="24"/>
                                        <w:lang w:val="en-GB"/>
                                      </w:rPr>
                                    </w:pPr>
                                    <w:r>
                                      <w:rPr>
                                        <w:color w:val="000000"/>
                                        <w:szCs w:val="24"/>
                                        <w:lang w:val="en-GB"/>
                                      </w:rPr>
                                      <w:t>'</w:t>
                                    </w:r>
                                  </w:p>
                                </w:txbxContent>
                              </v:textbox>
                            </v:rect>
                            <v:rect id="Rectangle 12" o:spid="_x0000_s1029" style="position:absolute;left:15165;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Roiw78A AADcAAAADwAAAGRycy9kb3ducmV2LnhtbERP24rCMBB9X/Afwgi+rakuLK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D1GiLD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3" o:spid="_x0000_s1030" style="position:absolute;left:14232;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vO6t78A AADcAAAADwAAAGRycy9kb3ducmV2LnhtbERP24rCMBB9X/Afwgi+ramyLK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B687q3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04</w:t>
                                    </w:r>
                                  </w:p>
                                </w:txbxContent>
                              </v:textbox>
                            </v:rect>
                            <v:rect id="Rectangle 14" o:spid="_x0000_s1031" style="position:absolute;left:13959;top:1098;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b8fLL8A AADcAAAADwAAAGRycy9kb3ducmV2LnhtbERP24rCMBB9X/Afwgi+ranCLqVrFBEEXXyx7gcMzfSC yaQk0da/N4Kwb3M411ltRmvEnXzoHCtYzDMQxJXTHTcK/i77zxxEiMgajWNS8KAAm/XkY4WFdgOf 6V7GRqQQDgUqaGPsCylD1ZLFMHc9ceJq5y3GBH0jtcchhVsjl1n2LS12nBpa7GnXUnUtb1aBvJT7 IS+Nz9zvsj6Z4+Fck1NqNh23PyAijfFf/HYfdJqff8HrmXS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AVvx8s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5" o:spid="_x0000_s1032" style="position:absolute;left:130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W2BW74A AADcAAAADwAAAGRycy9kb3ducmV2LnhtbERPzYrCMBC+L/gOYYS9rakepHSNIoKgsherDzA00x82 mZQk2vr2RhC8zcf3O6vNaI24kw+dYwXzWQaCuHK640bB9bL/yUGEiKzROCYFDwqwWU++VlhoN/CZ 7mVsRArhUKCCNsa+kDJULVkMM9cTJ6523mJM0DdSexxSuDVykWVLabHj1NBiT7uWqv/yZhXIS7kf 8tL4zJ0W9Z85Hs41OaW+p+P2F0SkMX7Eb/dBp/n5El7PpAvk+gkAAP//AwBQSwECLQAUAAYACAAA ACEA8PeKu/0AAADiAQAAEwAAAAAAAAAAAAAAAAAAAAAAW0NvbnRlbnRfVHlwZXNdLnhtbFBLAQIt ABQABgAIAAAAIQAx3V9h0gAAAI8BAAALAAAAAAAAAAAAAAAAAC4BAABfcmVscy8ucmVsc1BLAQIt ABQABgAIAAAAIQAzLwWeQQAAADkAAAAQAAAAAAAAAAAAAAAAACkCAABkcnMvc2hhcGV4bWwueG1s UEsBAi0AFAAGAAgAAAAhAOVtgVu+AAAA3AAAAA8AAAAAAAAAAAAAAAAAmAIAAGRycy9kb3ducmV2 LnhtbFBLBQYAAAAABAAEAPUAAACDAwAAAAA= " filled="f" stroked="f">
                              <v:textbox style="mso-fit-shape-to-text:t" inset="0,0,0,0">
                                <w:txbxContent>
                                  <w:p>
                                    <w:pPr>
                                      <w:rPr>
                                        <w:szCs w:val="24"/>
                                        <w:lang w:val="en-GB"/>
                                      </w:rPr>
                                    </w:pPr>
                                    <w:r>
                                      <w:rPr>
                                        <w:color w:val="000000"/>
                                        <w:sz w:val="14"/>
                                        <w:szCs w:val="14"/>
                                        <w:lang w:val="en-GB"/>
                                      </w:rPr>
                                      <w:t>10</w:t>
                                    </w:r>
                                  </w:p>
                                </w:txbxContent>
                              </v:textbox>
                            </v:rect>
                            <v:rect id="Rectangle 16" o:spid="_x0000_s1033" style="position:absolute;left:12765;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iEkwL8A AADcAAAADwAAAGRycy9kb3ducmV2LnhtbERPzYrCMBC+L/gOYQRva6qH3dI1igiCLl6s+wBDM/3B ZFKSaOvbG0HY23x8v7PajNaIO/nQOVawmGcgiCunO24U/F32nzmIEJE1Gsek4EEBNuvJxwoL7QY+ 072MjUghHApU0MbYF1KGqiWLYe564sTVzluMCfpGao9DCrdGLrPsS1rsODW02NOupepa3qwCeSn3 Q14an7nfZX0yx8O5JqfUbDpuf0BEGuO/+O0+6DQ//4bXM+kCuX4CAAD//wMAUEsBAi0AFAAGAAgA AAAhAPD3irv9AAAA4gEAABMAAAAAAAAAAAAAAAAAAAAAAFtDb250ZW50X1R5cGVzXS54bWxQSwEC LQAUAAYACAAAACEAMd1fYdIAAACPAQAACwAAAAAAAAAAAAAAAAAuAQAAX3JlbHMvLnJlbHNQSwEC LQAUAAYACAAAACEAMy8FnkEAAAA5AAAAEAAAAAAAAAAAAAAAAAApAgAAZHJzL3NoYXBleG1sLnht bFBLAQItABQABgAIAAAAIQCKISTA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w:t>
                                    </w:r>
                                  </w:p>
                                </w:txbxContent>
                              </v:textbox>
                            </v:rect>
                            <v:rect id="Rectangle 17" o:spid="_x0000_s1034" style="position:absolute;left:9272;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6wssMA AADcAAAADwAAAGRycy9kb3ducmV2LnhtbESPzWoDMQyE74G8g1Ght8TbHMKyjRNKIZCGXLLpA4i1 9ofa8mI72e3bR4dCbxIzmvm0O8zeqQfFNAQ28LYuQBE3wQ7cGfi+HVclqJSRLbrAZOCXEhz2y8UO KxsmvtKjzp2SEE4VGuhzHiutU9OTx7QOI7FobYges6yx0zbiJOHe6U1RbLXHgaWhx5E+e2p+6rs3 oG/1cSprF4tw3rQX93W6thSMeX2ZP95BZZrzv/nv+mQFvxRaeUYm0PsnAAAA//8DAFBLAQItABQA BgAIAAAAIQDw94q7/QAAAOIBAAATAAAAAAAAAAAAAAAAAAAAAABbQ29udGVudF9UeXBlc10ueG1s UEsBAi0AFAAGAAgAAAAhADHdX2HSAAAAjwEAAAsAAAAAAAAAAAAAAAAALgEAAF9yZWxzLy5yZWxz UEsBAi0AFAAGAAgAAAAhADMvBZ5BAAAAOQAAABAAAAAAAAAAAAAAAAAAKQIAAGRycy9zaGFwZXht bC54bWxQSwECLQAUAAYACAAAACEA+76wssMAAADcAAAADwAAAAAAAAAAAAAAAACYAgAAZHJzL2Rv d25yZXYueG1sUEsFBgAAAAAEAAQA9QAAAIgDAAAAAA== " filled="f" stroked="f">
                              <v:textbox style="mso-fit-shape-to-text:t" inset="0,0,0,0">
                                <w:txbxContent>
                                  <w:p>
                                    <w:pPr>
                                      <w:rPr>
                                        <w:szCs w:val="24"/>
                                        <w:lang w:val="en-GB"/>
                                      </w:rPr>
                                    </w:pPr>
                                    <w:r>
                                      <w:rPr>
                                        <w:color w:val="000000"/>
                                        <w:sz w:val="14"/>
                                        <w:szCs w:val="14"/>
                                        <w:lang w:val="en-GB"/>
                                      </w:rPr>
                                      <w:t>)</w:t>
                                    </w:r>
                                  </w:p>
                                </w:txbxContent>
                              </v:textbox>
                            </v:rect>
                            <v:rect id="Rectangle 18" o:spid="_x0000_s1035" style="position:absolute;left:83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PIVKb8A AADcAAAADwAAAGRycy9kb3ducmV2LnhtbERPzYrCMBC+L/gOYQRva6qHpds1igiCLl6s+wBDM/3B ZFKSaOvbG0HY23x8v7PajNaIO/nQOVawmGcgiCunO24U/F32nzmIEJE1Gsek4EEBNuvJxwoL7QY+ 072MjUghHApU0MbYF1KGqiWLYe564sTVzluMCfpGao9DCrdGLrPsS1rsODW02NOupepa3qwCeSn3 Q14an7nfZX0yx8O5JqfUbDpuf0BEGuO/+O0+6DQ//4bXM+kCuX4CAAD//wMAUEsBAi0AFAAGAAgA AAAhAPD3irv9AAAA4gEAABMAAAAAAAAAAAAAAAAAAAAAAFtDb250ZW50X1R5cGVzXS54bWxQSwEC LQAUAAYACAAAACEAMd1fYdIAAACPAQAACwAAAAAAAAAAAAAAAAAuAQAAX3JlbHMvLnJlbHNQSwEC LQAUAAYACAAAACEAMy8FnkEAAAA5AAAAEAAAAAAAAAAAAAAAAAApAgAAZHJzL3NoYXBleG1sLnht bFBLAQItABQABgAIAAAAIQCU8hUp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04</w:t>
                                    </w:r>
                                  </w:p>
                                </w:txbxContent>
                              </v:textbox>
                            </v:rect>
                            <v:rect id="Rectangle 19" o:spid="_x0000_s1036" style="position:absolute;left:8065;top:1098;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BEqacMA AADcAAAADwAAAGRycy9kb3ducmV2LnhtbESPT2sCMRDF70K/Q5hCb5qth6Jbo5SCoMWLqx9g2Mz+ oclkSVJ3/fadg+Bthvfmvd9sdpN36kYx9YENvC8KUMR1sD23Bq6X/XwFKmVkiy4wGbhTgt32ZbbB 0oaRz3SrcqskhFOJBrqch1LrVHfkMS3CQCxaE6LHLGtstY04Srh3elkUH9pjz9LQ4UDfHdW/1Z83 oC/VflxVLhbhZ9mc3PFwbigY8/Y6fX2CyjTlp/lxfbCCvxZ8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gBEqacMAAADcAAAADwAAAAAAAAAAAAAAAACYAgAAZHJzL2Rv d25yZXYueG1sUEsFBgAAAAAEAAQA9QAAAIgDAAAAAA== " filled="f" stroked="f">
                              <v:textbox style="mso-fit-shape-to-text:t" inset="0,0,0,0">
                                <w:txbxContent>
                                  <w:p>
                                    <w:pPr>
                                      <w:rPr>
                                        <w:szCs w:val="24"/>
                                        <w:lang w:val="en-GB"/>
                                      </w:rPr>
                                    </w:pPr>
                                    <w:r>
                                      <w:rPr>
                                        <w:color w:val="000000"/>
                                        <w:sz w:val="14"/>
                                        <w:szCs w:val="14"/>
                                        <w:lang w:val="en-GB"/>
                                      </w:rPr>
                                      <w:t>,</w:t>
                                    </w:r>
                                  </w:p>
                                </w:txbxContent>
                              </v:textbox>
                            </v:rect>
                            <v:rect id="Rectangle 20" o:spid="_x0000_s1037" style="position:absolute;left:7138;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12P8r8A AADcAAAADwAAAGRycy9kb3ducmV2LnhtbERPzYrCMBC+L/gOYQRva6qHxa1GEUHQxYvVBxia6Q8m k5JEW9/eCMLe5uP7ndVmsEY8yIfWsYLZNANBXDrdcq3getl/L0CEiKzROCYFTwqwWY++Vphr1/OZ HkWsRQrhkKOCJsYulzKUDVkMU9cRJ65y3mJM0NdSe+xTuDVynmU/0mLLqaHBjnYNlbfibhXIS7Hv F4XxmfubVydzPJwrckpNxsN2CSLSEP/FH/dBp/m/M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DvXY/yvwAAANwAAAAPAAAAAAAAAAAAAAAAAJgCAABkcnMvZG93bnJl di54bWxQSwUGAAAAAAQABAD1AAAAhAMAAAAA " filled="f" stroked="f">
                              <v:textbox style="mso-fit-shape-to-text:t" inset="0,0,0,0">
                                <w:txbxContent>
                                  <w:p>
                                    <w:pPr>
                                      <w:rPr>
                                        <w:szCs w:val="24"/>
                                        <w:lang w:val="en-GB"/>
                                      </w:rPr>
                                    </w:pPr>
                                    <w:r>
                                      <w:rPr>
                                        <w:color w:val="000000"/>
                                        <w:sz w:val="14"/>
                                        <w:szCs w:val="14"/>
                                        <w:lang w:val="en-GB"/>
                                      </w:rPr>
                                      <w:t>10</w:t>
                                    </w:r>
                                  </w:p>
                                </w:txbxContent>
                              </v:textbox>
                            </v:rect>
                            <v:rect id="Rectangle 21" o:spid="_x0000_s1038" style="position:absolute;left:6871;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wtj/MAA AADbAAAADwAAAGRycy9kb3ducmV2LnhtbESPzYoCMRCE7wu+Q2jB25pRRGQ0igiCK14cfYBm0vOD SWdIojP79kZY2GNRVV9Rm91gjXiRD61jBbNpBoK4dLrlWsH9dvxegQgRWaNxTAp+KcBuO/raYK5d z1d6FbEWCcIhRwVNjF0uZSgbshimriNOXuW8xZikr6X22Ce4NXKeZUtpseW00GBHh4bKR/G0CuSt OParwvjMnefVxfycrhU5pSbjYb8GEWmI/+G/9kkrWC7g8yX9ALl9AwAA//8DAFBLAQItABQABgAI AAAAIQDw94q7/QAAAOIBAAATAAAAAAAAAAAAAAAAAAAAAABbQ29udGVudF9UeXBlc10ueG1sUEsB Ai0AFAAGAAgAAAAhADHdX2HSAAAAjwEAAAsAAAAAAAAAAAAAAAAALgEAAF9yZWxzLy5yZWxzUEsB Ai0AFAAGAAgAAAAhADMvBZ5BAAAAOQAAABAAAAAAAAAAAAAAAAAAKQIAAGRycy9zaGFwZXhtbC54 bWxQSwECLQAUAAYACAAAACEAcwtj/M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2" o:spid="_x0000_s1039" style="position:absolute;left:3352;top:1098;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EfGZ8AA AADbAAAADwAAAGRycy9kb3ducmV2LnhtbESPzYoCMRCE7wu+Q2jB25pRUGQ0igiCK14cfYBm0vOD SWdIojP79kZY2GNRVV9Rm91gjXiRD61jBbNpBoK4dLrlWsH9dvxegQgRWaNxTAp+KcBuO/raYK5d z1d6FbEWCcIhRwVNjF0uZSgbshimriNOXuW8xZikr6X22Ce4NXKeZUtpseW00GBHh4bKR/G0CuSt OParwvjMnefVxfycrhU5pSbjYb8GEWmI/+G/9kkrWC7g8yX9ALl9AwAA//8DAFBLAQItABQABgAI AAAAIQDw94q7/QAAAOIBAAATAAAAAAAAAAAAAAAAAAAAAABbQ29udGVudF9UeXBlc10ueG1sUEsB Ai0AFAAGAAgAAAAhADHdX2HSAAAAjwEAAAsAAAAAAAAAAAAAAAAALgEAAF9yZWxzLy5yZWxzUEsB Ai0AFAAGAAgAAAAhADMvBZ5BAAAAOQAAABAAAAAAAAAAAAAAAAAAKQIAAGRycy9zaGFwZXhtbC54 bWxQSwECLQAUAAYACAAAACEAHEfGZ8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3" o:spid="_x0000_s1040" style="position:absolute;left:2419;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JVYEMAA AADbAAAADwAAAGRycy9kb3ducmV2LnhtbESPzYoCMRCE7wu+Q2jB25rRwyCzRhFBUPHiuA/QTHp+ 2KQzJNEZ394Iwh6LqvqKWm9Ha8SDfOgcK1jMMxDEldMdNwp+b4fvFYgQkTUax6TgSQG2m8nXGgvt Br7So4yNSBAOBSpoY+wLKUPVksUwdz1x8mrnLcYkfSO1xyHBrZHLLMulxY7TQos97Vuq/sq7VSBv 5WFYlcZn7rysL+Z0vNbklJpNx90PiEhj/A9/2ketIM/h/SX9ALl5AQAA//8DAFBLAQItABQABgAI AAAAIQDw94q7/QAAAOIBAAATAAAAAAAAAAAAAAAAAAAAAABbQ29udGVudF9UeXBlc10ueG1sUEsB Ai0AFAAGAAgAAAAhADHdX2HSAAAAjwEAAAsAAAAAAAAAAAAAAAAALgEAAF9yZWxzLy5yZWxzUEsB Ai0AFAAGAAgAAAAhADMvBZ5BAAAAOQAAABAAAAAAAAAAAAAAAAAAKQIAAGRycy9zaGFwZXhtbC54 bWxQSwECLQAUAAYACAAAACEA7JVYEM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04</w:t>
                                    </w:r>
                                  </w:p>
                                </w:txbxContent>
                              </v:textbox>
                            </v:rect>
                            <v:rect id="Rectangle 24" o:spid="_x0000_s1041" style="position:absolute;left:2146;top:1098;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9n9i8AA AADbAAAADwAAAGRycy9kb3ducmV2LnhtbESPzYoCMRCE7wu+Q2jB25rRgyujUUQQXPHi6AM0k54f TDpDEp3ZtzeCsMeiqr6i1tvBGvEkH1rHCmbTDARx6XTLtYLb9fC9BBEiskbjmBT8UYDtZvS1xly7 ni/0LGItEoRDjgqaGLtcylA2ZDFMXUecvMp5izFJX0vtsU9wa+Q8yxbSYstpocGO9g2V9+JhFchr ceiXhfGZO82rs/k9XipySk3Gw24FItIQ/8Of9lErWPz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g9n9i8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5" o:spid="_x0000_s1042" style="position:absolute;left:1225;top:1098;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8kZp+b0A AADbAAAADwAAAGRycy9kb3ducmV2LnhtbERPy4rCMBTdC/5DuII7m+pCpBpFBEEHN9b5gEtz+8Dk piTRdv7eLIRZHs57dxitEW/yoXOsYJnlIIgrpztuFPw+zosNiBCRNRrHpOCPAhz208kOC+0GvtO7 jI1IIRwKVNDG2BdShqoliyFzPXHiauctxgR9I7XHIYVbI1d5vpYWO04NLfZ0aql6li+rQD7K87Ap jc/dz6q+mevlXpNTaj4bj1sQkcb4L/66L1rBOo1NX9IPkPsPAAAA//8DAFBLAQItABQABgAIAAAA IQDw94q7/QAAAOIBAAATAAAAAAAAAAAAAAAAAAAAAABbQ29udGVudF9UeXBlc10ueG1sUEsBAi0A FAAGAAgAAAAhADHdX2HSAAAAjwEAAAsAAAAAAAAAAAAAAAAALgEAAF9yZWxzLy5yZWxzUEsBAi0A FAAGAAgAAAAhADMvBZ5BAAAAOQAAABAAAAAAAAAAAAAAAAAAKQIAAGRycy9zaGFwZXhtbC54bWxQ SwECLQAUAAYACAAAACEA8kZp+b0AAADbAAAADwAAAAAAAAAAAAAAAACYAgAAZHJzL2Rvd25yZXYu eG1sUEsFBgAAAAAEAAQA9QAAAIIDAAAAAA== " filled="f" stroked="f">
                              <v:textbox style="mso-fit-shape-to-text:t" inset="0,0,0,0">
                                <w:txbxContent>
                                  <w:p>
                                    <w:pPr>
                                      <w:rPr>
                                        <w:szCs w:val="24"/>
                                        <w:lang w:val="en-GB"/>
                                      </w:rPr>
                                    </w:pPr>
                                    <w:r>
                                      <w:rPr>
                                        <w:color w:val="000000"/>
                                        <w:sz w:val="14"/>
                                        <w:szCs w:val="14"/>
                                        <w:lang w:val="en-GB"/>
                                      </w:rPr>
                                      <w:t>10</w:t>
                                    </w:r>
                                  </w:p>
                                </w:txbxContent>
                              </v:textbox>
                            </v:rect>
                            <v:rect id="Rectangle 26" o:spid="_x0000_s1043" style="position:absolute;left:952;top:1098;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QrMYsAA AADbAAAADwAAAGRycy9kb3ducmV2LnhtbESPzYoCMRCE7wu+Q2jB25rRg7ijUUQQXPHi6AM0k54f TDpDEp3ZtzeCsMeiqr6i1tvBGvEkH1rHCmbTDARx6XTLtYLb9fC9BBEiskbjmBT8UYDtZvS1xly7 ni/0LGItEoRDjgqaGLtcylA2ZDFMXUecvMp5izFJX0vtsU9wa+Q8yxbSYstpocGO9g2V9+JhFchr ceiXhfGZO82rs/k9XipySk3Gw24FItIQ/8Of9lErWPz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nQrMYsAAAADbAAAADwAAAAAAAAAAAAAAAACYAgAAZHJzL2Rvd25y ZXYueG1sUEsFBgAAAAAEAAQA9QAAAIUDAAAAAA== " filled="f" stroked="f">
                              <v:textbox style="mso-fit-shape-to-text:t" inset="0,0,0,0">
                                <w:txbxContent>
                                  <w:p>
                                    <w:pPr>
                                      <w:rPr>
                                        <w:szCs w:val="24"/>
                                        <w:lang w:val="en-GB"/>
                                      </w:rPr>
                                    </w:pPr>
                                    <w:r>
                                      <w:rPr>
                                        <w:color w:val="000000"/>
                                        <w:sz w:val="14"/>
                                        <w:szCs w:val="14"/>
                                        <w:lang w:val="en-GB"/>
                                      </w:rPr>
                                      <w:t>(</w:t>
                                    </w:r>
                                  </w:p>
                                </w:txbxContent>
                              </v:textbox>
                            </v:rect>
                            <v:rect id="Rectangle 27" o:spid="_x0000_s1044" style="position:absolute;left:15509;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enzIr8A AADbAAAADwAAAGRycy9kb3ducmV2LnhtbERPS2rDMBDdF3IHMYXsarlepMGxEkohkIZu4uQAgzX+ EGlkJMV2bx8tCl0+3r86LNaIiXwYHCt4z3IQxI3TA3cKbtfj2xZEiMgajWNS8EsBDvvVS4WldjNf aKpjJ1IIhxIV9DGOpZSh6cliyNxInLjWeYsxQd9J7XFO4dbIIs830uLAqaHHkb56au71wyqQ1/o4 b2vjc3cu2h/zfbq05JRavy6fOxCRlvgv/nOftIKPtD59ST9A7p8AAAD//wMAUEsBAi0AFAAGAAgA AAAhAPD3irv9AAAA4gEAABMAAAAAAAAAAAAAAAAAAAAAAFtDb250ZW50X1R5cGVzXS54bWxQSwEC LQAUAAYACAAAACEAMd1fYdIAAACPAQAACwAAAAAAAAAAAAAAAAAuAQAAX3JlbHMvLnJlbHNQSwEC LQAUAAYACAAAACEAMy8FnkEAAAA5AAAAEAAAAAAAAAAAAAAAAAApAgAAZHJzL3NoYXBleG1sLnht bFBLAQItABQABgAIAAAAIQCJ6fMivwAAANs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t</w:t>
                                    </w:r>
                                  </w:p>
                                </w:txbxContent>
                              </v:textbox>
                            </v:rect>
                            <v:rect id="Rectangle 28" o:spid="_x0000_s1045" style="position:absolute;left:9614;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qVWucAA AADbAAAADwAAAGRycy9kb3ducmV2LnhtbESPzYoCMRCE7wu+Q2jB25rRw66MRhFB0MWLow/QTHp+ MOkMSXTGtzeCsMeiqr6iVpvBGvEgH1rHCmbTDARx6XTLtYLrZf+9ABEiskbjmBQ8KcBmPfpaYa5d z2d6FLEWCcIhRwVNjF0uZSgbshimriNOXuW8xZikr6X22Ce4NXKeZT/SYstpocGOdg2Vt+JuFchL se8XhfGZ+5tXJ3M8nCtySk3Gw3YJItIQ/8Of9kEr+J3B+0v6AXL9AgAA//8DAFBLAQItABQABgAI AAAAIQDw94q7/QAAAOIBAAATAAAAAAAAAAAAAAAAAAAAAABbQ29udGVudF9UeXBlc10ueG1sUEsB Ai0AFAAGAAgAAAAhADHdX2HSAAAAjwEAAAsAAAAAAAAAAAAAAAAALgEAAF9yZWxzLy5yZWxzUEsB Ai0AFAAGAAgAAAAhADMvBZ5BAAAAOQAAABAAAAAAAAAAAAAAAAAAKQIAAGRycy9zaGFwZXhtbC54 bWxQSwECLQAUAAYACAAAACEA5qVWucAAAADbAAAADwAAAAAAAAAAAAAAAACYAgAAZHJzL2Rvd25y ZXYueG1sUEsFBgAAAAAEAAQA9QAAAIUDAAAAAA== " filled="f" stroked="f">
                              <v:textbox style="mso-fit-shape-to-text:t" inset="0,0,0,0">
                                <w:txbxContent>
                                  <w:p>
                                    <w:pPr>
                                      <w:rPr>
                                        <w:szCs w:val="24"/>
                                        <w:lang w:val="en-GB"/>
                                      </w:rPr>
                                    </w:pPr>
                                    <w:r>
                                      <w:rPr>
                                        <w:i/>
                                        <w:iCs/>
                                        <w:color w:val="000000"/>
                                        <w:sz w:val="14"/>
                                        <w:szCs w:val="14"/>
                                        <w:lang w:val="en-GB"/>
                                      </w:rPr>
                                      <w:t>t</w:t>
                                    </w:r>
                                  </w:p>
                                </w:txbxContent>
                              </v:textbox>
                            </v:rect>
                            <v:rect id="Rectangle 29" o:spid="_x0000_s1046" style="position:absolute;left:4197;top:1104;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nfIzsEA AADbAAAADwAAAGRycy9kb3ducmV2LnhtbESPzYoCMRCE74LvEFrYm2acgyuzRhFBUNmL4z5AM+n5 waQzJNEZ394sLOyxqKqvqM1utEY8yYfOsYLlIgNBXDndcaPg53acr0GEiKzROCYFLwqw204nGyy0 G/hKzzI2IkE4FKigjbEvpAxVSxbDwvXEyaudtxiT9I3UHocEt0bmWbaSFjtOCy32dGipupcPq0De yuOwLo3P3CWvv835dK3JKfUxG/dfICKN8T/81z5pBZ85/H5JP0Bu3wAAAP//AwBQSwECLQAUAAYA CAAAACEA8PeKu/0AAADiAQAAEwAAAAAAAAAAAAAAAAAAAAAAW0NvbnRlbnRfVHlwZXNdLnhtbFBL AQItABQABgAIAAAAIQAx3V9h0gAAAI8BAAALAAAAAAAAAAAAAAAAAC4BAABfcmVscy8ucmVsc1BL AQItABQABgAIAAAAIQAzLwWeQQAAADkAAAAQAAAAAAAAAAAAAAAAACkCAABkcnMvc2hhcGV4bWwu eG1sUEsBAi0AFAAGAAgAAAAhABZ3yM7BAAAA2wAAAA8AAAAAAAAAAAAAAAAAmAIAAGRycy9kb3du cmV2LnhtbFBLBQYAAAAABAAEAPUAAACGAwAAAAA= " filled="f" stroked="f">
                              <v:textbox style="mso-fit-shape-to-text:t" inset="0,0,0,0">
                                <w:txbxContent>
                                  <w:p>
                                    <w:pPr>
                                      <w:rPr>
                                        <w:szCs w:val="24"/>
                                        <w:lang w:val="en-GB"/>
                                      </w:rPr>
                                    </w:pPr>
                                    <w:r>
                                      <w:rPr>
                                        <w:i/>
                                        <w:iCs/>
                                        <w:color w:val="000000"/>
                                        <w:sz w:val="14"/>
                                        <w:szCs w:val="14"/>
                                        <w:lang w:val="en-GB"/>
                                      </w:rPr>
                                      <w:t>t</w:t>
                                    </w:r>
                                  </w:p>
                                </w:txbxContent>
                              </v:textbox>
                            </v:rect>
                            <v:rect id="Rectangle 30" o:spid="_x0000_s1047" style="position:absolute;left:11608;top:171;width:102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TttVcEA AADbAAAADwAAAGRycy9kb3ducmV2LnhtbESPzYoCMRCE74LvEFrwphkVdm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Hk7bVX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K</w:t>
                                    </w:r>
                                  </w:p>
                                </w:txbxContent>
                              </v:textbox>
                            </v:rect>
                            <v:rect id="Rectangle 31" o:spid="_x0000_s1048" style="position:absolute;left:6051;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tL1IcEA AADbAAAADwAAAGRycy9kb3ducmV2LnhtbESPzYoCMRCE74LvEFrwphlFdm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PbS9SH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T</w:t>
                                    </w:r>
                                  </w:p>
                                </w:txbxContent>
                              </v:textbox>
                            </v:rect>
                            <v:rect id="Rectangle 32" o:spid="_x0000_s1049" style="position:absolute;left:133;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Z5QusEA AADbAAAADwAAAGRycy9kb3ducmV2LnhtbESPzYoCMRCE74LvEFrwphkFd2U0igiCLntx9AGaSc8P Jp0hic749puFhT0WVfUVtd0P1ogX+dA6VrCYZyCIS6dbrhXcb6fZGkSIyBqNY1LwpgD73Xi0xVy7 nq/0KmItEoRDjgqaGLtcylA2ZDHMXUecvMp5izFJX0vtsU9wa+Qyyz6kxZbTQoMdHRsqH8XTKpC3 4tSvC+Mz97Wsvs3lfK3IKTWdDIcNiEhD/A//tc9awecKfr+kHyB3PwAAAP//AwBQSwECLQAUAAYA CAAAACEA8PeKu/0AAADiAQAAEwAAAAAAAAAAAAAAAAAAAAAAW0NvbnRlbnRfVHlwZXNdLnhtbFBL AQItABQABgAIAAAAIQAx3V9h0gAAAI8BAAALAAAAAAAAAAAAAAAAAC4BAABfcmVscy8ucmVsc1BL AQItABQABgAIAAAAIQAzLwWeQQAAADkAAAAQAAAAAAAAAAAAAAAAACkCAABkcnMvc2hhcGV4bWwu eG1sUEsBAi0AFAAGAAgAAAAhAJmeULrBAAAA2wAAAA8AAAAAAAAAAAAAAAAAmAIAAGRycy9kb3du cmV2LnhtbFBLBQYAAAAABAAEAPUAAACGAwAAAAA= " filled="f" stroked="f">
                              <v:textbox style="mso-fit-shape-to-text:t" inset="0,0,0,0">
                                <w:txbxContent>
                                  <w:p>
                                    <w:pPr>
                                      <w:rPr>
                                        <w:szCs w:val="24"/>
                                        <w:lang w:val="en-GB"/>
                                      </w:rPr>
                                    </w:pPr>
                                    <w:r>
                                      <w:rPr>
                                        <w:i/>
                                        <w:iCs/>
                                        <w:color w:val="000000"/>
                                        <w:szCs w:val="24"/>
                                        <w:lang w:val="en-GB"/>
                                      </w:rPr>
                                      <w:t>T</w:t>
                                    </w:r>
                                  </w:p>
                                </w:txbxContent>
                              </v:textbox>
                            </v:rect>
                            <v:rect id="Rectangle 33" o:spid="_x0000_s1050" style="position:absolute;left:1042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UzOzcAA AADbAAAADwAAAGRycy9kb3ducmV2LnhtbESPzYoCMRCE7wu+Q2jB25rRgyujUUQQXPHi6AM0k54f TDpDEp3ZtzeCsMeiqr6i1tvBGvEkH1rHCmbTDARx6XTLtYLb9fC9BBEiskbjmBT8UYDtZvS1xly7 ni/0LGItEoRDjgqaGLtcylA2ZDFMXUecvMp5izFJX0vtsU9wa+Q8yxbSYstpocGO9g2V9+JhFchr ceiXhfGZO82rs/k9XipySk3Gw24FItIQ/8Of9lEr+Fn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aUzOzcAAAADbAAAADwAAAAAAAAAAAAAAAACYAgAAZHJzL2Rvd25y ZXYueG1sUEsFBgAAAAAEAAQA9QAAAIUDAAAAAA== " filled="f" stroked="f">
                              <v:textbox style="mso-fit-shape-to-text:t" inset="0,0,0,0">
                                <w:txbxContent>
                                  <w:p>
                                    <w:pPr>
                                      <w:rPr>
                                        <w:szCs w:val="24"/>
                                        <w:lang w:val="en-GB"/>
                                      </w:rPr>
                                    </w:pPr>
                                    <w:r>
                                      <w:rPr>
                                        <w:rFonts w:ascii="Symbol" w:hAnsi="Symbol" w:cs="Symbol"/>
                                        <w:color w:val="000000"/>
                                        <w:szCs w:val="24"/>
                                        <w:lang w:val="en-GB"/>
                                      </w:rPr>
                                      <w:t></w:t>
                                    </w:r>
                                  </w:p>
                                </w:txbxContent>
                              </v:textbox>
                            </v:rect>
                            <v:rect id="Rectangle 34" o:spid="_x0000_s1051" style="position:absolute;left:4908;width:839;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gBrVsAA AADbAAAADwAAAGRycy9kb3ducmV2LnhtbESPzYoCMRCE7wu+Q2jB25rRg8poFBEEV7w4+gDNpOcH k86QRGf27Y2wsMeiqr6iNrvBGvEiH1rHCmbTDARx6XTLtYL77fi9AhEiskbjmBT8UoDddvS1wVy7 nq/0KmItEoRDjgqaGLtcylA2ZDFMXUecvMp5izFJX0vtsU9wa+Q8yxbSYstpocGODg2Vj+JpFchb cexXhfGZO8+ri/k5XStySk3Gw34NItIQ/8N/7ZNWsFzC50v6AXL7BgAA//8DAFBLAQItABQABgAI AAAAIQDw94q7/QAAAOIBAAATAAAAAAAAAAAAAAAAAAAAAABbQ29udGVudF9UeXBlc10ueG1sUEsB Ai0AFAAGAAgAAAAhADHdX2HSAAAAjwEAAAsAAAAAAAAAAAAAAAAALgEAAF9yZWxzLy5yZWxzUEsB Ai0AFAAGAAgAAAAhADMvBZ5BAAAAOQAAABAAAAAAAAAAAAAAAAAAKQIAAGRycy9zaGFwZXhtbC54 bWxQSwECLQAUAAYACAAAACEABgBrVsAAAADbAAAADwAAAAAAAAAAAAAAAACYAgAAZHJzL2Rvd25y ZXYueG1sUEsFBgAAAAAEAAQA9QAAAIUDAAAAAA== " filled="f" stroked="f">
                              <v:textbox style="mso-fit-shape-to-text:t" inset="0,0,0,0">
                                <w:txbxContent>
                                  <w:p>
                                    <w:pPr>
                                      <w:rPr>
                                        <w:szCs w:val="24"/>
                                        <w:lang w:val="en-GB"/>
                                      </w:rPr>
                                    </w:pPr>
                                    <w:r>
                                      <w:rPr>
                                        <w:rFonts w:ascii="Symbol" w:hAnsi="Symbol" w:cs="Symbol"/>
                                        <w:color w:val="000000"/>
                                        <w:szCs w:val="24"/>
                                        <w:lang w:val="en-GB"/>
                                      </w:rPr>
                                      <w:t></w:t>
                                    </w:r>
                                  </w:p>
                                </w:txbxContent>
                              </v:textbox>
                            </v:rect>
                            <w10:anchorlock/>
                          </v:group>
                        </w:pict>
                      </mc:Fallback>
                    </mc:AlternateContent>
                  </w:r>
                  <w:r>
                    <w:rPr>
                      <w:szCs w:val="24"/>
                    </w:rPr>
                    <w:tab/>
                    <w:t>(52)</w:t>
                  </w:r>
                </w:p>
                <w:p>
                  <w:pPr>
                    <w:tabs>
                      <w:tab w:val="left" w:pos="9214"/>
                    </w:tabs>
                    <w:jc w:val="both"/>
                    <w:rPr>
                      <w:szCs w:val="24"/>
                    </w:rPr>
                  </w:pP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(10,04)</w:t>
                  </w:r>
                  <w:r>
                    <w:rPr>
                      <w:szCs w:val="24"/>
                    </w:rPr>
                    <w:t>’</w:t>
                  </w:r>
                  <w:r>
                    <w:rPr>
                      <w:szCs w:val="24"/>
                      <w:vertAlign w:val="subscript"/>
                    </w:rPr>
                    <w:t>t</w:t>
                  </w:r>
                  <w:r>
                    <w:rPr>
                      <w:szCs w:val="24"/>
                    </w:rPr>
                    <w:t xml:space="preserve"> – elektros energijos skirstymo paslaugos atitinkamai VĮ ir ŽĮ tinklais kainų viršutinės ribos metais </w:t>
                  </w:r>
                  <w:r>
                    <w:rPr>
                      <w:i/>
                      <w:szCs w:val="24"/>
                    </w:rPr>
                    <w:t>t</w:t>
                  </w:r>
                  <w:r>
                    <w:rPr>
                      <w:szCs w:val="24"/>
                    </w:rPr>
                    <w:t>, EUR/kWh;</w:t>
                  </w:r>
                </w:p>
                <w:p>
                  <w:pPr>
                    <w:tabs>
                      <w:tab w:val="left" w:pos="1134"/>
                      <w:tab w:val="left" w:pos="1843"/>
                      <w:tab w:val="left" w:pos="2268"/>
                    </w:tabs>
                    <w:jc w:val="both"/>
                    <w:rPr>
                      <w:szCs w:val="24"/>
                    </w:rPr>
                  </w:pPr>
                  <w:r>
                    <w:rPr>
                      <w:szCs w:val="24"/>
                    </w:rPr>
                    <w:t>T</w:t>
                  </w:r>
                  <w:r>
                    <w:rPr>
                      <w:szCs w:val="24"/>
                      <w:vertAlign w:val="subscript"/>
                    </w:rPr>
                    <w:t>(10,04)t</w:t>
                  </w:r>
                  <w:r>
                    <w:rPr>
                      <w:szCs w:val="24"/>
                    </w:rPr>
                    <w:t xml:space="preserve"> – indeksuotos elektros energijos skirstymo paslaugos atitinkamai VĮ ir ŽĮ tinklais kainos viršutinės ribos metais </w:t>
                  </w:r>
                  <w:r>
                    <w:rPr>
                      <w:i/>
                      <w:szCs w:val="24"/>
                    </w:rPr>
                    <w:t>t</w:t>
                  </w:r>
                  <w:r>
                    <w:rPr>
                      <w:szCs w:val="24"/>
                    </w:rPr>
                    <w:t>, EUR/kWh;</w:t>
                  </w:r>
                </w:p>
                <w:p>
                  <w:pPr>
                    <w:tabs>
                      <w:tab w:val="left" w:pos="1134"/>
                      <w:tab w:val="left" w:pos="1843"/>
                      <w:tab w:val="left" w:pos="2268"/>
                    </w:tabs>
                    <w:jc w:val="both"/>
                    <w:rPr>
                      <w:szCs w:val="24"/>
                    </w:rPr>
                  </w:pPr>
                  <w:r>
                    <w:rPr>
                      <w:szCs w:val="24"/>
                    </w:rPr>
                    <w:t>K</w:t>
                  </w:r>
                  <w:r>
                    <w:rPr>
                      <w:szCs w:val="24"/>
                      <w:vertAlign w:val="subscript"/>
                    </w:rPr>
                    <w:t>(10,04)t</w:t>
                  </w:r>
                  <w:r>
                    <w:rPr>
                      <w:szCs w:val="24"/>
                    </w:rPr>
                    <w:t xml:space="preserve"> – korekcijos koeficientas elektros energijos skirstymo atitinkamai VĮ ir ŽĮ tinklais kainų viršutinėms riboms metais </w:t>
                  </w:r>
                  <w:r>
                    <w:rPr>
                      <w:i/>
                      <w:szCs w:val="24"/>
                    </w:rPr>
                    <w:t>t</w:t>
                  </w:r>
                  <w:r>
                    <w:rPr>
                      <w:szCs w:val="24"/>
                    </w:rPr>
                    <w:t>, EUR/kWh.</w:t>
                  </w:r>
                </w:p>
              </w:sdtContent>
            </w:sdt>
            <w:sdt>
              <w:sdtPr>
                <w:alias w:val="85 p."/>
                <w:tag w:val="part_6a53d2a559be45bdb3de7362ebb33ba5"/>
                <w:lock w:val="sdtLocked"/>
                <w:richText/>
              </w:sdtPr>
              <w:sdtContent>
                <w:p>
                  <w:pPr>
                    <w:tabs>
                      <w:tab w:val="left" w:pos="1080"/>
                      <w:tab w:val="left" w:pos="1843"/>
                      <w:tab w:val="left" w:pos="2268"/>
                    </w:tabs>
                    <w:ind w:firstLine="720"/>
                    <w:jc w:val="both"/>
                    <w:rPr>
                      <w:szCs w:val="24"/>
                    </w:rPr>
                  </w:pPr>
                  <w:sdt>
                    <w:sdtPr>
                      <w:alias w:val="Numeris"/>
                      <w:tag w:val="nr_6a53d2a559be45bdb3de7362ebb33ba5"/>
                      <w:lock w:val="sdtLocked"/>
                      <w:richText/>
                    </w:sdtPr>
                    <w:sdtContent>
                      <w:r>
                        <w:rPr>
                          <w:szCs w:val="24"/>
                        </w:rPr>
                        <w:t>85</w:t>
                      </w:r>
                    </w:sdtContent>
                  </w:sdt>
                  <w:r>
                    <w:rPr>
                      <w:szCs w:val="24"/>
                    </w:rPr>
                    <w:t>. Pradinis pajamų lygis apskaičiuojamas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w:drawing>
                      <wp:inline distT="0" distB="0" distL="0" distR="0">
                        <wp:extent cx="1285875" cy="457200"/>
                        <wp:effectExtent l="0" t="0" r="0" b="0"/>
                        <wp:docPr id="42" name="Paveikslėlis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85875" cy="457200"/>
                                </a:xfrm>
                                <a:prstGeom prst="rect">
                                  <a:avLst/>
                                </a:prstGeom>
                                <a:noFill/>
                              </pic:spPr>
                            </pic:pic>
                          </a:graphicData>
                        </a:graphic>
                      </wp:inline>
                    </w:drawing>
                  </w:r>
                  <w:r>
                    <w:rPr>
                      <w:szCs w:val="24"/>
                    </w:rPr>
                    <w:tab/>
                    <w:t>(53)</w:t>
                  </w:r>
                </w:p>
                <w:p>
                  <w:pPr>
                    <w:tabs>
                      <w:tab w:val="left" w:pos="1134"/>
                      <w:tab w:val="left" w:pos="1843"/>
                      <w:tab w:val="left" w:pos="2268"/>
                    </w:tabs>
                    <w:jc w:val="both"/>
                    <w:rPr>
                      <w:i/>
                      <w:szCs w:val="24"/>
                    </w:rPr>
                  </w:pPr>
                </w:p>
                <w:p>
                  <w:pPr>
                    <w:tabs>
                      <w:tab w:val="left" w:pos="1134"/>
                      <w:tab w:val="left" w:pos="1843"/>
                      <w:tab w:val="left" w:pos="2268"/>
                    </w:tabs>
                    <w:jc w:val="both"/>
                    <w:rPr>
                      <w:i/>
                      <w:szCs w:val="24"/>
                    </w:rPr>
                  </w:pPr>
                  <w:r>
                    <w:rPr>
                      <w:i/>
                      <w:szCs w:val="24"/>
                    </w:rPr>
                    <w:t>čia:</w:t>
                  </w:r>
                </w:p>
                <w:p>
                  <w:pPr>
                    <w:widowControl w:val="0"/>
                    <w:tabs>
                      <w:tab w:val="left" w:pos="1134"/>
                      <w:tab w:val="left" w:pos="1843"/>
                      <w:tab w:val="left" w:pos="2268"/>
                    </w:tabs>
                    <w:suppressAutoHyphens/>
                    <w:jc w:val="both"/>
                    <w:rPr>
                      <w:szCs w:val="24"/>
                      <w:lang w:eastAsia="lt-LT"/>
                    </w:rPr>
                  </w:pPr>
                  <w:r>
                    <w:rPr>
                      <w:iCs/>
                      <w:szCs w:val="24"/>
                      <w:lang w:eastAsia="lt-LT"/>
                    </w:rPr>
                    <w:t>P</w:t>
                  </w:r>
                  <w:r>
                    <w:rPr>
                      <w:szCs w:val="24"/>
                      <w:vertAlign w:val="subscript"/>
                      <w:lang w:eastAsia="lt-LT"/>
                    </w:rPr>
                    <w:t>(10,04)</w:t>
                  </w:r>
                  <w:r>
                    <w:rPr>
                      <w:iCs/>
                      <w:szCs w:val="24"/>
                      <w:vertAlign w:val="subscript"/>
                      <w:lang w:eastAsia="lt-LT"/>
                    </w:rPr>
                    <w:t>t</w:t>
                  </w:r>
                  <w:r>
                    <w:rPr>
                      <w:iCs/>
                      <w:szCs w:val="24"/>
                      <w:lang w:eastAsia="lt-LT"/>
                    </w:rPr>
                    <w:t xml:space="preserve"> </w:t>
                  </w:r>
                  <w:r>
                    <w:rPr>
                      <w:szCs w:val="24"/>
                      <w:lang w:eastAsia="lt-LT"/>
                    </w:rPr>
                    <w:t>– planuojamos elektros energijos skirstymo pajamos atitinkamai VĮ tinkluose ir skirstymo ŽĮ tinkluose metais</w:t>
                  </w:r>
                  <w:r>
                    <w:rPr>
                      <w:i/>
                      <w:iCs/>
                      <w:szCs w:val="24"/>
                      <w:lang w:eastAsia="lt-LT"/>
                    </w:rPr>
                    <w:t xml:space="preserve"> t</w:t>
                  </w:r>
                  <w:r>
                    <w:rPr>
                      <w:szCs w:val="24"/>
                      <w:lang w:eastAsia="lt-LT"/>
                    </w:rPr>
                    <w:t>, EUR;</w:t>
                  </w:r>
                </w:p>
                <w:p>
                  <w:pPr>
                    <w:widowControl w:val="0"/>
                    <w:tabs>
                      <w:tab w:val="left" w:pos="1134"/>
                      <w:tab w:val="left" w:pos="1843"/>
                      <w:tab w:val="left" w:pos="2268"/>
                    </w:tabs>
                    <w:suppressAutoHyphens/>
                    <w:jc w:val="both"/>
                    <w:rPr>
                      <w:szCs w:val="24"/>
                      <w:lang w:eastAsia="lt-LT"/>
                    </w:rPr>
                  </w:pPr>
                  <w:r>
                    <w:rPr>
                      <w:i/>
                      <w:iCs/>
                      <w:szCs w:val="24"/>
                      <w:lang w:eastAsia="lt-LT"/>
                    </w:rPr>
                    <w:t>n</w:t>
                  </w:r>
                  <w:r>
                    <w:rPr>
                      <w:szCs w:val="24"/>
                      <w:lang w:eastAsia="lt-LT"/>
                    </w:rPr>
                    <w:t xml:space="preserve"> – viršutinės kainų ribos taikymo trukmė;</w:t>
                  </w:r>
                </w:p>
                <w:p>
                  <w:pPr>
                    <w:tabs>
                      <w:tab w:val="left" w:pos="1134"/>
                      <w:tab w:val="left" w:pos="1843"/>
                      <w:tab w:val="left" w:pos="2268"/>
                    </w:tabs>
                    <w:jc w:val="both"/>
                    <w:rPr>
                      <w:szCs w:val="24"/>
                    </w:rPr>
                  </w:pPr>
                  <w:r>
                    <w:rPr>
                      <w:i/>
                      <w:iCs/>
                      <w:szCs w:val="24"/>
                    </w:rPr>
                    <w:t>t</w:t>
                  </w:r>
                  <w:r>
                    <w:rPr>
                      <w:szCs w:val="24"/>
                    </w:rPr>
                    <w:t xml:space="preserve"> – metų eilės numeris.</w:t>
                  </w:r>
                </w:p>
              </w:sdtContent>
            </w:sdt>
            <w:sdt>
              <w:sdtPr>
                <w:alias w:val="86 p."/>
                <w:tag w:val="part_e2747f539d9a48bdab48dabe18e49a57"/>
                <w:lock w:val="sdtLocked"/>
                <w:richText/>
              </w:sdtPr>
              <w:sdtContent>
                <w:p>
                  <w:pPr>
                    <w:tabs>
                      <w:tab w:val="left" w:pos="1080"/>
                      <w:tab w:val="left" w:pos="1843"/>
                      <w:tab w:val="left" w:pos="2268"/>
                    </w:tabs>
                    <w:ind w:firstLine="720"/>
                    <w:jc w:val="both"/>
                    <w:rPr>
                      <w:szCs w:val="24"/>
                    </w:rPr>
                  </w:pPr>
                  <w:sdt>
                    <w:sdtPr>
                      <w:alias w:val="Numeris"/>
                      <w:tag w:val="nr_e2747f539d9a48bdab48dabe18e49a57"/>
                      <w:lock w:val="sdtLocked"/>
                      <w:richText/>
                    </w:sdtPr>
                    <w:sdtContent>
                      <w:r>
                        <w:rPr>
                          <w:szCs w:val="24"/>
                        </w:rPr>
                        <w:t>86</w:t>
                      </w:r>
                    </w:sdtContent>
                  </w:sdt>
                  <w:r>
                    <w:rPr>
                      <w:szCs w:val="24"/>
                    </w:rPr>
                    <w:t>. Pradiniai planuojamų elektros energijos skirstymo pajamų lygiai VĮ ir ŽĮ tinkluose yra vienodi penkerių metų laikotarpiui.</w:t>
                  </w:r>
                </w:p>
              </w:sdtContent>
            </w:sdt>
            <w:sdt>
              <w:sdtPr>
                <w:alias w:val="87 p."/>
                <w:tag w:val="part_7b31201e385b4a85ac363e495b4ca058"/>
                <w:lock w:val="sdtLocked"/>
                <w:richText/>
              </w:sdtPr>
              <w:sdtContent>
                <w:p>
                  <w:pPr>
                    <w:tabs>
                      <w:tab w:val="left" w:pos="1080"/>
                      <w:tab w:val="left" w:pos="1843"/>
                      <w:tab w:val="left" w:pos="2268"/>
                    </w:tabs>
                    <w:ind w:firstLine="720"/>
                    <w:jc w:val="both"/>
                    <w:rPr>
                      <w:szCs w:val="24"/>
                    </w:rPr>
                  </w:pPr>
                  <w:sdt>
                    <w:sdtPr>
                      <w:alias w:val="Numeris"/>
                      <w:tag w:val="nr_7b31201e385b4a85ac363e495b4ca058"/>
                      <w:lock w:val="sdtLocked"/>
                      <w:richText/>
                    </w:sdtPr>
                    <w:sdtContent>
                      <w:r>
                        <w:rPr>
                          <w:szCs w:val="24"/>
                        </w:rPr>
                        <w:t>87</w:t>
                      </w:r>
                    </w:sdtContent>
                  </w:sdt>
                  <w:r>
                    <w:rPr>
                      <w:szCs w:val="24"/>
                    </w:rPr>
                    <w:t xml:space="preserve">. Elektros energijos skirstymo paslaugos VĮ ir ŽĮ tinklais kainos viršutinės ribos, koreguotos nenumatytų pasikeitimų, elektros energijos kiekio poveikio, infliacijos ir efektyvumo koeficientais, </w:t>
                  </w:r>
                  <w:r>
                    <w:rPr>
                      <w:i/>
                      <w:szCs w:val="24"/>
                    </w:rPr>
                    <w:t>t</w:t>
                  </w:r>
                  <w:r>
                    <w:rPr>
                      <w:szCs w:val="24"/>
                    </w:rPr>
                    <w:t xml:space="preserve"> metais skaičiuojamos pagal formulę:</w:t>
                  </w:r>
                </w:p>
                <w:p>
                  <w:pPr>
                    <w:tabs>
                      <w:tab w:val="left" w:pos="1080"/>
                      <w:tab w:val="left" w:pos="1134"/>
                      <w:tab w:val="left" w:pos="1843"/>
                      <w:tab w:val="left" w:pos="2268"/>
                    </w:tabs>
                    <w:jc w:val="both"/>
                    <w:rPr>
                      <w:szCs w:val="24"/>
                    </w:rPr>
                  </w:pPr>
                </w:p>
                <w:p>
                  <w:pPr>
                    <w:tabs>
                      <w:tab w:val="left" w:pos="1080"/>
                      <w:tab w:val="left" w:pos="9214"/>
                    </w:tabs>
                    <w:jc w:val="both"/>
                    <w:rPr>
                      <w:szCs w:val="24"/>
                    </w:rPr>
                  </w:pPr>
                  <w:r>
                    <w:rPr>
                      <w:szCs w:val="24"/>
                      <w:lang w:eastAsia="lt-LT"/>
                    </w:rPr>
                    <mc:AlternateContent>
                      <mc:Choice Requires="wpc">
                        <w:drawing>
                          <wp:inline distT="0" distB="0" distL="0" distR="0">
                            <wp:extent cx="3543300" cy="469900"/>
                            <wp:effectExtent l="0" t="0" r="0" b="6350"/>
                            <wp:docPr id="78" name="Canvas 1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1" name="Line 38"/>
                                    <wps:cNvCnPr/>
                                    <wps:spPr bwMode="auto">
                                      <a:xfrm>
                                        <a:off x="569500" y="230400"/>
                                        <a:ext cx="2346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32" name="Rectangle 41"/>
                                    <wps:cNvSpPr>
                                      <a:spLocks noChangeArrowheads="1"/>
                                    </wps:cNvSpPr>
                                    <wps:spPr bwMode="auto">
                                      <a:xfrm>
                                        <a:off x="2933700" y="133200"/>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33" name="Rectangle 42"/>
                                    <wps:cNvSpPr>
                                      <a:spLocks noChangeArrowheads="1"/>
                                    </wps:cNvSpPr>
                                    <wps:spPr bwMode="auto">
                                      <a:xfrm>
                                        <a:off x="2858100" y="17700"/>
                                        <a:ext cx="50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34" name="Rectangle 43"/>
                                    <wps:cNvSpPr>
                                      <a:spLocks noChangeArrowheads="1"/>
                                    </wps:cNvSpPr>
                                    <wps:spPr bwMode="auto">
                                      <a:xfrm>
                                        <a:off x="577200" y="17700"/>
                                        <a:ext cx="50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35" name="Rectangle 44"/>
                                    <wps:cNvSpPr>
                                      <a:spLocks noChangeArrowheads="1"/>
                                    </wps:cNvSpPr>
                                    <wps:spPr bwMode="auto">
                                      <a:xfrm>
                                        <a:off x="1873800" y="344000"/>
                                        <a:ext cx="299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36" name="Rectangle 45"/>
                                    <wps:cNvSpPr>
                                      <a:spLocks noChangeArrowheads="1"/>
                                    </wps:cNvSpPr>
                                    <wps:spPr bwMode="auto">
                                      <a:xfrm>
                                        <a:off x="1779900" y="344000"/>
                                        <a:ext cx="895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37" name="Rectangle 46"/>
                                    <wps:cNvSpPr>
                                      <a:spLocks noChangeArrowheads="1"/>
                                    </wps:cNvSpPr>
                                    <wps:spPr bwMode="auto">
                                      <a:xfrm>
                                        <a:off x="1753200" y="344000"/>
                                        <a:ext cx="228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38" name="Rectangle 47"/>
                                    <wps:cNvSpPr>
                                      <a:spLocks noChangeArrowheads="1"/>
                                    </wps:cNvSpPr>
                                    <wps:spPr bwMode="auto">
                                      <a:xfrm>
                                        <a:off x="1660500" y="344000"/>
                                        <a:ext cx="895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39" name="Rectangle 48"/>
                                    <wps:cNvSpPr>
                                      <a:spLocks noChangeArrowheads="1"/>
                                    </wps:cNvSpPr>
                                    <wps:spPr bwMode="auto">
                                      <a:xfrm>
                                        <a:off x="1633800" y="344000"/>
                                        <a:ext cx="299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0" name="Rectangle 49"/>
                                    <wps:cNvSpPr>
                                      <a:spLocks noChangeArrowheads="1"/>
                                    </wps:cNvSpPr>
                                    <wps:spPr bwMode="auto">
                                      <a:xfrm>
                                        <a:off x="27736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1" name="Rectangle 50"/>
                                    <wps:cNvSpPr>
                                      <a:spLocks noChangeArrowheads="1"/>
                                    </wps:cNvSpPr>
                                    <wps:spPr bwMode="auto">
                                      <a:xfrm>
                                        <a:off x="26803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42" name="Rectangle 51"/>
                                    <wps:cNvSpPr>
                                      <a:spLocks noChangeArrowheads="1"/>
                                    </wps:cNvSpPr>
                                    <wps:spPr bwMode="auto">
                                      <a:xfrm>
                                        <a:off x="2653000" y="111000"/>
                                        <a:ext cx="22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4" name="Rectangle 52"/>
                                    <wps:cNvSpPr>
                                      <a:spLocks noChangeArrowheads="1"/>
                                    </wps:cNvSpPr>
                                    <wps:spPr bwMode="auto">
                                      <a:xfrm>
                                        <a:off x="25609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45" name="Rectangle 53"/>
                                    <wps:cNvSpPr>
                                      <a:spLocks noChangeArrowheads="1"/>
                                    </wps:cNvSpPr>
                                    <wps:spPr bwMode="auto">
                                      <a:xfrm>
                                        <a:off x="25336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6" name="Rectangle 54"/>
                                    <wps:cNvSpPr>
                                      <a:spLocks noChangeArrowheads="1"/>
                                    </wps:cNvSpPr>
                                    <wps:spPr bwMode="auto">
                                      <a:xfrm>
                                        <a:off x="22085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7" name="Rectangle 55"/>
                                    <wps:cNvSpPr>
                                      <a:spLocks noChangeArrowheads="1"/>
                                    </wps:cNvSpPr>
                                    <wps:spPr bwMode="auto">
                                      <a:xfrm>
                                        <a:off x="21145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48" name="Rectangle 56"/>
                                    <wps:cNvSpPr>
                                      <a:spLocks noChangeArrowheads="1"/>
                                    </wps:cNvSpPr>
                                    <wps:spPr bwMode="auto">
                                      <a:xfrm>
                                        <a:off x="2087800" y="1110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49" name="Rectangle 57"/>
                                    <wps:cNvSpPr>
                                      <a:spLocks noChangeArrowheads="1"/>
                                    </wps:cNvSpPr>
                                    <wps:spPr bwMode="auto">
                                      <a:xfrm>
                                        <a:off x="19951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50" name="Rectangle 58"/>
                                    <wps:cNvSpPr>
                                      <a:spLocks noChangeArrowheads="1"/>
                                    </wps:cNvSpPr>
                                    <wps:spPr bwMode="auto">
                                      <a:xfrm>
                                        <a:off x="19678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1" name="Rectangle 59"/>
                                    <wps:cNvSpPr>
                                      <a:spLocks noChangeArrowheads="1"/>
                                    </wps:cNvSpPr>
                                    <wps:spPr bwMode="auto">
                                      <a:xfrm>
                                        <a:off x="15995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2" name="Rectangle 60"/>
                                    <wps:cNvSpPr>
                                      <a:spLocks noChangeArrowheads="1"/>
                                    </wps:cNvSpPr>
                                    <wps:spPr bwMode="auto">
                                      <a:xfrm>
                                        <a:off x="15062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53" name="Rectangle 61"/>
                                    <wps:cNvSpPr>
                                      <a:spLocks noChangeArrowheads="1"/>
                                    </wps:cNvSpPr>
                                    <wps:spPr bwMode="auto">
                                      <a:xfrm>
                                        <a:off x="1478900" y="111000"/>
                                        <a:ext cx="22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4" name="Rectangle 62"/>
                                    <wps:cNvSpPr>
                                      <a:spLocks noChangeArrowheads="1"/>
                                    </wps:cNvSpPr>
                                    <wps:spPr bwMode="auto">
                                      <a:xfrm>
                                        <a:off x="1386800" y="1110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55" name="Rectangle 63"/>
                                    <wps:cNvSpPr>
                                      <a:spLocks noChangeArrowheads="1"/>
                                    </wps:cNvSpPr>
                                    <wps:spPr bwMode="auto">
                                      <a:xfrm>
                                        <a:off x="13595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6" name="Rectangle 64"/>
                                    <wps:cNvSpPr>
                                      <a:spLocks noChangeArrowheads="1"/>
                                    </wps:cNvSpPr>
                                    <wps:spPr bwMode="auto">
                                      <a:xfrm>
                                        <a:off x="949300" y="1110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7" name="Rectangle 65"/>
                                    <wps:cNvSpPr>
                                      <a:spLocks noChangeArrowheads="1"/>
                                    </wps:cNvSpPr>
                                    <wps:spPr bwMode="auto">
                                      <a:xfrm>
                                        <a:off x="8559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58" name="Rectangle 66"/>
                                    <wps:cNvSpPr>
                                      <a:spLocks noChangeArrowheads="1"/>
                                    </wps:cNvSpPr>
                                    <wps:spPr bwMode="auto">
                                      <a:xfrm>
                                        <a:off x="828600" y="1110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59" name="Rectangle 67"/>
                                    <wps:cNvSpPr>
                                      <a:spLocks noChangeArrowheads="1"/>
                                    </wps:cNvSpPr>
                                    <wps:spPr bwMode="auto">
                                      <a:xfrm>
                                        <a:off x="735900" y="1110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60" name="Rectangle 68"/>
                                    <wps:cNvSpPr>
                                      <a:spLocks noChangeArrowheads="1"/>
                                    </wps:cNvSpPr>
                                    <wps:spPr bwMode="auto">
                                      <a:xfrm>
                                        <a:off x="709200" y="111000"/>
                                        <a:ext cx="29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1" name="Rectangle 69"/>
                                    <wps:cNvSpPr>
                                      <a:spLocks noChangeArrowheads="1"/>
                                    </wps:cNvSpPr>
                                    <wps:spPr bwMode="auto">
                                      <a:xfrm>
                                        <a:off x="332700" y="2266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2" name="Rectangle 70"/>
                                    <wps:cNvSpPr>
                                      <a:spLocks noChangeArrowheads="1"/>
                                    </wps:cNvSpPr>
                                    <wps:spPr bwMode="auto">
                                      <a:xfrm>
                                        <a:off x="239300" y="226600"/>
                                        <a:ext cx="896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163" name="Rectangle 71"/>
                                    <wps:cNvSpPr>
                                      <a:spLocks noChangeArrowheads="1"/>
                                    </wps:cNvSpPr>
                                    <wps:spPr bwMode="auto">
                                      <a:xfrm>
                                        <a:off x="212000" y="226600"/>
                                        <a:ext cx="229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4" name="Rectangle 72"/>
                                    <wps:cNvSpPr>
                                      <a:spLocks noChangeArrowheads="1"/>
                                    </wps:cNvSpPr>
                                    <wps:spPr bwMode="auto">
                                      <a:xfrm>
                                        <a:off x="120000" y="226600"/>
                                        <a:ext cx="895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165" name="Rectangle 73"/>
                                    <wps:cNvSpPr>
                                      <a:spLocks noChangeArrowheads="1"/>
                                    </wps:cNvSpPr>
                                    <wps:spPr bwMode="auto">
                                      <a:xfrm>
                                        <a:off x="92700" y="226600"/>
                                        <a:ext cx="298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166" name="Rectangle 74"/>
                                    <wps:cNvSpPr>
                                      <a:spLocks noChangeArrowheads="1"/>
                                    </wps:cNvSpPr>
                                    <wps:spPr bwMode="auto">
                                      <a:xfrm>
                                        <a:off x="1907500" y="344700"/>
                                        <a:ext cx="25400" cy="10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7" name="Rectangle 75"/>
                                    <wps:cNvSpPr>
                                      <a:spLocks noChangeArrowheads="1"/>
                                    </wps:cNvSpPr>
                                    <wps:spPr bwMode="auto">
                                      <a:xfrm>
                                        <a:off x="28079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8" name="Rectangle 76"/>
                                    <wps:cNvSpPr>
                                      <a:spLocks noChangeArrowheads="1"/>
                                    </wps:cNvSpPr>
                                    <wps:spPr bwMode="auto">
                                      <a:xfrm>
                                        <a:off x="22421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69" name="Rectangle 77"/>
                                    <wps:cNvSpPr>
                                      <a:spLocks noChangeArrowheads="1"/>
                                    </wps:cNvSpPr>
                                    <wps:spPr bwMode="auto">
                                      <a:xfrm>
                                        <a:off x="1633800" y="1116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70" name="Rectangle 78"/>
                                    <wps:cNvSpPr>
                                      <a:spLocks noChangeArrowheads="1"/>
                                    </wps:cNvSpPr>
                                    <wps:spPr bwMode="auto">
                                      <a:xfrm>
                                        <a:off x="996900" y="111600"/>
                                        <a:ext cx="450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p</w:t>
                                          </w:r>
                                        </w:p>
                                      </w:txbxContent>
                                    </wps:txbx>
                                    <wps:bodyPr rot="0" vert="horz" wrap="none" lIns="0" tIns="0" rIns="0" bIns="0" anchor="t" anchorCtr="0" upright="1">
                                      <a:spAutoFit/>
                                    </wps:bodyPr>
                                  </wps:wsp>
                                  <wps:wsp>
                                    <wps:cNvPr id="171" name="Rectangle 79"/>
                                    <wps:cNvSpPr>
                                      <a:spLocks noChangeArrowheads="1"/>
                                    </wps:cNvSpPr>
                                    <wps:spPr bwMode="auto">
                                      <a:xfrm>
                                        <a:off x="367000" y="227200"/>
                                        <a:ext cx="25400" cy="10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72" name="Rectangle 80"/>
                                    <wps:cNvSpPr>
                                      <a:spLocks noChangeArrowheads="1"/>
                                    </wps:cNvSpPr>
                                    <wps:spPr bwMode="auto">
                                      <a:xfrm>
                                        <a:off x="1537300" y="251300"/>
                                        <a:ext cx="93300" cy="17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E</w:t>
                                          </w:r>
                                        </w:p>
                                      </w:txbxContent>
                                    </wps:txbx>
                                    <wps:bodyPr rot="0" vert="horz" wrap="none" lIns="0" tIns="0" rIns="0" bIns="0" anchor="t" anchorCtr="0" upright="1">
                                      <a:spAutoFit/>
                                    </wps:bodyPr>
                                  </wps:wsp>
                                  <wps:wsp>
                                    <wps:cNvPr id="173" name="Rectangle 81"/>
                                    <wps:cNvSpPr>
                                      <a:spLocks noChangeArrowheads="1"/>
                                    </wps:cNvSpPr>
                                    <wps:spPr bwMode="auto">
                                      <a:xfrm>
                                        <a:off x="2371100" y="17800"/>
                                        <a:ext cx="1530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IK</w:t>
                                          </w:r>
                                        </w:p>
                                      </w:txbxContent>
                                    </wps:txbx>
                                    <wps:bodyPr rot="0" vert="horz" wrap="none" lIns="0" tIns="0" rIns="0" bIns="0" anchor="t" anchorCtr="0" upright="1">
                                      <a:spAutoFit/>
                                    </wps:bodyPr>
                                  </wps:wsp>
                                  <wps:wsp>
                                    <wps:cNvPr id="174" name="Rectangle 82"/>
                                    <wps:cNvSpPr>
                                      <a:spLocks noChangeArrowheads="1"/>
                                    </wps:cNvSpPr>
                                    <wps:spPr bwMode="auto">
                                      <a:xfrm>
                                        <a:off x="1762800" y="17800"/>
                                        <a:ext cx="1949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EK</w:t>
                                          </w:r>
                                        </w:p>
                                      </w:txbxContent>
                                    </wps:txbx>
                                    <wps:bodyPr rot="0" vert="horz" wrap="none" lIns="0" tIns="0" rIns="0" bIns="0" anchor="t" anchorCtr="0" upright="1">
                                      <a:spAutoFit/>
                                    </wps:bodyPr>
                                  </wps:wsp>
                                  <wps:wsp>
                                    <wps:cNvPr id="175" name="Rectangle 83"/>
                                    <wps:cNvSpPr>
                                      <a:spLocks noChangeArrowheads="1"/>
                                    </wps:cNvSpPr>
                                    <wps:spPr bwMode="auto">
                                      <a:xfrm>
                                        <a:off x="1144900" y="17800"/>
                                        <a:ext cx="2038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NK</w:t>
                                          </w:r>
                                        </w:p>
                                      </w:txbxContent>
                                    </wps:txbx>
                                    <wps:bodyPr rot="0" vert="horz" wrap="none" lIns="0" tIns="0" rIns="0" bIns="0" anchor="t" anchorCtr="0" upright="1">
                                      <a:spAutoFit/>
                                    </wps:bodyPr>
                                  </wps:wsp>
                                  <wps:wsp>
                                    <wps:cNvPr id="176" name="Rectangle 84"/>
                                    <wps:cNvSpPr>
                                      <a:spLocks noChangeArrowheads="1"/>
                                    </wps:cNvSpPr>
                                    <wps:spPr bwMode="auto">
                                      <a:xfrm>
                                        <a:off x="636900" y="17700"/>
                                        <a:ext cx="933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P</w:t>
                                          </w:r>
                                        </w:p>
                                      </w:txbxContent>
                                    </wps:txbx>
                                    <wps:bodyPr rot="0" vert="horz" wrap="none" lIns="0" tIns="0" rIns="0" bIns="0" anchor="t" anchorCtr="0" upright="1">
                                      <a:spAutoFit/>
                                    </wps:bodyPr>
                                  </wps:wsp>
                                  <wps:wsp>
                                    <wps:cNvPr id="177" name="Rectangle 85"/>
                                    <wps:cNvSpPr>
                                      <a:spLocks noChangeArrowheads="1"/>
                                    </wps:cNvSpPr>
                                    <wps:spPr bwMode="auto">
                                      <a:xfrm>
                                        <a:off x="13300" y="133300"/>
                                        <a:ext cx="85000" cy="17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78" name="Rectangle 86"/>
                                    <wps:cNvSpPr>
                                      <a:spLocks noChangeArrowheads="1"/>
                                    </wps:cNvSpPr>
                                    <wps:spPr bwMode="auto">
                                      <a:xfrm>
                                        <a:off x="2298009" y="26455"/>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79" name="Rectangle 87"/>
                                    <wps:cNvSpPr>
                                      <a:spLocks noChangeArrowheads="1"/>
                                    </wps:cNvSpPr>
                                    <wps:spPr bwMode="auto">
                                      <a:xfrm>
                                        <a:off x="1693174" y="17800"/>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80" name="Rectangle 88"/>
                                    <wps:cNvSpPr>
                                      <a:spLocks noChangeArrowheads="1"/>
                                    </wps:cNvSpPr>
                                    <wps:spPr bwMode="auto">
                                      <a:xfrm>
                                        <a:off x="1058540" y="38540"/>
                                        <a:ext cx="863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szCs w:val="24"/>
                                              <w:lang w:val="en-GB"/>
                                            </w:rPr>
                                            <w:t>×</w:t>
                                          </w:r>
                                        </w:p>
                                      </w:txbxContent>
                                    </wps:txbx>
                                    <wps:bodyPr rot="0" vert="horz" wrap="none" lIns="0" tIns="0" rIns="0" bIns="0" anchor="t" anchorCtr="0" upright="1">
                                      <a:spAutoFit/>
                                    </wps:bodyPr>
                                  </wps:wsp>
                                  <wps:wsp>
                                    <wps:cNvPr id="181" name="Rectangle 89"/>
                                    <wps:cNvSpPr>
                                      <a:spLocks noChangeArrowheads="1"/>
                                    </wps:cNvSpPr>
                                    <wps:spPr bwMode="auto">
                                      <a:xfrm>
                                        <a:off x="449500" y="115400"/>
                                        <a:ext cx="83900" cy="18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c:wpc>
                              </a:graphicData>
                            </a:graphic>
                          </wp:inline>
                        </w:drawing>
                      </mc:Choice>
                      <mc:Fallback>
                        <w:pict>
                          <v:group id="Canvas 169" o:spid="_x0000_s1052" editas="canvas" style="width:279pt;height:37pt;mso-position-horizontal-relative:char;mso-position-vertical-relative:line" coordsize="35433,4699"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NspWxgoAAPjOAAAOAAAAZHJzL2Uyb0RvYy54bWzsnW1vo8YWx99f6X4HxHvHPD9pSbW146pS 2ru6bT8AwThGxYCAxN5b9bv3zGAOZj32VtvrSaQ5kXZDbIx5mPnxP+f8Z/jw3WFXaK9Z0+ZVGevm naFrWZlW67x8jvXffl3NAl1ru6RcJ0VVZrH+OWv17+7//a8P+zrKrGpbFeus0WAjZRvt61jfdl0d zedtus12SXtX1VkJb26qZpd08GfzPF83yR62vivmlmF4833VrOumSrO2hVeX/Zv6Pd/+ZpOl3X82 mzbrtCLWYd86/n/D/39i/8/vPyTRc5PU2zw97kbyDXuxS/ISvhQ3tUy6RHtp8rNN7fK0qdpq092l 1W5ebTZ5mvFjgKMxjS+OZpGUr0nLDyaFszPsICz9H7f79Mz2u6xWeVHA2ZjD1iP2Gvu9h+uTwYv7 Gq5OW+N1av/Z9/+yTeqMH1YbpT+/fmq0fA2NxzZ1rUx20Eoe8zLT7IBdHfbVsM6i/NQc/2pr+MDT /qdqDWsmL13FT/xh0+zYgcAp1Q6x7nqha8AF/xzrlm04sAifTqLs0GkpvG3Zjsde1FJYgb83T6Jh E3XTdj9k1U5jC7FewM7wr0heH9sONgOrDqtMTl0SFaW2j3XPdg3+gbYq8jU7r2y1tnl+WhSN9pqw psh/2D7BxiarNdVLueb7us2S9cNxuUvyol+G9YvyeCiwO8NB8bb2R2iED8FD4Mwcy3uYOcZyOfu4 Wjgzb2X67tJeLhZL80+2a6YTbfP1OivZ3g3t3nT+3mU99sC+xWLLH1vQdOv8EOG8D7/5TkMrayN2 IfsL/FStP/Pry1+HliatyVlDk/svoCIpn4tMc8yTdvcL30e4RvVjlf7eamW12MJq2cemqfbsCkFX 4OvzPYeG2n9gOLyvtlMrtG3/2FBN2wakTRuqF1qm2zdTuISW95W22sBR/O22ytrOyVV7p+1q0jsm nWjFf8470fxSA+z7/7GrmJZjfG+Fs5UX+DNn5biz0DeCmWGG34ee4YTOcjXtKhxK/Z0KvuBbuwoD ROha7jcDYpd3cMcs8l2sB0iRJLpEC+zpbPeHPjj8FvXF7vB04Dy2nKEf9N1TayqgITATbvewsK2a /+naHm6dsV7CvV3Xih9L6A3sLjssNMPC07CQlCl8MNY7XesXF11/N36pm/x5C9s1+zNTfwSyr3LO W9ab+n2AHWd/yCSELSCENZwZ7PA3JETgBuZACJ+xYnIncw1oBSMg+rcv38wIEHAzJkCcyIl/AAh3 6AZKA8IRAMIezowEQLi+z2QDk7om8QGCwC+EKQmIaYQhT0B4Qy9Qmg8g3/uo9iTEQGklgQ9m4Ntc IwAgbAei3i8UhBWGqCAMCJYpxBjjdAoxbhti+EQIyHt5AkKgtpJBCN/vGXCBEEGfS2O5MpMIMc3k ESFuSwhMAiutIXwBIVBdSSGEy3OTLMgQaghrzEIQIYgQSSQvyghJQ4CGgDrrWZSB6koGITzPGCpu IkKQhqA8xBvlIWwe0Y5FBEULGaGAEKiupBDCpjzE0fEhLqETId6KEFjyVznKcKCIcKYhUF1JIITl +7Y3lDJMKHpezVQevRJU6+SOIspD3DQPYWPJX2lCoENvrGWA1w0MCUxdySCEFxisQsGLnQJCTKMM IsSp55AIcVtCYM1faUIIDJUuqisphHABEJcJYU0ylUQIIoS0TKWNVX+lCSHwS7mormQQwvUM7nhg 5UzSEGwwDTmmro7JkEcIrPorTQiBY8pFdSWFEPZX8hCn1U7SEKQh5BECq/5KE0LgmHJRXckghGUE Q7VTpCGskAhxaewj5SFum4fAqr/ShBA4plxUVzIIYZrONUJQppKqnW9V7cSqv9KEEDimXFRXMghh BP4wLkOoIazTcRkUZVCUIS/KwKq/0oQQOKZcVFcSCGGGoYtDv4WZSu6WOI7LIEIQIaQRArxCx6q/ yoQA78OZY8pFdSWFEN51DTEZ20mEIELIIwRW/ZUmhMgxhepKBiFcEBHX/BBEiIuztFGm8qaZSger /koTQuCY6qd5k+SpNF3DY8qAPJXZMLko+SHehx/Cwaq/0oQQTEHnobqSoSEcP7jmmCJPJdUy3qiW 4WDVX2lCCDyVHqorGYSwAxiZQRqCzeZNYzvH+bN4/MBThV/Ocy0vD4FVf6UJIfBUeqiupBDC/Uoe ghxT5Jg6TcXIIwRW/ZUmhMBT6aG6kkCI0AmvDe0kSyUFGW8VZGDRX2lACCyVHoorCYAIXPdaFiKA xzZABEJuCMHzZqiScdtKBtb8lQaEwFHpobaSAQgruDp9DBkqT/U1PUtH3iSVDpb8lQaEwFDpobaS AAjfJgVBM9Cx555N4PcOspTjLEoqAwJ8D2d+Sg+1lQxAGOE1K8T0URlkpyQ7pbQk5TiJktKAENgp PdRWEgABj+gcHtdpWTDl9dkMlVTFoCrGaZQlDxBY71caEAI3pY9jVSQAwrKxiiECBCUpqYrxRlWM cQolpQEhMFP6Ms2UlglxQ++UEgHCoiTl6e1zEqdTFeOmVYxxBiWlASHwUvqorSQoCM6Hy4CgiWNI QbyVgsBqv9KAEFgpfZlWypBSEFTEeJdFDCz2K80HgZHSl2mkNEPDH4Z8w6P4WL4S5upIouzQaekh 1i0XHgKORil64DdVMeQlKbHarzQhBE5KH7WVhBADnoHhn1gpz8sYE0JQnZMIIY8QWO5XmhACK6WP 6koGISzHOpl6jghBD8ngjxl8D1YprPcrTQiBl9JHdSWBEKY3Ps4Xpq8lQhAh3gshxumTVCYE2B7O zJQ+qisJhAhD71qQwabHH9MQFGRQkCEtyBhnT1IaEAIzpY/iSgIgbA9yk0Ol0z8S4FKekgBBgJAH CCz4Kw0IgZkykGmmNF3bH+aEsFzzWKoYCRHa/F0+5Ntnz/1lhQ6YaeiwaXas4lE3bfdDVu00thDr TZZ2Ons9eX1su37VYRX2clmt8qLgtZKinLwA2+xfgRoKfJS9x6opL00e63+ERvgQPATOzLG8h5lj LJezj6uFM/NWpu8u7eVisTT/ZN9rOtE2X6+zkn2NdtgVZRvBi7G+7bo6ms/bdJvtkvZul6dN1Vab 7i6tdnOqdbLTPTGCvYMsxDh5ktKEELgpA6luSttnD8boJ6/lU+FPSp0AkDHI8F3SEKQh5GkIrPkr TQiBnTJAdSUhyDB9D8qdlwkB006xd48agghBhJBHCKz5K00IgZ8ykOmnhCd19gz4HOvmuYawDHsc 1EkaYqrEaUgGj0V6g902S9YP5Zor0C7Ji355PsZ9j3mZ8QAVgsfhNw8n5+xZD239qbn/wJa6w9NB y9exPk6fpDQhBI7KANWVBA3h2WMlwz/zU06zEKQgSEHIUxBY8VeaDwI/ZYDaSgIfzD4PyfSDzRcn SYjgpNBJ+oH0QyJv3rlx8iSl+SBwUwZy3ZQhhBDg2AJCWJ7jcjaNZYwA9MVJCqK3r1AZg9uJKMC4 bYCB9X6lASEwUwYorWQICC+0TRgkxp/Bd56CIEDQmO83GvM9Tp6kMiDA9XDmpQxkeilNww1gUBYH hM2XpiEGKQiaNWbCSGkpiHHyJKUBIfBSBqitJCgIKGEMY75Nkw/fnALCHqucAbNdklNqUTQahRj5 LtYhNoWfW9UwxsmT3icgoPaSRvCPF2Sem6Te5uky6ZLTv2F5X0eZVW2rYp01938BAAD//wMAUEsD BBQABgAIAAAAIQDcHjaC3AAAAAQBAAAPAAAAZHJzL2Rvd25yZXYueG1sTI9PS8NAEMXvgt9hGcFL aXf9k1piNkUEEREP1l68TbPTJJidDdltm/bTO3rRy4PHG977TbEcfaf2NMQ2sIWrmQFFXAXXcm1h /fE0XYCKCdlhF5gsHCnCsjw/KzB34cDvtF+lWkkJxxwtNCn1udaxashjnIWeWLJtGDwmsUOt3YAH KfedvjZmrj22LAsN9vTYUPW12nkLN0d+fXme9wZPn3rYnjIa3yYTay8vxod7UInG9HcMP/iCDqUw bcKOXVSdBXkk/apkWbYQu7Fwd2tAl4X+D19+AwAA//8DAFBLAQItABQABgAIAAAAIQC2gziS/gAA AOEBAAATAAAAAAAAAAAAAAAAAAAAAABbQ29udGVudF9UeXBlc10ueG1sUEsBAi0AFAAGAAgAAAAh ADj9If/WAAAAlAEAAAsAAAAAAAAAAAAAAAAALwEAAF9yZWxzLy5yZWxzUEsBAi0AFAAGAAgAAAAh AOY2ylbGCgAA+M4AAA4AAAAAAAAAAAAAAAAALgIAAGRycy9lMm9Eb2MueG1sUEsBAi0AFAAGAAgA AAAhANweNoLcAAAABAEAAA8AAAAAAAAAAAAAAAAAIA0AAGRycy9kb3ducmV2LnhtbFBLBQYAAAAA BAAEAPMAAAApDgAAAAA= ">
                            <v:shape id="_x0000_s1053" type="#_x0000_t75" style="position:absolute;width:35433;height:4699;visibility:visible;mso-wrap-style:square">
                              <v:fill o:detectmouseclick="t"/>
                              <v:path o:connecttype="none"/>
                            </v:shape>
                            <v:line id="Line 38" o:spid="_x0000_s1054" style="position:absolute;visibility:visible;mso-wrap-style:square" from="5695,2304" to="29159,2304"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tj9PrsIAAADcAAAADwAAAGRycy9kb3ducmV2LnhtbERPS4vCMBC+C/6HMII3TX2wSDWKuggL e5CqF29DM7bVZlKSrNb99Rthwdt8fM9ZrFpTizs5X1lWMBomIIhzqysuFJyOu8EMhA/IGmvLpOBJ HlbLbmeBqbYPzuh+CIWIIexTVFCG0KRS+rwkg35oG+LIXawzGCJ0hdQOHzHc1HKcJB/SYMWxocSG tiXlt8OPUTA7Nv7zuT3v7N5df7PvaUZT3CjV77XrOYhAbXiL/91fOs6fjOD1TLxALv8AAAD//wMA UEsBAi0AFAAGAAgAAAAhAP4l66UAAQAA6gEAABMAAAAAAAAAAAAAAAAAAAAAAFtDb250ZW50X1R5 cGVzXS54bWxQSwECLQAUAAYACAAAACEAlgUzWNQAAACXAQAACwAAAAAAAAAAAAAAAAAxAQAAX3Jl bHMvLnJlbHNQSwECLQAUAAYACAAAACEAMy8FnkEAAAA5AAAAFAAAAAAAAAAAAAAAAAAuAgAAZHJz L2Nvbm5lY3RvcnhtbC54bWxQSwECLQAUAAYACAAAACEAtj9PrsIAAADcAAAADwAAAAAAAAAAAAAA AAChAgAAZHJzL2Rvd25yZXYueG1sUEsFBgAAAAAEAAQA+QAAAJADAAAAAA== " strokeweight=".5pt"/>
                            <v:rect id="Rectangle 41" o:spid="_x0000_s1055" style="position:absolute;left:29337;top:1332;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elOv78A AADcAAAADwAAAGRycy9kb3ducmV2LnhtbERP24rCMBB9F/yHMMK+aWqF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A56U6/vwAAANwAAAAPAAAAAAAAAAAAAAAAAJgCAABkcnMvZG93bnJl di54bWxQSwUGAAAAAAQABAD1AAAAhAMAAAAA " filled="f" stroked="f">
                              <v:textbox style="mso-fit-shape-to-text:t" inset="0,0,0,0">
                                <w:txbxContent>
                                  <w:p>
                                    <w:pPr>
                                      <w:rPr>
                                        <w:szCs w:val="24"/>
                                        <w:lang w:val="en-GB"/>
                                      </w:rPr>
                                    </w:pPr>
                                  </w:p>
                                </w:txbxContent>
                              </v:textbox>
                            </v:rect>
                            <v:rect id="Rectangle 42" o:spid="_x0000_s1056" style="position:absolute;left:28581;top:177;width:50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qXrJL4A AADcAAAADwAAAGRycy9kb3ducmV2LnhtbERP24rCMBB9X/Afwgi+rakK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Fal6yS+AAAA3AAAAA8AAAAAAAAAAAAAAAAAmAIAAGRycy9kb3ducmV2 LnhtbFBLBQYAAAAABAAEAPUAAACDAwAAAAA= " filled="f" stroked="f">
                              <v:textbox style="mso-fit-shape-to-text:t" inset="0,0,0,0">
                                <w:txbxContent>
                                  <w:p>
                                    <w:pPr>
                                      <w:rPr>
                                        <w:szCs w:val="24"/>
                                        <w:lang w:val="en-GB"/>
                                      </w:rPr>
                                    </w:pPr>
                                    <w:r>
                                      <w:rPr>
                                        <w:color w:val="000000"/>
                                        <w:szCs w:val="24"/>
                                        <w:lang w:val="en-US"/>
                                      </w:rPr>
                                      <w:t>)</w:t>
                                    </w:r>
                                  </w:p>
                                </w:txbxContent>
                              </v:textbox>
                            </v:rect>
                            <v:rect id="Rectangle 43" o:spid="_x0000_s1057" style="position:absolute;left:5772;top:177;width:50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UxzUL8A AADcAAAADwAAAGRycy9kb3ducmV2LnhtbERP24rCMBB9F/yHMIJvmqrL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ZTHNQvwAAANwAAAAPAAAAAAAAAAAAAAAAAJgCAABkcnMvZG93bnJl di54bWxQSwUGAAAAAAQABAD1AAAAhAMAAAAA " filled="f" stroked="f">
                              <v:textbox style="mso-fit-shape-to-text:t" inset="0,0,0,0">
                                <w:txbxContent>
                                  <w:p>
                                    <w:pPr>
                                      <w:rPr>
                                        <w:szCs w:val="24"/>
                                        <w:lang w:val="en-GB"/>
                                      </w:rPr>
                                    </w:pPr>
                                    <w:r>
                                      <w:rPr>
                                        <w:color w:val="000000"/>
                                        <w:szCs w:val="24"/>
                                        <w:lang w:val="en-US"/>
                                      </w:rPr>
                                      <w:t>(</w:t>
                                    </w:r>
                                  </w:p>
                                </w:txbxContent>
                              </v:textbox>
                            </v:rect>
                            <v:rect id="Rectangle 44" o:spid="_x0000_s1058" style="position:absolute;left:18738;top:3440;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gDWy78A AADcAAAADwAAAGRycy9kb3ducmV2LnhtbERP24rCMBB9F/yHMIJvmqrs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C2ANbL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5" o:spid="_x0000_s1059" style="position:absolute;left:17799;top:3440;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tJIvL4A AADcAAAADwAAAGRycy9kb3ducmV2LnhtbERP24rCMBB9X/Afwgi+rakK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EbSSLy+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46" o:spid="_x0000_s1060" style="position:absolute;left:17532;top:3440;width:228;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Z7tJ78A AADcAAAADwAAAGRycy9kb3ducmV2LnhtbERP24rCMBB9F/yHMIJvmqqw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pnu0n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7" o:spid="_x0000_s1061" style="position:absolute;left:16605;top:3440;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AF5VcMA AADcAAAADwAAAGRycy9kb3ducmV2LnhtbESP3WoCMRCF74W+Q5hC7zRbCy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WAF5Vc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10</w:t>
                                    </w:r>
                                  </w:p>
                                </w:txbxContent>
                              </v:textbox>
                            </v:rect>
                            <v:rect id="Rectangle 48" o:spid="_x0000_s1062" style="position:absolute;left:16338;top:3440;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03czr8A AADcAAAADwAAAGRycy9kb3ducmV2LnhtbERP24rCMBB9X/Afwgi+rakK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A3TdzO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49" o:spid="_x0000_s1063" style="position:absolute;left:27736;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EGLsMA AADcAAAADwAAAGRycy9kb3ducmV2LnhtbESP3WoCMRCF74W+Q5hC7zRbKSJbo5SCoMUbVx9g2Mz+ 0GSyJKm7vn3nQvBuhnPmnG82u8k7daOY+sAG3hcFKOI62J5bA9fLfr4GlTKyRReYDNwpwW77Mttg acPIZ7pVuVUSwqlEA13OQ6l1qjvymBZhIBatCdFjljW22kYcJdw7vSyKlfbYszR0ONB3R/Vv9ecN 6Eu1H9eVi0X4WTYndzycGwrGvL1OX5+gMk35aX5cH6zgfwi+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nEGLs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0" o:spid="_x0000_s1064" style="position:absolute;left:26803;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T2jtb4A AADcAAAADwAAAGRycy9kb3ducmV2LnhtbERP24rCMBB9X/Afwgi+ramyLFKNIoKgiy9WP2BophdM JiWJtv69EYR9m8O5zmozWCMe5EPrWMFsmoEgLp1uuVZwvey/FyBCRNZoHJOCJwXYrEdfK8y16/lM jyLWIoVwyFFBE2OXSxnKhiyGqeuIE1c5bzEm6GupPfYp3Bo5z7JfabHl1NBgR7uGyltxtwrkpdj3 i8L4zP3Nq5M5Hs4VOaUm42G7BBFpiP/ij/ug0/yfGb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JE9o7W+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51" o:spid="_x0000_s1065" style="position:absolute;left:26530;top:1110;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e89wr8A AADcAAAADwAAAGRycy9kb3ducmV2LnhtbERP24rCMBB9F/yHMMK+aWqR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Bh7z3C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52" o:spid="_x0000_s1066" style="position:absolute;left:25609;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UoALb4A AADcAAAADwAAAGRycy9kb3ducmV2LnhtbERP24rCMBB9X/Afwgi+raki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IFKAC2+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10</w:t>
                                    </w:r>
                                  </w:p>
                                </w:txbxContent>
                              </v:textbox>
                            </v:rect>
                            <v:rect id="Rectangle 53" o:spid="_x0000_s1067" style="position:absolute;left:25336;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galtr8A AADcAAAADwAAAGRycy9kb3ducmV2LnhtbERP24rCMBB9F/yHMIJvmiruItUoIgi67IvVDxia6QWT SUmirX+/WVjYtzmc62z3gzXiRT60jhUs5hkI4tLplmsF99tptgYRIrJG45gUvCnAfjcebTHXrucr vYpYixTCIUcFTYxdLmUoG7IY5q4jTlzlvMWYoK+l9tincGvkMss+pcWWU0ODHR0bKh/F0yqQt+LU rwvjM/e1rL7N5XytyCk1nQyHDYhIQ/wX/7nPOs1ffcD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uBqW2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54" o:spid="_x0000_s1068" style="position:absolute;left:22085;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tQ7wb4A AADcAAAADwAAAGRycy9kb3ducmV2LnhtbERP24rCMBB9X/Afwgi+raki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B7UO8G+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55" o:spid="_x0000_s1069" style="position:absolute;left:21145;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ZieWr8A AADcAAAADwAAAGRycy9kb3ducmV2LnhtbERP24rCMBB9F/yHMIJvmiqy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BxmJ5a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56" o:spid="_x0000_s1070" style="position:absolute;left:20878;top:1110;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AcKKMMA AADcAAAADwAAAGRycy9kb3ducmV2LnhtbESP3WoCMRCF74W+Q5hC7zRbKS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AAcKKM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7" o:spid="_x0000_s1071" style="position:absolute;left:19951;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0uvs78A AADcAAAADwAAAGRycy9kb3ducmV2LnhtbERP24rCMBB9X/Afwgi+raki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BvS6+z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58" o:spid="_x0000_s1072" style="position:absolute;left:19678;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6iQ88MA AADcAAAADwAAAGRycy9kb3ducmV2LnhtbESP3WoCMRCF74W+Q5hC7zRboSJbo5SCoMUbVx9g2Mz+ 0GSyJKm7vn3nQvBuhnPmnG82u8k7daOY+sAG3hcFKOI62J5bA9fLfr4GlTKyRReYDNwpwW77Mttg acPIZ7pVuVUSwqlEA13OQ6l1qjvymBZhIBatCdFjljW22kYcJdw7vSyKlfbYszR0ONB3R/Vv9ecN 6Eu1H9eVi0X4WTYndzycGwrGvL1OX5+gMk35aX5cH6zgfwi+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e6iQ88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59" o:spid="_x0000_s1073" style="position:absolute;left:15995;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OQ1aL4A AADcAAAADwAAAGRycy9kb3ducmV2LnhtbERP24rCMBB9X/Afwgi+ranCLlKNIoKgiy9WP2BophdM JiWJtv69EYR9m8O5zmozWCMe5EPrWMFsmoEgLp1uuVZwvey/FyBCRNZoHJOCJwXYrEdfK8y16/lM jyLWIoVwyFFBE2OXSxnKhiyGqeuIE1c5bzEm6GupPfYp3Bo5z7JfabHl1NBgR7uGyltxtwrkpdj3 i8L4zP3Nq5M5Hs4VOaUm42G7BBFpiP/ij/ug0/yfGb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BTkNWi+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0" o:spid="_x0000_s1074" style="position:absolute;left:15062;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DarH78A AADcAAAADwAAAGRycy9kb3ducmV2LnhtbERP24rCMBB9F/yHMMK+aWrBRbpGEUFQ2RfrfsDQTC+Y TEoSbf17s7Cwb3M419nsRmvEk3zoHCtYLjIQxJXTHTcKfm7H+RpEiMgajWNS8KIAu+10ssFCu4Gv 9CxjI1IIhwIVtDH2hZShasliWLieOHG18xZjgr6R2uOQwq2ReZZ9Sosdp4YWezq0VN3Lh1Ugb+Vx WJfGZ+6S19/mfLrW5JT6mI37LxCRxvgv/nOfdJq/yuH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DkNqsf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61" o:spid="_x0000_s1075" style="position:absolute;left:14789;top:1110;width:22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3oOhL8A AADcAAAADwAAAGRycy9kb3ducmV2LnhtbERP24rCMBB9F/yHMIJvmqrsItUoIgi67IvVDxia6QWT SUmirX+/WVjYtzmc62z3gzXiRT60jhUs5hkI4tLplmsF99tptgYRIrJG45gUvCnAfjcebTHXrucr vYpYixTCIUcFTYxdLmUoG7IY5q4jTlzlvMWYoK+l9tincGvkMss+pcWWU0ODHR0bKh/F0yqQt+LU rwvjM/e1rL7N5XytyCk1nQyHDYhIQ/wX/7nPOs3/W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CLeg6E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62" o:spid="_x0000_s1076" style="position:absolute;left:13868;top:1110;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JOW8L8A AADcAAAADwAAAGRycy9kb3ducmV2LnhtbERP24rCMBB9F/yHMIJvmiruItUoIgi67IvVDxia6QWT SUmirX+/WVjYtzmc62z3gzXiRT60jhUs5hkI4tLplmsF99tptgYRIrJG45gUvCnAfjcebTHXrucr vYpYixTCIUcFTYxdLmUoG7IY5q4jTlzlvMWYoK+l9tincGvkMss+pcWWU0ODHR0bKh/F0yqQt+LU rwvjM/e1rL7N5XytyCk1nQyHDYhIQ/wX/7nPOs3/W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Ek5bw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63" o:spid="_x0000_s1077" style="position:absolute;left:13595;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98za74A AADcAAAADwAAAGRycy9kb3ducmV2LnhtbERP24rCMBB9X/Afwgi+ramCi1SjiCC44ovVDxia6QWT SUmi7f69EYR9m8O5zno7WCOe5EPrWMFsmoEgLp1uuVZwux6+lyBCRNZoHJOCPwqw3Yy+1phr1/OF nkWsRQrhkKOCJsYulzKUDVkMU9cRJ65y3mJM0NdSe+xTuDVynmU/0mLLqaHBjvYNlffiYRXIa3Ho l4XxmTvNq7P5PV4qckpNxsNuBSLSEP/FH/dRp/mLBbyfS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GvfM2u+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4" o:spid="_x0000_s1078" style="position:absolute;left:9493;top:1110;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w2tHL4A AADcAAAADwAAAGRycy9kb3ducmV2LnhtbERP24rCMBB9X/Afwgi+ramCItUoIgiu+GL1A4ZmesFk UpJou39vhIV9m8O5zmY3WCNe5EPrWMFsmoEgLp1uuVZwvx2/VyBCRNZoHJOCXwqw246+Nphr1/OV XkWsRQrhkKOCJsYulzKUDVkMU9cRJ65y3mJM0NdSe+xTuDVynmVLabHl1NBgR4eGykfxtArkrTj2 q8L4zJ3n1cX8nK4VOaUm42G/BhFpiP/iP/dJp/mLJ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JsNrRy+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5" o:spid="_x0000_s1079" style="position:absolute;left:8559;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EEIh78A AADcAAAADwAAAGRycy9kb3ducmV2LnhtbERP24rCMBB9F/yHMIJvmiq4K9UoIgi67IvVDxia6QWT SUmirX+/WVjYtzmc62z3gzXiRT60jhUs5hkI4tLplmsF99tptgYRIrJG45gUvCnAfjcebTHXrucr vYpYixTCIUcFTYxdLmUoG7IY5q4jTlzlvMWYoK+l9tincGvkMss+pMWWU0ODHR0bKh/F0yqQt+LU rwvjM/e1rL7N5XytyCk1nQyHDYhIQ/wX/7nPOs1ffcL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0QQiH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04</w:t>
                                    </w:r>
                                  </w:p>
                                </w:txbxContent>
                              </v:textbox>
                            </v:rect>
                            <v:rect id="Rectangle 66" o:spid="_x0000_s1080" style="position:absolute;left:8286;top:1110;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d6c9cMA AADcAAAADwAAAGRycy9kb3ducmV2LnhtbESP3WoCMRCF74W+Q5hC7zRboSJbo5SCoMUbVx9g2Mz+ 0GSyJKm7vn3nQvBuhnPmnG82u8k7daOY+sAG3hcFKOI62J5bA9fLfr4GlTKyRReYDNwpwW77Mttg acPIZ7pVuVUSwqlEA13OQ6l1qjvymBZhIBatCdFjljW22kYcJdw7vSyKlfbYszR0ONB3R/Vv9ecN 6Eu1H9eVi0X4WTYndzycGwrGvL1OX5+gMk35aX5cH6zgfwitPCMT6O0/AAAA//8DAFBLAQItABQA BgAIAAAAIQDw94q7/QAAAOIBAAATAAAAAAAAAAAAAAAAAAAAAABbQ29udGVudF9UeXBlc10ueG1s UEsBAi0AFAAGAAgAAAAhADHdX2HSAAAAjwEAAAsAAAAAAAAAAAAAAAAALgEAAF9yZWxzLy5yZWxz UEsBAi0AFAAGAAgAAAAhADMvBZ5BAAAAOQAAABAAAAAAAAAAAAAAAAAAKQIAAGRycy9zaGFwZXht bC54bWxQSwECLQAUAAYACAAAACEAhd6c9c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67" o:spid="_x0000_s1081" style="position:absolute;left:7359;top:1110;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6pI5br8A AADcAAAADwAAAGRycy9kb3ducmV2LnhtbERP24rCMBB9X/Afwgi+ramCi1ajiCCo7IvVDxia6QWT SUmytvv3RljYtzmc62x2gzXiST60jhXMphkI4tLplmsF99vxcwkiRGSNxjEp+KUAu+3oY4O5dj1f 6VnEWqQQDjkqaGLscilD2ZDFMHUdceIq5y3GBH0ttcc+hVsj51n2JS22nBoa7OjQUPkofqwCeSuO /bIwPnOXefVtzqdrRU6pyXjYr0FEGuK/+M990mn+YgXvZ9IFcvsCAAD//wMAUEsBAi0AFAAGAAgA AAAhAPD3irv9AAAA4gEAABMAAAAAAAAAAAAAAAAAAAAAAFtDb250ZW50X1R5cGVzXS54bWxQSwEC LQAUAAYACAAAACEAMd1fYdIAAACPAQAACwAAAAAAAAAAAAAAAAAuAQAAX3JlbHMvLnJlbHNQSwEC LQAUAAYACAAAACEAMy8FnkEAAAA5AAAAEAAAAAAAAAAAAAAAAAApAgAAZHJzL3NoYXBleG1sLnht bFBLAQItABQABgAIAAAAIQDqkjluvwAAANwAAAAPAAAAAAAAAAAAAAAAAJgCAABkcnMvZG93bnJl di54bWxQSwUGAAAAAAQABAD1AAAAhAMAAAAA " filled="f" stroked="f">
                              <v:textbox style="mso-fit-shape-to-text:t" inset="0,0,0,0">
                                <w:txbxContent>
                                  <w:p>
                                    <w:pPr>
                                      <w:rPr>
                                        <w:szCs w:val="24"/>
                                        <w:lang w:val="en-GB"/>
                                      </w:rPr>
                                    </w:pPr>
                                    <w:r>
                                      <w:rPr>
                                        <w:color w:val="000000"/>
                                        <w:sz w:val="14"/>
                                        <w:szCs w:val="14"/>
                                        <w:lang w:val="en-US"/>
                                      </w:rPr>
                                      <w:t>10</w:t>
                                    </w:r>
                                  </w:p>
                                </w:txbxContent>
                              </v:textbox>
                            </v:rect>
                            <v:rect id="Rectangle 68" o:spid="_x0000_s1082" style="position:absolute;left:7092;top:1110;width:29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cRaTsMA AADcAAAADwAAAGRycy9kb3ducmV2LnhtbESPzWoDMQyE74G8g1Ggt6y3OYSwiRNKIZCWXLLpA4i1 9ofa8mK72e3bR4dCbxIzmvl0OM3eqQfFNAQ28FqUoIibYAfuDHzdz+sdqJSRLbrAZOCXEpyOy8UB KxsmvtGjzp2SEE4VGuhzHiutU9OTx1SEkVi0NkSPWdbYaRtxknDv9KYst9rjwNLQ40jvPTXf9Y83 oO/1edrVLpbhc9Ne3cfl1lIw5mU1v+1BZZrzv/nv+mIFfyv48oxMoI9PAAAA//8DAFBLAQItABQA BgAIAAAAIQDw94q7/QAAAOIBAAATAAAAAAAAAAAAAAAAAAAAAABbQ29udGVudF9UeXBlc10ueG1s UEsBAi0AFAAGAAgAAAAhADHdX2HSAAAAjwEAAAsAAAAAAAAAAAAAAAAALgEAAF9yZWxzLy5yZWxz UEsBAi0AFAAGAAgAAAAhADMvBZ5BAAAAOQAAABAAAAAAAAAAAAAAAAAAKQIAAGRycy9zaGFwZXht bC54bWxQSwECLQAUAAYACAAAACEAtcRaTsMAAADcAAAADwAAAAAAAAAAAAAAAACYAgAAZHJzL2Rv d25yZXYueG1sUEsFBgAAAAAEAAQA9QAAAIgDAAAAAA== " filled="f" stroked="f">
                              <v:textbox style="mso-fit-shape-to-text:t" inset="0,0,0,0">
                                <w:txbxContent>
                                  <w:p>
                                    <w:pPr>
                                      <w:rPr>
                                        <w:szCs w:val="24"/>
                                        <w:lang w:val="en-GB"/>
                                      </w:rPr>
                                    </w:pPr>
                                    <w:r>
                                      <w:rPr>
                                        <w:color w:val="000000"/>
                                        <w:sz w:val="14"/>
                                        <w:szCs w:val="14"/>
                                        <w:lang w:val="en-US"/>
                                      </w:rPr>
                                      <w:t>(</w:t>
                                    </w:r>
                                  </w:p>
                                </w:txbxContent>
                              </v:textbox>
                            </v:rect>
                            <v:rect id="Rectangle 69" o:spid="_x0000_s1083" style="position:absolute;left:3327;top:2266;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oj/1b4A AADcAAAADwAAAGRycy9kb3ducmV2LnhtbERPy6rCMBDdC/5DGOHuNNWFSDWKCIJX7sbqBwzN9IHJ pCTR9v69EQR3czjP2ewGa8STfGgdK5jPMhDEpdMt1wpu1+N0BSJEZI3GMSn4pwC77Xi0wVy7ni/0 LGItUgiHHBU0MXa5lKFsyGKYuY44cZXzFmOCvpbaY5/CrZGLLFtKiy2nhgY7OjRU3ouHVSCvxbFf FcZn7ryo/szv6VKRU+pnMuzXICIN8Sv+uE86zV/O4f1MukBuXwAAAP//AwBQSwECLQAUAAYACAAA ACEA8PeKu/0AAADiAQAAEwAAAAAAAAAAAAAAAAAAAAAAW0NvbnRlbnRfVHlwZXNdLnhtbFBLAQIt ABQABgAIAAAAIQAx3V9h0gAAAI8BAAALAAAAAAAAAAAAAAAAAC4BAABfcmVscy8ucmVsc1BLAQIt ABQABgAIAAAAIQAzLwWeQQAAADkAAAAQAAAAAAAAAAAAAAAAACkCAABkcnMvc2hhcGV4bWwueG1s UEsBAi0AFAAGAAgAAAAhANqI/9W+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0" o:spid="_x0000_s1084" style="position:absolute;left:2393;top:2266;width:896;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lphor4A AADcAAAADwAAAGRycy9kb3ducmV2LnhtbERPzYrCMBC+C75DGGFvmtqDSDWKCIIre7HuAwzN9AeT SUmi7b69EYS9zcf3O9v9aI14kg+dYwXLRQaCuHK640bB7+00X4MIEVmjcUwK/ijAfjedbLHQbuAr PcvYiBTCoUAFbYx9IWWoWrIYFq4nTlztvMWYoG+k9jikcGtknmUrabHj1NBiT8eWqnv5sArkrTwN 69L4zF3y+sd8n681OaW+ZuNhAyLSGP/FH/dZp/mrHN7PpAvk7gUAAP//AwBQSwECLQAUAAYACAAA ACEA8PeKu/0AAADiAQAAEwAAAAAAAAAAAAAAAAAAAAAAW0NvbnRlbnRfVHlwZXNdLnhtbFBLAQIt ABQABgAIAAAAIQAx3V9h0gAAAI8BAAALAAAAAAAAAAAAAAAAAC4BAABfcmVscy8ucmVsc1BLAQIt ABQABgAIAAAAIQAzLwWeQQAAADkAAAAQAAAAAAAAAAAAAAAAACkCAABkcnMvc2hhcGV4bWwueG1s UEsBAi0AFAAGAAgAAAAhACpaYaK+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04</w:t>
                                    </w:r>
                                  </w:p>
                                </w:txbxContent>
                              </v:textbox>
                            </v:rect>
                            <v:rect id="Rectangle 71" o:spid="_x0000_s1085" style="position:absolute;left:2120;top:2266;width:229;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RbEOb4A AADcAAAADwAAAGRycy9kb3ducmV2LnhtbERP24rCMBB9X/Afwgi+rakK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EUWxDm+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2" o:spid="_x0000_s1086" style="position:absolute;left:1200;top:2266;width:895;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v9cTb4A AADcAAAADwAAAGRycy9kb3ducmV2LnhtbERP24rCMBB9X/Afwgi+raki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Mr/XE2+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10</w:t>
                                    </w:r>
                                  </w:p>
                                </w:txbxContent>
                              </v:textbox>
                            </v:rect>
                            <v:rect id="Rectangle 73" o:spid="_x0000_s1087" style="position:absolute;left:927;top:2266;width:298;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bP51r4A AADcAAAADwAAAGRycy9kb3ducmV2LnhtbERP24rCMBB9X/Afwgi+ramCItUoIgiu+GL1A4ZmesFk UpJou39vhIV9m8O5zmY3WCNe5EPrWMFsmoEgLp1uuVZwvx2/VyBCRNZoHJOCXwqw246+Nphr1/OV XkWsRQrhkKOCJsYulzKUDVkMU9cRJ65y3mJM0NdSe+xTuDVynmVLabHl1NBgR4eGykfxtArkrTj2 q8L4zJ3n1cX8nK4VOaUm42G/BhFpiP/iP/dJp/nLBXyeSRfI7RsAAP//AwBQSwECLQAUAAYACAAA ACEA8PeKu/0AAADiAQAAEwAAAAAAAAAAAAAAAAAAAAAAW0NvbnRlbnRfVHlwZXNdLnhtbFBLAQIt ABQABgAIAAAAIQAx3V9h0gAAAI8BAAALAAAAAAAAAAAAAAAAAC4BAABfcmVscy8ucmVsc1BLAQIt ABQABgAIAAAAIQAzLwWeQQAAADkAAAAQAAAAAAAAAAAAAAAAACkCAABkcnMvc2hhcGV4bWwueG1s UEsBAi0AFAAGAAgAAAAhAKWz+da+AAAA3A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74" o:spid="_x0000_s1088" style="position:absolute;left:19075;top:3447;width:254;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WFnob4A AADcAAAADwAAAGRycy9kb3ducmV2LnhtbERPzYrCMBC+L/gOYQRva6qHIl2jiCCoeLHuAwzN9IdN JiWJtr69EYS9zcf3O+vtaI14kA+dYwWLeQaCuHK640bB7+3wvQIRIrJG45gUPCnAdjP5WmOh3cBX epSxESmEQ4EK2hj7QspQtWQxzF1PnLjaeYsxQd9I7XFI4dbIZZbl0mLHqaHFnvYtVX/l3SqQt/Iw rErjM3de1hdzOl5rckrNpuPuB0SkMf6LP+6jTvPzHN7PpAvk5gUAAP//AwBQSwECLQAUAAYACAAA ACEA8PeKu/0AAADiAQAAEwAAAAAAAAAAAAAAAAAAAAAAW0NvbnRlbnRfVHlwZXNdLnhtbFBLAQIt ABQABgAIAAAAIQAx3V9h0gAAAI8BAAALAAAAAAAAAAAAAAAAAC4BAABfcmVscy8ucmVsc1BLAQIt ABQABgAIAAAAIQAzLwWeQQAAADkAAAAQAAAAAAAAAAAAAAAAACkCAABkcnMvc2hhcGV4bWwueG1s UEsBAi0AFAAGAAgAAAAhAFVhZ6G+AAAA3AAAAA8AAAAAAAAAAAAAAAAAmAIAAGRycy9kb3ducmV2 LnhtbFBLBQYAAAAABAAEAPUAAACDAwAAAAA= " filled="f" stroked="f">
                              <v:textbox style="mso-fit-shape-to-text:t" inset="0,0,0,0">
                                <w:txbxContent>
                                  <w:p>
                                    <w:pPr>
                                      <w:rPr>
                                        <w:szCs w:val="24"/>
                                        <w:lang w:val="en-GB"/>
                                      </w:rPr>
                                    </w:pPr>
                                    <w:r>
                                      <w:rPr>
                                        <w:i/>
                                        <w:iCs/>
                                        <w:color w:val="000000"/>
                                        <w:sz w:val="14"/>
                                        <w:szCs w:val="14"/>
                                        <w:lang w:val="en-US"/>
                                      </w:rPr>
                                      <w:t>t</w:t>
                                    </w:r>
                                  </w:p>
                                </w:txbxContent>
                              </v:textbox>
                            </v:rect>
                            <v:rect id="Rectangle 75" o:spid="_x0000_s1089" style="position:absolute;left:28079;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i3COr8A AADcAAAADwAAAGRycy9kb3ducmV2LnhtbERPzYrCMBC+L/gOYQRva6oHV6pRRBBc8WL1AYZm+oPJ pCTRdt/eCMLe5uP7nfV2sEY8yYfWsYLZNANBXDrdcq3gdj18L0GEiKzROCYFfxRguxl9rTHXrucL PYtYixTCIUcFTYxdLmUoG7IYpq4jTlzlvMWYoK+l9tincGvkPMsW0mLLqaHBjvYNlffiYRXIa3Ho l4XxmTvNq7P5PV4qckpNxsNuBSLSEP/FH/dRp/mLH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A6LcI6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76" o:spid="_x0000_s1090" style="position:absolute;left:22421;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7JWSMMA AADcAAAADwAAAGRycy9kb3ducmV2LnhtbESPzWoDMQyE74G8g1Ggt6y3OYSwiRNKIZCWXLLpA4i1 9ofa8mK72e3bR4dCbxIzmvl0OM3eqQfFNAQ28FqUoIibYAfuDHzdz+sdqJSRLbrAZOCXEpyOy8UB KxsmvtGjzp2SEE4VGuhzHiutU9OTx1SEkVi0NkSPWdbYaRtxknDv9KYst9rjwNLQ40jvPTXf9Y83 oO/1edrVLpbhc9Ne3cfl1lIw5mU1v+1BZZrzv/nv+mIFfyu08oxMoI9PAAAA//8DAFBLAQItABQA BgAIAAAAIQDw94q7/QAAAOIBAAATAAAAAAAAAAAAAAAAAAAAAABbQ29udGVudF9UeXBlc10ueG1s UEsBAi0AFAAGAAgAAAAhADHdX2HSAAAAjwEAAAsAAAAAAAAAAAAAAAAALgEAAF9yZWxzLy5yZWxz UEsBAi0AFAAGAAgAAAAhADMvBZ5BAAAAOQAAABAAAAAAAAAAAAAAAAAAKQIAAGRycy9zaGFwZXht bC54bWxQSwECLQAUAAYACAAAACEAS7JWSMMAAADcAAAADwAAAAAAAAAAAAAAAACYAgAAZHJzL2Rv d25yZXYueG1sUEsFBgAAAAAEAAQA9QAAAIgDAAAAAA== " filled="f" stroked="f">
                              <v:textbox style="mso-fit-shape-to-text:t" inset="0,0,0,0">
                                <w:txbxContent>
                                  <w:p>
                                    <w:pPr>
                                      <w:rPr>
                                        <w:szCs w:val="24"/>
                                        <w:lang w:val="en-GB"/>
                                      </w:rPr>
                                    </w:pPr>
                                    <w:r>
                                      <w:rPr>
                                        <w:i/>
                                        <w:iCs/>
                                        <w:color w:val="000000"/>
                                        <w:sz w:val="14"/>
                                        <w:szCs w:val="14"/>
                                        <w:lang w:val="en-US"/>
                                      </w:rPr>
                                      <w:t>t</w:t>
                                    </w:r>
                                  </w:p>
                                </w:txbxContent>
                              </v:textbox>
                            </v:rect>
                            <v:rect id="Rectangle 77" o:spid="_x0000_s1091" style="position:absolute;left:16338;top:1116;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JP7z078A AADcAAAADwAAAGRycy9kb3ducmV2LnhtbERPzYrCMBC+L/gOYQRva6oHcatRRBBc8WL1AYZm+oPJ pCTRdt/eCMLe5uP7nfV2sEY8yYfWsYLZNANBXDrdcq3gdj18L0GEiKzROCYFfxRguxl9rTHXrucL PYtYixTCIUcFTYxdLmUoG7IYpq4jTlzlvMWYoK+l9tincGvkPMsW0mLLqaHBjvYNlffiYRXIa3Ho l4XxmTvNq7P5PV4qckpNxsNuBSLSEP/FH/dRp/mLH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Ak/vPT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78" o:spid="_x0000_s1092" style="position:absolute;left:9969;top:1116;width:45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B3Mk8MA AADcAAAADwAAAGRycy9kb3ducmV2LnhtbESPT2sCMRDF70K/Q5hCb5qthypbo5SCoMWLqx9g2Mz+ oclkSVJ3/fadg+Bthvfmvd9sdpN36kYx9YENvC8KUMR1sD23Bq6X/XwNKmVkiy4wGbhTgt32ZbbB 0oaRz3SrcqskhFOJBrqch1LrVHfkMS3CQCxaE6LHLGtstY04Srh3elkUH9pjz9LQ4UDfHdW/1Z83 oC/VflxXLhbhZ9mc3PFwbigY8/Y6fX2CyjTlp/lxfbCCvxJ8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MB3Mk8MAAADcAAAADwAAAAAAAAAAAAAAAACYAgAAZHJzL2Rv d25yZXYueG1sUEsFBgAAAAAEAAQA9QAAAIgDAAAAAA== " filled="f" stroked="f">
                              <v:textbox style="mso-fit-shape-to-text:t" inset="0,0,0,0">
                                <w:txbxContent>
                                  <w:p>
                                    <w:pPr>
                                      <w:rPr>
                                        <w:szCs w:val="24"/>
                                        <w:lang w:val="en-GB"/>
                                      </w:rPr>
                                    </w:pPr>
                                    <w:r>
                                      <w:rPr>
                                        <w:i/>
                                        <w:iCs/>
                                        <w:color w:val="000000"/>
                                        <w:sz w:val="14"/>
                                        <w:szCs w:val="14"/>
                                        <w:lang w:val="en-US"/>
                                      </w:rPr>
                                      <w:t>p</w:t>
                                    </w:r>
                                  </w:p>
                                </w:txbxContent>
                              </v:textbox>
                            </v:rect>
                            <v:rect id="Rectangle 79" o:spid="_x0000_s1093" style="position:absolute;left:3670;top:2272;width:25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1FpCL8A AADcAAAADwAAAGRycy9kb3ducmV2LnhtbERPzYrCMBC+L/gOYQRva6qHXalGEUHQxYvVBxia6Q8m k5JEW9/eCMLe5uP7ndVmsEY8yIfWsYLZNANBXDrdcq3getl/L0CEiKzROCYFTwqwWY++Vphr1/OZ HkWsRQrhkKOCJsYulzKUDVkMU9cRJ65y3mJM0NdSe+xTuDVynmU/0mLLqaHBjnYNlbfibhXIS7Hv F4XxmfubVydzPJwrckpNxsN2CSLSEP/FH/dBp/m/M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fUWkI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US"/>
                                      </w:rPr>
                                      <w:t>t</w:t>
                                    </w:r>
                                  </w:p>
                                </w:txbxContent>
                              </v:textbox>
                            </v:rect>
                            <v:rect id="Rectangle 80" o:spid="_x0000_s1094" style="position:absolute;left:15373;top:2513;width:933;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4P3f78A AADcAAAADwAAAGRycy9kb3ducmV2LnhtbERPzYrCMBC+C75DGGFvmtqDK12jiCCo7MW6DzA00x9M JiWJtr69WVjY23x8v7PZjdaIJ/nQOVawXGQgiCunO24U/NyO8zWIEJE1Gsek4EUBdtvpZIOFdgNf 6VnGRqQQDgUqaGPsCylD1ZLFsHA9ceJq5y3GBH0jtcchhVsj8yxbSYsdp4YWezq0VN3Lh1Ugb+Vx WJfGZ+6S19/mfLrW5JT6mI37LxCRxvgv/nOfdJr/mcPvM+kCuX0DAAD//wMAUEsBAi0AFAAGAAgA AAAhAPD3irv9AAAA4gEAABMAAAAAAAAAAAAAAAAAAAAAAFtDb250ZW50X1R5cGVzXS54bWxQSwEC LQAUAAYACAAAACEAMd1fYdIAAACPAQAACwAAAAAAAAAAAAAAAAAuAQAAX3JlbHMvLnJlbHNQSwEC LQAUAAYACAAAACEAMy8FnkEAAAA5AAAAEAAAAAAAAAAAAAAAAAApAgAAZHJzL3NoYXBleG1sLnht bFBLAQItABQABgAIAAAAIQCvg/d/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E</w:t>
                                    </w:r>
                                  </w:p>
                                </w:txbxContent>
                              </v:textbox>
                            </v:rect>
                            <v:rect id="Rectangle 81" o:spid="_x0000_s1095" style="position:absolute;left:23711;top:178;width:153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M9S5L8A AADcAAAADwAAAGRycy9kb3ducmV2LnhtbERP24rCMBB9F/yHMIJvmqqw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DAz1Lk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IK</w:t>
                                    </w:r>
                                  </w:p>
                                </w:txbxContent>
                              </v:textbox>
                            </v:rect>
                            <v:rect id="Rectangle 82" o:spid="_x0000_s1096" style="position:absolute;left:17628;top:178;width:194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ybKkL8A AADcAAAADwAAAGRycy9kb3ducmV2LnhtbERP24rCMBB9F/yHMIJvmiqy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BPJsqQ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EK</w:t>
                                    </w:r>
                                  </w:p>
                                </w:txbxContent>
                              </v:textbox>
                            </v:rect>
                            <v:rect id="Rectangle 83" o:spid="_x0000_s1097" style="position:absolute;left:11449;top:178;width:2038;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GpvC78A AADcAAAADwAAAGRycy9kb3ducmV2LnhtbERP24rCMBB9F/yHMIJvmiq4K9UoIgi67IvVDxia6QWT SUmirX+/WVjYtzmc62z3gzXiRT60jhUs5hkI4tLplmsF99tptgYRIrJG45gUvCnAfjcebTHXrucr vYpYixTCIUcFTYxdLmUoG7IY5q4jTlzlvMWYoK+l9tincGvkMss+pMWWU0ODHR0bKh/F0yqQt+LU rwvjM/e1rL7N5XytyCk1nQyHDYhIQ/wX/7nPOs3/XMHvM+kCufsBAAD//wMAUEsBAi0AFAAGAAgA AAAhAPD3irv9AAAA4gEAABMAAAAAAAAAAAAAAAAAAAAAAFtDb250ZW50X1R5cGVzXS54bWxQSwEC LQAUAAYACAAAACEAMd1fYdIAAACPAQAACwAAAAAAAAAAAAAAAAAuAQAAX3JlbHMvLnJlbHNQSwEC LQAUAAYACAAAACEAMy8FnkEAAAA5AAAAEAAAAAAAAAAAAAAAAAApAgAAZHJzL3NoYXBleG1sLnht bFBLAQItABQABgAIAAAAIQAgam8L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NK</w:t>
                                    </w:r>
                                  </w:p>
                                </w:txbxContent>
                              </v:textbox>
                            </v:rect>
                            <v:rect id="Rectangle 84" o:spid="_x0000_s1098" style="position:absolute;left:6369;top:177;width:933;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LjxfL8A AADcAAAADwAAAGRycy9kb3ducmV2LnhtbERPzYrCMBC+L/gOYQRva6oHV6pRRBBc8WL1AYZm+oPJ pCTRdt/eCMLe5uP7nfV2sEY8yYfWsYLZNANBXDrdcq3gdj18L0GEiKzROCYFfxRguxl9rTHXrucL PYtYixTCIUcFTYxdLmUoG7IYpq4jTlzlvMWYoK+l9tincGvkPMsW0mLLqaHBjvYNlffiYRXIa3Ho l4XxmTvNq7P5PV4qckpNxsNuBSLSEP/FH/dRp/k/C3g/ky6QmxcAAAD//wMAUEsBAi0AFAAGAAgA AAAhAPD3irv9AAAA4gEAABMAAAAAAAAAAAAAAAAAAAAAAFtDb250ZW50X1R5cGVzXS54bWxQSwEC LQAUAAYACAAAACEAMd1fYdIAAACPAQAACwAAAAAAAAAAAAAAAAAuAQAAX3JlbHMvLnJlbHNQSwEC LQAUAAYACAAAACEAMy8FnkEAAAA5AAAAEAAAAAAAAAAAAAAAAAApAgAAZHJzL3NoYXBleG1sLnht bFBLAQItABQABgAIAAAAIQDQuPF8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P</w:t>
                                    </w:r>
                                  </w:p>
                                </w:txbxContent>
                              </v:textbox>
                            </v:rect>
                            <v:rect id="Rectangle 85" o:spid="_x0000_s1099" style="position:absolute;left:133;top:1333;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RU578A AADcAAAADwAAAGRycy9kb3ducmV2LnhtbERPzYrCMBC+L/gOYQRva6oHlWoUEQRXvFh9gKGZ/mAy KUm03bc3wsLe5uP7nc1usEa8yIfWsYLZNANBXDrdcq3gfjt+r0CEiKzROCYFvxRgtx19bTDXrucr vYpYixTCIUcFTYxdLmUoG7IYpq4jTlzlvMWYoK+l9tincGvkPMsW0mLLqaHBjg4NlY/iaRXIW3Hs V4XxmTvPq4v5OV0rckpNxsN+DSLSEP/Ff+6TTvOXS/g8ky6Q2zcAAAD//wMAUEsBAi0AFAAGAAgA AAAhAPD3irv9AAAA4gEAABMAAAAAAAAAAAAAAAAAAAAAAFtDb250ZW50X1R5cGVzXS54bWxQSwEC LQAUAAYACAAAACEAMd1fYdIAAACPAQAACwAAAAAAAAAAAAAAAAAuAQAAX3JlbHMvLnJlbHNQSwEC LQAUAAYACAAAACEAMy8FnkEAAAA5AAAAEAAAAAAAAAAAAAAAAAApAgAAZHJzL3NoYXBleG1sLnht bFBLAQItABQABgAIAAAAIQC/9FTnvwAAANwAAAAPAAAAAAAAAAAAAAAAAJgCAABkcnMvZG93bnJl di54bWxQSwUGAAAAAAQABAD1AAAAhAMAAAAA " filled="f" stroked="f">
                              <v:textbox style="mso-fit-shape-to-text:t" inset="0,0,0,0">
                                <w:txbxContent>
                                  <w:p>
                                    <w:pPr>
                                      <w:rPr>
                                        <w:szCs w:val="24"/>
                                        <w:lang w:val="en-GB"/>
                                      </w:rPr>
                                    </w:pPr>
                                    <w:r>
                                      <w:rPr>
                                        <w:i/>
                                        <w:iCs/>
                                        <w:color w:val="000000"/>
                                        <w:szCs w:val="24"/>
                                        <w:lang w:val="en-US"/>
                                      </w:rPr>
                                      <w:t>T</w:t>
                                    </w:r>
                                  </w:p>
                                </w:txbxContent>
                              </v:textbox>
                            </v:rect>
                            <v:rect id="Rectangle 86" o:spid="_x0000_s1100" style="position:absolute;left:22980;top:264;width:863;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mvAlcMA AADcAAAADwAAAGRycy9kb3ducmV2LnhtbESPT2sCMRDF70K/Q5hCb5qthypbo5SCoMWLqx9g2Mz+ oclkSVJ3/fadg+Bthvfmvd9sdpN36kYx9YENvC8KUMR1sD23Bq6X/XwNKmVkiy4wGbhTgt32ZbbB 0oaRz3SrcqskhFOJBrqch1LrVHfkMS3CQCxaE6LHLGtstY04Srh3elkUH9pjz9LQ4UDfHdW/1Z83 oC/VflxXLhbhZ9mc3PFwbigY8/Y6fX2CyjTlp/lxfbCCvxJaeUYm0Nt/AAAA//8DAFBLAQItABQA BgAIAAAAIQDw94q7/QAAAOIBAAATAAAAAAAAAAAAAAAAAAAAAABbQ29udGVudF9UeXBlc10ueG1s UEsBAi0AFAAGAAgAAAAhADHdX2HSAAAAjwEAAAsAAAAAAAAAAAAAAAAALgEAAF9yZWxzLy5yZWxz UEsBAi0AFAAGAAgAAAAhADMvBZ5BAAAAOQAAABAAAAAAAAAAAAAAAAAAKQIAAGRycy9zaGFwZXht bC54bWxQSwECLQAUAAYACAAAACEAzmvAlcMAAADcAAAADwAAAAAAAAAAAAAAAACYAgAAZHJzL2Rv d25yZXYueG1sUEsFBgAAAAAEAAQA9QAAAIgDAAAAAA== " filled="f" stroked="f">
                              <v:textbox style="mso-fit-shape-to-text:t" inset="0,0,0,0">
                                <w:txbxContent>
                                  <w:p>
                                    <w:pPr>
                                      <w:rPr>
                                        <w:szCs w:val="24"/>
                                        <w:lang w:val="en-GB"/>
                                      </w:rPr>
                                    </w:pPr>
                                    <w:r>
                                      <w:rPr>
                                        <w:szCs w:val="24"/>
                                        <w:lang w:val="en-GB"/>
                                      </w:rPr>
                                      <w:t>×</w:t>
                                    </w:r>
                                  </w:p>
                                </w:txbxContent>
                              </v:textbox>
                            </v:rect>
                            <v:rect id="Rectangle 87" o:spid="_x0000_s1101" style="position:absolute;left:16931;top:178;width:864;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SdlDr8A AADcAAAADwAAAGRycy9kb3ducmV2LnhtbERPzYrCMBC+L/gOYQRva6oHV6tRRBBU9mL1AYZm+oPJ pCRZ2317IyzsbT6+39nsBmvEk3xoHSuYTTMQxKXTLdcK7rfj5xJEiMgajWNS8EsBdtvRxwZz7Xq+ 0rOItUghHHJU0MTY5VKGsiGLYeo64sRVzluMCfpaao99CrdGzrNsIS22nBoa7OjQUPkofqwCeSuO /bIwPnOXefVtzqdrRU6pyXjYr0FEGuK/+M990mn+1wrez6QL5PYFAAD//wMAUEsBAi0AFAAGAAgA AAAhAPD3irv9AAAA4gEAABMAAAAAAAAAAAAAAAAAAAAAAFtDb250ZW50X1R5cGVzXS54bWxQSwEC LQAUAAYACAAAACEAMd1fYdIAAACPAQAACwAAAAAAAAAAAAAAAAAuAQAAX3JlbHMvLnJlbHNQSwEC LQAUAAYACAAAACEAMy8FnkEAAAA5AAAAEAAAAAAAAAAAAAAAAAApAgAAZHJzL3NoYXBleG1sLnht bFBLAQItABQABgAIAAAAIQChJ2UOvwAAANwAAAAPAAAAAAAAAAAAAAAAAJgCAABkcnMvZG93bnJl di54bWxQSwUGAAAAAAQABAD1AAAAhAMAAAAA " filled="f" stroked="f">
                              <v:textbox style="mso-fit-shape-to-text:t" inset="0,0,0,0">
                                <w:txbxContent>
                                  <w:p>
                                    <w:pPr>
                                      <w:rPr>
                                        <w:szCs w:val="24"/>
                                        <w:lang w:val="en-GB"/>
                                      </w:rPr>
                                    </w:pPr>
                                    <w:r>
                                      <w:rPr>
                                        <w:szCs w:val="24"/>
                                        <w:lang w:val="en-GB"/>
                                      </w:rPr>
                                      <w:t>×</w:t>
                                    </w:r>
                                  </w:p>
                                </w:txbxContent>
                              </v:textbox>
                            </v:rect>
                            <v:rect id="Rectangle 88" o:spid="_x0000_s1102" style="position:absolute;left:10585;top:385;width:864;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ci8tMMA AADcAAAADwAAAGRycy9kb3ducmV2LnhtbESPzWoDMQyE74G8g1Ght8TbHMKyjRNKIZCGXLLpA4i1 9ofa8mI72e3bR4dCbxIzmvm0O8zeqQfFNAQ28LYuQBE3wQ7cGfi+HVclqJSRLbrAZOCXEhz2y8UO KxsmvtKjzp2SEE4VGuhzHiutU9OTx7QOI7FobYges6yx0zbiJOHe6U1RbLXHgaWhx5E+e2p+6rs3 oG/1cSprF4tw3rQX93W6thSMeX2ZP95BZZrzv/nv+mQFvxR8eUYm0PsnAAAA//8DAFBLAQItABQA BgAIAAAAIQDw94q7/QAAAOIBAAATAAAAAAAAAAAAAAAAAAAAAABbQ29udGVudF9UeXBlc10ueG1s UEsBAi0AFAAGAAgAAAAhADHdX2HSAAAAjwEAAAsAAAAAAAAAAAAAAAAALgEAAF9yZWxzLy5yZWxz UEsBAi0AFAAGAAgAAAAhADMvBZ5BAAAAOQAAABAAAAAAAAAAAAAAAAAAKQIAAGRycy9zaGFwZXht bC54bWxQSwECLQAUAAYACAAAACEABci8tMMAAADcAAAADwAAAAAAAAAAAAAAAACYAgAAZHJzL2Rv d25yZXYueG1sUEsFBgAAAAAEAAQA9QAAAIgDAAAAAA== " filled="f" stroked="f">
                              <v:textbox style="mso-fit-shape-to-text:t" inset="0,0,0,0">
                                <w:txbxContent>
                                  <w:p>
                                    <w:pPr>
                                      <w:rPr>
                                        <w:szCs w:val="24"/>
                                        <w:lang w:val="en-GB"/>
                                      </w:rPr>
                                    </w:pPr>
                                    <w:r>
                                      <w:rPr>
                                        <w:szCs w:val="24"/>
                                        <w:lang w:val="en-GB"/>
                                      </w:rPr>
                                      <w:t>×</w:t>
                                    </w:r>
                                  </w:p>
                                </w:txbxContent>
                              </v:textbox>
                            </v:rect>
                            <v:rect id="Rectangle 89" o:spid="_x0000_s1103" style="position:absolute;left:4495;top:1154;width:839;height:1867;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oQZL78A AADcAAAADwAAAGRycy9kb3ducmV2LnhtbERPzYrCMBC+L/gOYQRv21QPUqpRRBB02Yt1H2Bopj+Y TEoSbfftN4Kwt/n4fme7n6wRT/Khd6xgmeUgiGune24V/NxOnwWIEJE1Gsek4JcC7Hezjy2W2o18 pWcVW5FCOJSooItxKKUMdUcWQ+YG4sQ1zluMCfpWao9jCrdGrvJ8LS32nBo6HOjYUX2vHlaBvFWn saiMz93Xqvk2l/O1IafUYj4dNiAiTfFf/HafdZpfLOH1TLpA7v4AAAD//wMAUEsBAi0AFAAGAAgA AAAhAPD3irv9AAAA4gEAABMAAAAAAAAAAAAAAAAAAAAAAFtDb250ZW50X1R5cGVzXS54bWxQSwEC LQAUAAYACAAAACEAMd1fYdIAAACPAQAACwAAAAAAAAAAAAAAAAAuAQAAX3JlbHMvLnJlbHNQSwEC LQAUAAYACAAAACEAMy8FnkEAAAA5AAAAEAAAAAAAAAAAAAAAAAApAgAAZHJzL3NoYXBleG1sLnht bFBLAQItABQABgAIAAAAIQBqhBkv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US"/>
                                      </w:rPr>
                                      <w:t></w:t>
                                    </w:r>
                                  </w:p>
                                </w:txbxContent>
                              </v:textbox>
                            </v:rect>
                            <w10:anchorlock/>
                          </v:group>
                        </w:pict>
                      </mc:Fallback>
                    </mc:AlternateContent>
                  </w:r>
                  <w:r>
                    <w:rPr>
                      <w:szCs w:val="24"/>
                    </w:rPr>
                    <w:tab/>
                    <w:t>(54)</w:t>
                  </w:r>
                </w:p>
                <w:p>
                  <w:pPr>
                    <w:tabs>
                      <w:tab w:val="left" w:pos="1080"/>
                      <w:tab w:val="left" w:pos="1134"/>
                      <w:tab w:val="left" w:pos="1843"/>
                      <w:tab w:val="left" w:pos="2268"/>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P</w:t>
                  </w:r>
                  <w:r>
                    <w:rPr>
                      <w:szCs w:val="24"/>
                      <w:vertAlign w:val="subscript"/>
                    </w:rPr>
                    <w:t>(10,04)p</w:t>
                  </w:r>
                  <w:r>
                    <w:rPr>
                      <w:szCs w:val="24"/>
                    </w:rPr>
                    <w:t xml:space="preserve"> – pradinis planuojamų elektros energijos skirstymo veiklos pajamų lygis atitinkamai VĮ ir ŽĮ tinkluose,EUR;</w:t>
                  </w:r>
                </w:p>
                <w:p>
                  <w:pPr>
                    <w:tabs>
                      <w:tab w:val="left" w:pos="1080"/>
                      <w:tab w:val="left" w:pos="1134"/>
                      <w:tab w:val="left" w:pos="1843"/>
                      <w:tab w:val="left" w:pos="2268"/>
                    </w:tabs>
                    <w:jc w:val="both"/>
                    <w:rPr>
                      <w:szCs w:val="24"/>
                    </w:rPr>
                  </w:pPr>
                  <w:r>
                    <w:rPr>
                      <w:szCs w:val="24"/>
                    </w:rPr>
                    <w:t>NK</w:t>
                  </w:r>
                  <w:r>
                    <w:rPr>
                      <w:szCs w:val="24"/>
                      <w:vertAlign w:val="subscript"/>
                    </w:rPr>
                    <w:t>(10,04)t</w:t>
                  </w:r>
                  <w:r>
                    <w:rPr>
                      <w:szCs w:val="24"/>
                    </w:rPr>
                    <w:t xml:space="preserve"> – nenumatytų pasikeitimų koeficientas atitinkamai NK</w:t>
                  </w:r>
                  <w:r>
                    <w:rPr>
                      <w:szCs w:val="24"/>
                      <w:vertAlign w:val="subscript"/>
                    </w:rPr>
                    <w:t>10t</w:t>
                  </w:r>
                  <w:r>
                    <w:rPr>
                      <w:szCs w:val="24"/>
                    </w:rPr>
                    <w:t xml:space="preserve"> ir NK</w:t>
                  </w:r>
                  <w:r>
                    <w:rPr>
                      <w:szCs w:val="24"/>
                      <w:vertAlign w:val="subscript"/>
                    </w:rPr>
                    <w:t>04t</w:t>
                  </w:r>
                  <w:r>
                    <w:rPr>
                      <w:szCs w:val="24"/>
                    </w:rPr>
                    <w:t>.;</w:t>
                  </w:r>
                </w:p>
                <w:p>
                  <w:pPr>
                    <w:tabs>
                      <w:tab w:val="left" w:pos="1080"/>
                      <w:tab w:val="left" w:pos="1134"/>
                      <w:tab w:val="left" w:pos="1843"/>
                      <w:tab w:val="left" w:pos="2268"/>
                    </w:tabs>
                    <w:jc w:val="both"/>
                    <w:rPr>
                      <w:szCs w:val="24"/>
                    </w:rPr>
                  </w:pPr>
                  <w:r>
                    <w:rPr>
                      <w:szCs w:val="24"/>
                    </w:rPr>
                    <w:t>EK</w:t>
                  </w:r>
                  <w:r>
                    <w:rPr>
                      <w:szCs w:val="24"/>
                      <w:vertAlign w:val="subscript"/>
                    </w:rPr>
                    <w:t>(10,04)t</w:t>
                  </w:r>
                  <w:r>
                    <w:rPr>
                      <w:szCs w:val="24"/>
                    </w:rPr>
                    <w:t xml:space="preserve"> – elektros energijos kiekio poveikio koeficientas atitinkamai EK</w:t>
                  </w:r>
                  <w:r>
                    <w:rPr>
                      <w:szCs w:val="24"/>
                      <w:vertAlign w:val="subscript"/>
                    </w:rPr>
                    <w:t>10t</w:t>
                  </w:r>
                  <w:r>
                    <w:rPr>
                      <w:szCs w:val="24"/>
                    </w:rPr>
                    <w:t xml:space="preserve"> ir EK</w:t>
                  </w:r>
                  <w:r>
                    <w:rPr>
                      <w:szCs w:val="24"/>
                      <w:vertAlign w:val="subscript"/>
                    </w:rPr>
                    <w:t>04t</w:t>
                  </w:r>
                  <w:r>
                    <w:rPr>
                      <w:szCs w:val="24"/>
                    </w:rPr>
                    <w:t>.;</w:t>
                  </w:r>
                </w:p>
                <w:p>
                  <w:pPr>
                    <w:tabs>
                      <w:tab w:val="left" w:pos="1080"/>
                      <w:tab w:val="left" w:pos="1134"/>
                      <w:tab w:val="left" w:pos="1843"/>
                      <w:tab w:val="left" w:pos="2268"/>
                      <w:tab w:val="left" w:pos="6461"/>
                    </w:tabs>
                    <w:jc w:val="both"/>
                    <w:rPr>
                      <w:strike/>
                      <w:szCs w:val="24"/>
                    </w:rPr>
                  </w:pPr>
                  <w:r>
                    <w:rPr>
                      <w:szCs w:val="24"/>
                    </w:rPr>
                    <w:t>IK</w:t>
                  </w:r>
                  <w:r>
                    <w:rPr>
                      <w:szCs w:val="24"/>
                      <w:vertAlign w:val="subscript"/>
                    </w:rPr>
                    <w:t>(10,04)t</w:t>
                  </w:r>
                  <w:r>
                    <w:rPr>
                      <w:szCs w:val="24"/>
                    </w:rPr>
                    <w:t xml:space="preserve"> – indeksavimo koeficientas atitinkamai IK</w:t>
                  </w:r>
                  <w:r>
                    <w:rPr>
                      <w:szCs w:val="24"/>
                      <w:vertAlign w:val="subscript"/>
                    </w:rPr>
                    <w:t>10t</w:t>
                  </w:r>
                  <w:r>
                    <w:rPr>
                      <w:szCs w:val="24"/>
                    </w:rPr>
                    <w:t xml:space="preserve"> ir IK</w:t>
                  </w:r>
                  <w:r>
                    <w:rPr>
                      <w:szCs w:val="24"/>
                      <w:vertAlign w:val="subscript"/>
                    </w:rPr>
                    <w:t>04t</w:t>
                  </w:r>
                  <w:r>
                    <w:rPr>
                      <w:szCs w:val="24"/>
                    </w:rPr>
                    <w:t>.;</w:t>
                    <w:tab/>
                  </w:r>
                </w:p>
                <w:p>
                  <w:pPr>
                    <w:tabs>
                      <w:tab w:val="left" w:pos="1080"/>
                      <w:tab w:val="left" w:pos="1134"/>
                      <w:tab w:val="left" w:pos="1843"/>
                      <w:tab w:val="left" w:pos="2268"/>
                    </w:tabs>
                    <w:jc w:val="both"/>
                    <w:rPr>
                      <w:szCs w:val="24"/>
                    </w:rPr>
                  </w:pPr>
                  <w:r>
                    <w:rPr>
                      <w:szCs w:val="24"/>
                    </w:rPr>
                    <w:t>E</w:t>
                  </w:r>
                  <w:r>
                    <w:rPr>
                      <w:szCs w:val="24"/>
                      <w:vertAlign w:val="subscript"/>
                    </w:rPr>
                    <w:t>(10,04)t</w:t>
                  </w:r>
                  <w:r>
                    <w:rPr>
                      <w:szCs w:val="24"/>
                    </w:rPr>
                    <w:t xml:space="preserve"> – planuojamas paskirstyti energijos kiekis atitinkamai E</w:t>
                  </w:r>
                  <w:r>
                    <w:rPr>
                      <w:szCs w:val="24"/>
                      <w:vertAlign w:val="subscript"/>
                    </w:rPr>
                    <w:t xml:space="preserve">10t </w:t>
                  </w:r>
                  <w:r>
                    <w:rPr>
                      <w:szCs w:val="24"/>
                    </w:rPr>
                    <w:t>ir E</w:t>
                  </w:r>
                  <w:r>
                    <w:rPr>
                      <w:szCs w:val="24"/>
                      <w:vertAlign w:val="subscript"/>
                    </w:rPr>
                    <w:t>04t</w:t>
                  </w:r>
                  <w:r>
                    <w:rPr>
                      <w:szCs w:val="24"/>
                    </w:rPr>
                    <w:t>.</w:t>
                  </w:r>
                </w:p>
              </w:sdtContent>
            </w:sdt>
            <w:sdt>
              <w:sdtPr>
                <w:alias w:val="88 p."/>
                <w:tag w:val="part_bf718c36da2b4221a17943a036206c3d"/>
                <w:lock w:val="sdtLocked"/>
                <w:richText/>
              </w:sdtPr>
              <w:sdtContent>
                <w:p>
                  <w:pPr>
                    <w:tabs>
                      <w:tab w:val="left" w:pos="1080"/>
                      <w:tab w:val="left" w:pos="1843"/>
                      <w:tab w:val="left" w:pos="2268"/>
                    </w:tabs>
                    <w:suppressAutoHyphens/>
                    <w:ind w:firstLine="720"/>
                    <w:jc w:val="both"/>
                    <w:rPr>
                      <w:szCs w:val="24"/>
                    </w:rPr>
                  </w:pPr>
                  <w:sdt>
                    <w:sdtPr>
                      <w:alias w:val="Numeris"/>
                      <w:tag w:val="nr_bf718c36da2b4221a17943a036206c3d"/>
                      <w:lock w:val="sdtLocked"/>
                      <w:richText/>
                    </w:sdtPr>
                    <w:sdtContent>
                      <w:r>
                        <w:rPr>
                          <w:szCs w:val="24"/>
                        </w:rPr>
                        <w:t>88</w:t>
                      </w:r>
                    </w:sdtContent>
                  </w:sdt>
                  <w:r>
                    <w:rPr>
                      <w:szCs w:val="24"/>
                    </w:rPr>
                    <w:t>. Nenumatytų pasikeitimų koeficientas, gali būti taikomas leidžiamoms pajamoms padidinti ar sumažinti per reguliavimo periodą dėl Metodikos 33 punkte nurodytų veiksnių.</w:t>
                  </w:r>
                </w:p>
              </w:sdtContent>
            </w:sdt>
            <w:sdt>
              <w:sdtPr>
                <w:alias w:val="89 p."/>
                <w:tag w:val="part_2df4c9310ab948068159859d426a14ce"/>
                <w:lock w:val="sdtLocked"/>
                <w:richText/>
              </w:sdtPr>
              <w:sdtContent>
                <w:p>
                  <w:pPr>
                    <w:tabs>
                      <w:tab w:val="left" w:pos="1080"/>
                      <w:tab w:val="left" w:pos="1276"/>
                      <w:tab w:val="left" w:pos="1843"/>
                      <w:tab w:val="left" w:pos="2268"/>
                    </w:tabs>
                    <w:suppressAutoHyphens/>
                    <w:ind w:firstLine="720"/>
                    <w:jc w:val="both"/>
                    <w:rPr>
                      <w:szCs w:val="24"/>
                    </w:rPr>
                  </w:pPr>
                  <w:sdt>
                    <w:sdtPr>
                      <w:alias w:val="Numeris"/>
                      <w:tag w:val="nr_2df4c9310ab948068159859d426a14ce"/>
                      <w:lock w:val="sdtLocked"/>
                      <w:richText/>
                    </w:sdtPr>
                    <w:sdtContent>
                      <w:r>
                        <w:rPr>
                          <w:szCs w:val="24"/>
                        </w:rPr>
                        <w:t>89</w:t>
                      </w:r>
                    </w:sdtContent>
                  </w:sdt>
                  <w:r>
                    <w:rPr>
                      <w:szCs w:val="24"/>
                    </w:rPr>
                    <w:t>. Nenumatytų pasikeitimų koeficientas metais</w:t>
                  </w:r>
                  <w:r>
                    <w:rPr>
                      <w:i/>
                      <w:iCs/>
                      <w:szCs w:val="24"/>
                    </w:rPr>
                    <w:t xml:space="preserve"> t</w:t>
                  </w:r>
                  <w:r>
                    <w:rPr>
                      <w:szCs w:val="24"/>
                    </w:rPr>
                    <w:t xml:space="preserve"> skaičiuojamas pagal formulę:</w:t>
                  </w:r>
                </w:p>
                <w:p>
                  <w:pPr>
                    <w:tabs>
                      <w:tab w:val="left" w:pos="1134"/>
                      <w:tab w:val="left" w:pos="1843"/>
                      <w:tab w:val="left" w:pos="2268"/>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NK</m:t>
                        </m:r>
                      </m:e>
                      <m:sub>
                        <m:d>
                          <m:dPr>
                            <m:ctrlPr>
                              <w:rPr>
                                <w:rFonts w:ascii="Cambria Math" w:hAnsi="Cambria Math"/>
                                <w:i/>
                              </w:rPr>
                            </m:ctrlPr>
                          </m:dPr>
                          <m:e>
                            <m:r>
                              <w:rPr>
                                <w:rFonts w:ascii="Cambria Math" w:hAnsi="Cambria Math"/>
                              </w:rPr>
                              <m:t>10,04</m:t>
                            </m:r>
                          </m:e>
                        </m:d>
                        <m:r>
                          <w:rPr>
                            <w:rFonts w:ascii="Cambria Math" w:hAnsi="Cambria Math"/>
                          </w:rPr>
                          <m:t>t</m:t>
                        </m:r>
                      </m:sub>
                    </m:sSub>
                    <m:r>
                      <w:rPr>
                        <w:rFonts w:ascii="Cambria Math" w:hAnsi="Cambria Math"/>
                      </w:rPr>
                      <m:t>=1+</m:t>
                    </m:r>
                    <m:nary>
                      <m:naryPr>
                        <m:chr m:val="∑"/>
                        <m:limLoc m:val="undOvr"/>
                        <m:ctrlPr>
                          <w:rPr>
                            <w:rFonts w:ascii="Cambria Math" w:hAnsi="Cambria Math"/>
                            <w:i/>
                          </w:rPr>
                        </m:ctrlPr>
                      </m:naryPr>
                      <m:sub>
                        <m:r>
                          <w:rPr>
                            <w:rFonts w:ascii="Cambria Math" w:hAnsi="Cambria Math"/>
                          </w:rPr>
                          <m:t>f</m:t>
                        </m:r>
                        <m:r>
                          <w:rPr>
                            <w:rFonts w:ascii="Cambria Math" w:hAnsi="Cambria Math"/>
                          </w:rPr>
                          <m:t>=1</m:t>
                        </m:r>
                      </m:sub>
                      <m:sup>
                        <m:r>
                          <w:rPr>
                            <w:rFonts w:ascii="Cambria Math" w:hAnsi="Cambria Math"/>
                          </w:rPr>
                          <m:t>g</m:t>
                        </m:r>
                      </m:sup>
                      <m:e>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(10,04)</m:t>
                                    </m:r>
                                    <m:r>
                                      <w:rPr>
                                        <w:rFonts w:ascii="Cambria Math" w:hAnsi="Cambria Math"/>
                                      </w:rPr>
                                      <m:t>tf</m:t>
                                    </m:r>
                                    <m:r>
                                      <w:rPr>
                                        <w:rFonts w:ascii="Cambria Math" w:hAnsi="Cambria Math"/>
                                      </w:rPr>
                                      <m:t>-</m:t>
                                    </m:r>
                                  </m:sub>
                                </m:sSub>
                                <m:sSub>
                                  <m:sSubPr>
                                    <m:ctrlPr>
                                      <w:rPr>
                                        <w:rFonts w:ascii="Cambria Math" w:hAnsi="Cambria Math"/>
                                        <w:i/>
                                      </w:rPr>
                                    </m:ctrlPr>
                                  </m:sSubPr>
                                  <m:e>
                                    <m:r>
                                      <w:rPr>
                                        <w:rFonts w:ascii="Cambria Math" w:hAnsi="Cambria Math"/>
                                      </w:rPr>
                                      <m:t>S</m:t>
                                    </m:r>
                                  </m:e>
                                  <m:sub>
                                    <m:d>
                                      <m:dPr>
                                        <m:ctrlPr>
                                          <w:rPr>
                                            <w:rFonts w:ascii="Cambria Math" w:hAnsi="Cambria Math"/>
                                            <w:i/>
                                          </w:rPr>
                                        </m:ctrlPr>
                                      </m:dPr>
                                      <m:e>
                                        <m:r>
                                          <w:rPr>
                                            <w:rFonts w:ascii="Cambria Math" w:hAnsi="Cambria Math"/>
                                          </w:rPr>
                                          <m:t>10,04</m:t>
                                        </m:r>
                                      </m:e>
                                    </m:d>
                                    <m:r>
                                      <w:rPr>
                                        <w:rFonts w:ascii="Cambria Math" w:hAnsi="Cambria Math"/>
                                      </w:rPr>
                                      <m:t>t</m:t>
                                    </m:r>
                                    <m:r>
                                      <w:rPr>
                                        <w:rFonts w:ascii="Cambria Math" w:hAnsi="Cambria Math"/>
                                      </w:rPr>
                                      <m:t>-</m:t>
                                    </m:r>
                                    <m:r>
                                      <w:rPr>
                                        <w:rFonts w:ascii="Cambria Math" w:hAnsi="Cambria Math"/>
                                      </w:rPr>
                                      <m:t>2</m:t>
                                    </m:r>
                                    <m:r>
                                      <w:rPr>
                                        <w:rFonts w:ascii="Cambria Math" w:hAnsi="Cambria Math"/>
                                      </w:rPr>
                                      <m:t>f</m:t>
                                    </m:r>
                                  </m:sub>
                                </m:sSub>
                                <m:r>
                                  <w:rPr>
                                    <w:rFonts w:ascii="Cambria Math" w:hAnsi="Cambria Math"/>
                                  </w:rPr>
                                  <m:t>)</m:t>
                                </m:r>
                              </m:e>
                              <m:sub/>
                            </m:sSub>
                          </m:num>
                          <m:den>
                            <m:sSub>
                              <m:sSubPr>
                                <m:ctrlPr>
                                  <w:rPr>
                                    <w:rFonts w:ascii="Cambria Math" w:hAnsi="Cambria Math"/>
                                    <w:i/>
                                  </w:rPr>
                                </m:ctrlPr>
                              </m:sSubPr>
                              <m:e>
                                <m:r>
                                  <w:rPr>
                                    <w:rFonts w:ascii="Cambria Math" w:hAnsi="Cambria Math"/>
                                  </w:rPr>
                                  <m:t>P</m:t>
                                </m:r>
                              </m:e>
                              <m:sub>
                                <m:d>
                                  <m:dPr>
                                    <m:ctrlPr>
                                      <w:rPr>
                                        <w:rFonts w:ascii="Cambria Math" w:hAnsi="Cambria Math"/>
                                        <w:i/>
                                      </w:rPr>
                                    </m:ctrlPr>
                                  </m:dPr>
                                  <m:e>
                                    <m:r>
                                      <w:rPr>
                                        <w:rFonts w:ascii="Cambria Math" w:hAnsi="Cambria Math"/>
                                      </w:rPr>
                                      <m:t>10,04</m:t>
                                    </m:r>
                                  </m:e>
                                </m:d>
                                <m:r>
                                  <w:rPr>
                                    <w:rFonts w:ascii="Cambria Math" w:hAnsi="Cambria Math"/>
                                  </w:rPr>
                                  <m:t>p</m:t>
                                </m:r>
                              </m:sub>
                            </m:sSub>
                          </m:den>
                        </m:f>
                      </m:e>
                    </m:nary>
                  </m:oMath>
                  <w:r>
                    <w:tab/>
                  </w:r>
                  <w:r>
                    <w:rPr>
                      <w:szCs w:val="24"/>
                    </w:rPr>
                    <w:t>(55)</w:t>
                  </w:r>
                </w:p>
                <w:p>
                  <w:pPr>
                    <w:tabs>
                      <w:tab w:val="left" w:pos="9214"/>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suppressAutoHyphens/>
                    <w:jc w:val="both"/>
                    <w:rPr>
                      <w:szCs w:val="24"/>
                    </w:rPr>
                  </w:pPr>
                  <w:r>
                    <w:rPr>
                      <w:i/>
                      <w:iCs/>
                      <w:szCs w:val="24"/>
                    </w:rPr>
                    <w:t>S</w:t>
                  </w:r>
                  <w:r>
                    <w:rPr>
                      <w:szCs w:val="24"/>
                      <w:vertAlign w:val="subscript"/>
                    </w:rPr>
                    <w:t>(10,04)(</w:t>
                  </w:r>
                  <w:r>
                    <w:rPr>
                      <w:i/>
                      <w:iCs/>
                      <w:szCs w:val="24"/>
                      <w:vertAlign w:val="subscript"/>
                    </w:rPr>
                    <w:t>t, t</w:t>
                  </w:r>
                  <w:r>
                    <w:rPr>
                      <w:szCs w:val="24"/>
                      <w:vertAlign w:val="subscript"/>
                    </w:rPr>
                    <w:t>-1)f</w:t>
                  </w:r>
                  <w:r>
                    <w:rPr>
                      <w:szCs w:val="24"/>
                    </w:rPr>
                    <w:t xml:space="preserve"> –,kaštų rūšis, kurią lemia nenumatyti pasikeitimai nurodyti Metodikos 33 punkte </w:t>
                  </w:r>
                  <w:r>
                    <w:rPr>
                      <w:i/>
                      <w:szCs w:val="24"/>
                    </w:rPr>
                    <w:t>t</w:t>
                  </w:r>
                  <w:r>
                    <w:rPr>
                      <w:szCs w:val="24"/>
                    </w:rPr>
                    <w:t xml:space="preserve"> arba </w:t>
                  </w:r>
                  <w:r>
                    <w:rPr>
                      <w:i/>
                      <w:szCs w:val="24"/>
                    </w:rPr>
                    <w:t>t-1</w:t>
                  </w:r>
                  <w:r>
                    <w:rPr>
                      <w:szCs w:val="24"/>
                    </w:rPr>
                    <w:t xml:space="preserve"> metais atitinkamai </w:t>
                  </w:r>
                  <w:r>
                    <w:rPr>
                      <w:i/>
                      <w:iCs/>
                      <w:szCs w:val="24"/>
                    </w:rPr>
                    <w:t>s</w:t>
                  </w:r>
                  <w:r>
                    <w:rPr>
                      <w:szCs w:val="24"/>
                      <w:vertAlign w:val="subscript"/>
                    </w:rPr>
                    <w:t>10(</w:t>
                  </w:r>
                  <w:r>
                    <w:rPr>
                      <w:i/>
                      <w:iCs/>
                      <w:szCs w:val="24"/>
                      <w:vertAlign w:val="subscript"/>
                    </w:rPr>
                    <w:t>t, t</w:t>
                  </w:r>
                  <w:r>
                    <w:rPr>
                      <w:szCs w:val="24"/>
                      <w:vertAlign w:val="subscript"/>
                    </w:rPr>
                    <w:t>-1)</w:t>
                  </w:r>
                  <w:r>
                    <w:rPr>
                      <w:szCs w:val="24"/>
                    </w:rPr>
                    <w:t xml:space="preserve"> ir </w:t>
                  </w:r>
                  <w:r>
                    <w:rPr>
                      <w:i/>
                      <w:iCs/>
                      <w:szCs w:val="24"/>
                    </w:rPr>
                    <w:t>s</w:t>
                  </w:r>
                  <w:r>
                    <w:rPr>
                      <w:szCs w:val="24"/>
                      <w:vertAlign w:val="subscript"/>
                    </w:rPr>
                    <w:t>04(</w:t>
                  </w:r>
                  <w:r>
                    <w:rPr>
                      <w:i/>
                      <w:iCs/>
                      <w:szCs w:val="24"/>
                      <w:vertAlign w:val="subscript"/>
                    </w:rPr>
                    <w:t>t, t</w:t>
                  </w:r>
                  <w:r>
                    <w:rPr>
                      <w:szCs w:val="24"/>
                      <w:vertAlign w:val="subscript"/>
                    </w:rPr>
                    <w:t>-1)</w:t>
                  </w:r>
                  <w:r>
                    <w:rPr>
                      <w:szCs w:val="24"/>
                    </w:rPr>
                    <w:t xml:space="preserve">, EUR. Esant konkretaus šių kaštų rūšies tęstinumui, </w:t>
                    <w:br/>
                  </w:r>
                  <w:r>
                    <w:rPr>
                      <w:i/>
                      <w:szCs w:val="24"/>
                    </w:rPr>
                    <w:t xml:space="preserve">t </w:t>
                  </w:r>
                  <w:r>
                    <w:rPr>
                      <w:szCs w:val="24"/>
                    </w:rPr>
                    <w:t>metais įvertinti kaštai įskaičiuojami ir kitais metais;</w:t>
                  </w:r>
                </w:p>
                <w:p>
                  <w:pPr>
                    <w:tabs>
                      <w:tab w:val="left" w:pos="1080"/>
                      <w:tab w:val="left" w:pos="1134"/>
                      <w:tab w:val="left" w:pos="1843"/>
                      <w:tab w:val="left" w:pos="2268"/>
                    </w:tabs>
                    <w:jc w:val="both"/>
                    <w:rPr>
                      <w:szCs w:val="24"/>
                    </w:rPr>
                  </w:pPr>
                  <w:r>
                    <w:rPr>
                      <w:szCs w:val="24"/>
                    </w:rPr>
                    <w:t>P</w:t>
                  </w:r>
                  <w:r>
                    <w:rPr>
                      <w:szCs w:val="24"/>
                      <w:vertAlign w:val="subscript"/>
                    </w:rPr>
                    <w:t>(10,04)p</w:t>
                  </w:r>
                  <w:r>
                    <w:rPr>
                      <w:szCs w:val="24"/>
                    </w:rPr>
                    <w:t xml:space="preserve"> – pradinis planuojamų elektros energijos skirstymo veiklos pajamų lygis atitinkamai VĮ ir ŽĮ tinkluose, EUR;</w:t>
                  </w:r>
                </w:p>
                <w:p>
                  <w:pPr>
                    <w:tabs>
                      <w:tab w:val="left" w:pos="1134"/>
                      <w:tab w:val="left" w:pos="1843"/>
                      <w:tab w:val="left" w:pos="2268"/>
                    </w:tabs>
                    <w:suppressAutoHyphens/>
                    <w:jc w:val="both"/>
                    <w:rPr>
                      <w:szCs w:val="24"/>
                    </w:rPr>
                  </w:pPr>
                  <w:r>
                    <w:rPr>
                      <w:i/>
                      <w:iCs/>
                      <w:szCs w:val="24"/>
                    </w:rPr>
                    <w:t>g</w:t>
                  </w:r>
                  <w:r>
                    <w:rPr>
                      <w:szCs w:val="24"/>
                    </w:rPr>
                    <w:t xml:space="preserve"> – elektros energijos skirstymo kaštų rūšies skaičius;</w:t>
                  </w:r>
                </w:p>
                <w:p>
                  <w:pPr>
                    <w:tabs>
                      <w:tab w:val="left" w:pos="1134"/>
                      <w:tab w:val="left" w:pos="1843"/>
                      <w:tab w:val="left" w:pos="2268"/>
                    </w:tabs>
                    <w:jc w:val="both"/>
                    <w:rPr>
                      <w:szCs w:val="24"/>
                    </w:rPr>
                  </w:pPr>
                  <w:r>
                    <w:rPr>
                      <w:i/>
                      <w:iCs/>
                      <w:szCs w:val="24"/>
                    </w:rPr>
                    <w:t>f</w:t>
                  </w:r>
                  <w:r>
                    <w:rPr>
                      <w:szCs w:val="24"/>
                    </w:rPr>
                    <w:t xml:space="preserve"> – elektros energijos skirstymo kaštų rūšies numeris.</w:t>
                  </w:r>
                </w:p>
              </w:sdtContent>
            </w:sdt>
            <w:sdt>
              <w:sdtPr>
                <w:alias w:val="90 p."/>
                <w:tag w:val="part_d077c2f6b24a40e794ab58e9bdc2dad3"/>
                <w:lock w:val="sdtLocked"/>
                <w:richText/>
              </w:sdtPr>
              <w:sdtContent>
                <w:p>
                  <w:pPr>
                    <w:tabs>
                      <w:tab w:val="left" w:pos="1080"/>
                      <w:tab w:val="left" w:pos="1843"/>
                      <w:tab w:val="left" w:pos="2268"/>
                    </w:tabs>
                    <w:ind w:firstLine="720"/>
                    <w:jc w:val="both"/>
                    <w:rPr>
                      <w:szCs w:val="24"/>
                    </w:rPr>
                  </w:pPr>
                  <w:sdt>
                    <w:sdtPr>
                      <w:alias w:val="Numeris"/>
                      <w:tag w:val="nr_d077c2f6b24a40e794ab58e9bdc2dad3"/>
                      <w:lock w:val="sdtLocked"/>
                      <w:richText/>
                    </w:sdtPr>
                    <w:sdtContent>
                      <w:r>
                        <w:rPr>
                          <w:szCs w:val="24"/>
                        </w:rPr>
                        <w:t>90</w:t>
                      </w:r>
                    </w:sdtContent>
                  </w:sdt>
                  <w:r>
                    <w:rPr>
                      <w:szCs w:val="24"/>
                    </w:rPr>
                    <w:t>. Indeksavimo koeficientas, įvertinantis infliaciją bei Įmonei Komisijos nustatytą efektyvumą,</w:t>
                  </w:r>
                  <w:r>
                    <w:rPr>
                      <w:i/>
                      <w:szCs w:val="24"/>
                    </w:rPr>
                    <w:t xml:space="preserve"> t</w:t>
                  </w:r>
                  <w:r>
                    <w:rPr>
                      <w:szCs w:val="24"/>
                    </w:rPr>
                    <w:t xml:space="preserve"> metais skaičiuojamas pagal formulę:</w:t>
                  </w:r>
                </w:p>
                <w:p>
                  <w:pPr>
                    <w:tabs>
                      <w:tab w:val="left" w:pos="1080"/>
                      <w:tab w:val="left" w:pos="1843"/>
                      <w:tab w:val="left" w:pos="2268"/>
                    </w:tabs>
                    <w:ind w:firstLine="720"/>
                    <w:jc w:val="both"/>
                    <w:rPr>
                      <w:szCs w:val="24"/>
                    </w:rPr>
                  </w:pPr>
                </w:p>
                <w:p>
                  <w:pPr>
                    <w:tabs>
                      <w:tab w:val="left" w:pos="1134"/>
                      <w:tab w:val="left" w:pos="1843"/>
                      <w:tab w:val="left" w:pos="2268"/>
                      <w:tab w:val="left" w:pos="9214"/>
                    </w:tabs>
                    <w:ind w:firstLine="1134"/>
                    <w:jc w:val="both"/>
                    <w:rPr>
                      <w:szCs w:val="24"/>
                    </w:rPr>
                  </w:pPr>
                  <m:oMath>
                    <m:sSub>
                      <m:sSubPr>
                        <m:ctrlPr>
                          <w:rPr>
                            <w:rFonts w:ascii="Cambria Math" w:hAnsi="Cambria Math"/>
                            <w:i/>
                          </w:rPr>
                        </m:ctrlPr>
                      </m:sSubPr>
                      <m:e>
                        <m:r>
                          <w:rPr>
                            <w:rFonts w:ascii="Cambria Math" w:hAnsi="Cambria Math"/>
                          </w:rPr>
                          <m:t>IK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t</m:t>
                                    </m:r>
                                    <m:r>
                                      <w:rPr>
                                        <w:rFonts w:ascii="Cambria Math" w:hAnsi="Cambria Math"/>
                                      </w:rPr>
                                      <m:t>-</m:t>
                                    </m:r>
                                  </m:sub>
                                </m:sSub>
                                <m:sSub>
                                  <m:sSubPr>
                                    <m:ctrlPr>
                                      <w:rPr>
                                        <w:rFonts w:ascii="Cambria Math" w:hAnsi="Cambria Math"/>
                                        <w:i/>
                                      </w:rPr>
                                    </m:ctrlPr>
                                  </m:sSubPr>
                                  <m:e>
                                    <m:r>
                                      <w:rPr>
                                        <w:rFonts w:ascii="Cambria Math" w:hAnsi="Cambria Math"/>
                                      </w:rPr>
                                      <m:t>e</m:t>
                                    </m:r>
                                  </m:e>
                                  <m:sub>
                                    <m:r>
                                      <w:rPr>
                                        <w:rFonts w:ascii="Cambria Math" w:hAnsi="Cambria Math"/>
                                      </w:rPr>
                                      <m:t>(10,04)</m:t>
                                    </m:r>
                                  </m:sub>
                                </m:sSub>
                                <m:r>
                                  <w:rPr>
                                    <w:rFonts w:ascii="Cambria Math" w:hAnsi="Cambria Math"/>
                                  </w:rPr>
                                  <m:t>)</m:t>
                                </m:r>
                              </m:e>
                              <m:sub/>
                            </m:sSub>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m:t>
                            </m:r>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e>
                    </m:d>
                    <m:r>
                      <w:rPr>
                        <w:rFonts w:ascii="Cambria Math" w:hAnsi="Cambria Math"/>
                      </w:rPr>
                      <m:t>×</m:t>
                    </m:r>
                    <m:sSub>
                      <m:sSubPr>
                        <m:ctrlPr>
                          <w:rPr>
                            <w:rFonts w:ascii="Cambria Math" w:hAnsi="Cambria Math"/>
                            <w:i/>
                          </w:rPr>
                        </m:ctrlPr>
                      </m:sSubPr>
                      <m:e>
                        <m:r>
                          <w:rPr>
                            <w:rFonts w:ascii="Cambria Math" w:hAnsi="Cambria Math"/>
                          </w:rPr>
                          <m:t>IK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-1</m:t>
                        </m:r>
                      </m:sub>
                    </m:sSub>
                  </m:oMath>
                  <w:r>
                    <w:tab/>
                  </w:r>
                  <w:r>
                    <w:rPr>
                      <w:szCs w:val="24"/>
                    </w:rPr>
                    <w:t>(56)</w:t>
                  </w:r>
                </w:p>
                <w:p>
                  <w:pPr>
                    <w:tabs>
                      <w:tab w:val="left" w:pos="9214"/>
                    </w:tabs>
                    <w:jc w:val="both"/>
                    <w:rPr>
                      <w:szCs w:val="24"/>
                    </w:rPr>
                  </w:pPr>
                </w:p>
                <w:p>
                  <w:pPr>
                    <w:tabs>
                      <w:tab w:val="left" w:pos="9214"/>
                    </w:tabs>
                    <w:jc w:val="both"/>
                    <w:rPr>
                      <w:i/>
                      <w:szCs w:val="24"/>
                    </w:rPr>
                  </w:pPr>
                  <w:r>
                    <w:rPr>
                      <w:i/>
                      <w:szCs w:val="24"/>
                    </w:rPr>
                    <w:t>čia:</w:t>
                  </w:r>
                </w:p>
                <w:p>
                  <w:pPr>
                    <w:tabs>
                      <w:tab w:val="left" w:pos="9214"/>
                    </w:tabs>
                    <w:jc w:val="both"/>
                    <w:rPr>
                      <w:i/>
                      <w:szCs w:val="24"/>
                    </w:rPr>
                  </w:pPr>
                  <w:r>
                    <w:rPr>
                      <w:szCs w:val="24"/>
                    </w:rPr>
                    <w:t>IK</w:t>
                  </w:r>
                  <w:r>
                    <w:rPr>
                      <w:szCs w:val="24"/>
                      <w:vertAlign w:val="subscript"/>
                    </w:rPr>
                    <w:t>(10,04),t</w:t>
                  </w:r>
                  <w:r>
                    <w:rPr>
                      <w:i/>
                      <w:szCs w:val="24"/>
                    </w:rPr>
                    <w:t xml:space="preserve"> - </w:t>
                  </w:r>
                  <w:r>
                    <w:rPr>
                      <w:szCs w:val="24"/>
                    </w:rPr>
                    <w:t>indeksavimo koeficientas atitinkamai IK</w:t>
                  </w:r>
                  <w:r>
                    <w:rPr>
                      <w:szCs w:val="24"/>
                      <w:vertAlign w:val="subscript"/>
                    </w:rPr>
                    <w:t>10t</w:t>
                  </w:r>
                  <w:r>
                    <w:rPr>
                      <w:szCs w:val="24"/>
                    </w:rPr>
                    <w:t xml:space="preserve"> ir IK</w:t>
                  </w:r>
                  <w:r>
                    <w:rPr>
                      <w:szCs w:val="24"/>
                      <w:vertAlign w:val="subscript"/>
                    </w:rPr>
                    <w:t>04t</w:t>
                  </w:r>
                  <w:r>
                    <w:rPr>
                      <w:szCs w:val="24"/>
                    </w:rPr>
                    <w:t>;</w:t>
                  </w:r>
                </w:p>
                <w:p>
                  <w:pPr>
                    <w:tabs>
                      <w:tab w:val="left" w:pos="1134"/>
                      <w:tab w:val="left" w:pos="1843"/>
                      <w:tab w:val="left" w:pos="2268"/>
                    </w:tabs>
                    <w:jc w:val="both"/>
                    <w:rPr>
                      <w:szCs w:val="24"/>
                    </w:rPr>
                  </w:pPr>
                  <w:r>
                    <w:rPr>
                      <w:i/>
                      <w:szCs w:val="24"/>
                    </w:rPr>
                    <w:t>i</w:t>
                  </w:r>
                  <w:r>
                    <w:rPr>
                      <w:i/>
                      <w:szCs w:val="24"/>
                      <w:vertAlign w:val="subscript"/>
                    </w:rPr>
                    <w:t>t</w:t>
                  </w:r>
                  <w:r>
                    <w:rPr>
                      <w:i/>
                      <w:szCs w:val="24"/>
                    </w:rPr>
                    <w:t xml:space="preserve"> </w:t>
                  </w:r>
                  <w:r>
                    <w:rPr>
                      <w:szCs w:val="24"/>
                    </w:rPr>
                    <w:t xml:space="preserve">– prognozuojamas vidutinio metinio vartotojų kainų indekso (VKI) pokytis </w:t>
                  </w:r>
                  <w:r>
                    <w:rPr>
                      <w:i/>
                      <w:szCs w:val="24"/>
                    </w:rPr>
                    <w:t xml:space="preserve">t </w:t>
                  </w:r>
                  <w:r>
                    <w:rPr>
                      <w:szCs w:val="24"/>
                    </w:rPr>
                    <w:t xml:space="preserve">metais, palyginti su atitinkamu indeksu </w:t>
                  </w:r>
                  <w:r>
                    <w:rPr>
                      <w:i/>
                      <w:szCs w:val="24"/>
                    </w:rPr>
                    <w:t xml:space="preserve">t-1 </w:t>
                  </w:r>
                  <w:r>
                    <w:rPr>
                      <w:szCs w:val="24"/>
                    </w:rPr>
                    <w:t>metais, proc. Jis nustatomas pagal Finansų ministerijos duomenis. Nesant Finansų ministerijos duomenų, nustatoma pagal Lietuvos banko duomenis;</w:t>
                  </w:r>
                </w:p>
                <w:p>
                  <w:pPr>
                    <w:tabs>
                      <w:tab w:val="left" w:pos="709"/>
                      <w:tab w:val="left" w:pos="1134"/>
                      <w:tab w:val="left" w:pos="1843"/>
                      <w:tab w:val="left" w:pos="2268"/>
                    </w:tabs>
                    <w:jc w:val="both"/>
                    <w:rPr>
                      <w:szCs w:val="24"/>
                    </w:rPr>
                  </w:pPr>
                  <w:r>
                    <w:rPr>
                      <w:i/>
                      <w:szCs w:val="24"/>
                    </w:rPr>
                    <w:t>e</w:t>
                  </w:r>
                  <w:r>
                    <w:rPr>
                      <w:szCs w:val="24"/>
                      <w:vertAlign w:val="subscript"/>
                    </w:rPr>
                    <w:t>(10,04)</w:t>
                  </w:r>
                  <w:r>
                    <w:rPr>
                      <w:szCs w:val="24"/>
                    </w:rPr>
                    <w:t xml:space="preserve"> – efektyvumo koeficientas elektros energijos skirstymo atitinkamai VĮ tinklais ir ŽĮ tinklais veikloms, proc.;</w:t>
                  </w:r>
                </w:p>
                <w:p>
                  <w:pPr>
                    <w:tabs>
                      <w:tab w:val="left" w:pos="1134"/>
                      <w:tab w:val="left" w:pos="1843"/>
                      <w:tab w:val="left" w:pos="2268"/>
                    </w:tabs>
                    <w:jc w:val="both"/>
                    <w:rPr>
                      <w:szCs w:val="24"/>
                    </w:rPr>
                  </w:pPr>
                  <w:r>
                    <w:rPr>
                      <w:szCs w:val="24"/>
                    </w:rPr>
                    <w:t>L</w:t>
                  </w:r>
                  <w:r>
                    <w:rPr>
                      <w:szCs w:val="24"/>
                      <w:vertAlign w:val="subscript"/>
                    </w:rPr>
                    <w:t>k(10,04),t</w:t>
                  </w:r>
                  <w:r>
                    <w:rPr>
                      <w:szCs w:val="24"/>
                    </w:rPr>
                    <w:t xml:space="preserve"> – skirstymo paslaugų </w:t>
                  </w:r>
                  <w:r>
                    <w:rPr>
                      <w:bCs/>
                      <w:szCs w:val="24"/>
                    </w:rPr>
                    <w:t>kainų viršutinių ribų skaičiavimuose numatyta koreguojama OPEX dalis, t. y. darbo užmokesčio, socialinio draudimo, eksploatacinės, remonto ir kiti materialiniai kaštai</w:t>
                  </w:r>
                  <w:r>
                    <w:rPr>
                      <w:szCs w:val="24"/>
                    </w:rPr>
                    <w:t>,</w:t>
                  </w:r>
                  <w:r>
                    <w:rPr>
                      <w:bCs/>
                      <w:szCs w:val="24"/>
                    </w:rPr>
                    <w:t xml:space="preserve"> visose pajamose metais </w:t>
                  </w:r>
                  <w:r>
                    <w:rPr>
                      <w:bCs/>
                      <w:i/>
                      <w:szCs w:val="24"/>
                    </w:rPr>
                    <w:t>t</w:t>
                  </w:r>
                  <w:r>
                    <w:rPr>
                      <w:szCs w:val="24"/>
                    </w:rPr>
                    <w:t>.;</w:t>
                  </w:r>
                </w:p>
                <w:p>
                  <w:pPr>
                    <w:tabs>
                      <w:tab w:val="left" w:pos="9214"/>
                    </w:tabs>
                    <w:jc w:val="both"/>
                    <w:rPr>
                      <w:szCs w:val="24"/>
                    </w:rPr>
                  </w:pPr>
                  <w:r>
                    <w:rPr>
                      <w:szCs w:val="24"/>
                    </w:rPr>
                    <w:t>IK</w:t>
                  </w:r>
                  <w:r>
                    <w:rPr>
                      <w:szCs w:val="24"/>
                      <w:vertAlign w:val="subscript"/>
                    </w:rPr>
                    <w:t xml:space="preserve">(10,04),t–1 </w:t>
                  </w:r>
                  <w:r>
                    <w:rPr>
                      <w:szCs w:val="24"/>
                    </w:rPr>
                    <w:t>– atitinkamai IK</w:t>
                  </w:r>
                  <w:r>
                    <w:rPr>
                      <w:szCs w:val="24"/>
                      <w:vertAlign w:val="subscript"/>
                    </w:rPr>
                    <w:t>10t–1</w:t>
                  </w:r>
                  <w:r>
                    <w:rPr>
                      <w:szCs w:val="24"/>
                    </w:rPr>
                    <w:t xml:space="preserve"> ir IK</w:t>
                  </w:r>
                  <w:r>
                    <w:rPr>
                      <w:szCs w:val="24"/>
                      <w:vertAlign w:val="subscript"/>
                    </w:rPr>
                    <w:t>04t–1</w:t>
                  </w:r>
                  <w:r>
                    <w:rPr>
                      <w:szCs w:val="24"/>
                    </w:rPr>
                    <w:t>;</w:t>
                  </w:r>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67979e53eddf4871b9303f2a3bca7263"/>
                <w:lock w:val="sdtLocked"/>
                <w:richText/>
              </w:sdtPr>
              <w:sdtContent>
                <w:p>
                  <w:pPr>
                    <w:tabs>
                      <w:tab w:val="left" w:pos="1080"/>
                      <w:tab w:val="left" w:pos="1843"/>
                      <w:tab w:val="left" w:pos="2268"/>
                    </w:tabs>
                    <w:ind w:firstLine="720"/>
                    <w:jc w:val="both"/>
                    <w:rPr>
                      <w:szCs w:val="24"/>
                    </w:rPr>
                  </w:pPr>
                  <w:sdt>
                    <w:sdtPr>
                      <w:alias w:val="Numeris"/>
                      <w:tag w:val="nr_67979e53eddf4871b9303f2a3bca7263"/>
                      <w:lock w:val="sdtLocked"/>
                      <w:richText/>
                    </w:sdtPr>
                    <w:sdtContent>
                      <w:r>
                        <w:rPr>
                          <w:szCs w:val="24"/>
                        </w:rPr>
                        <w:t>93</w:t>
                      </w:r>
                    </w:sdtContent>
                  </w:sdt>
                  <w:r>
                    <w:rPr>
                      <w:szCs w:val="24"/>
                    </w:rPr>
                    <w:t xml:space="preserve">. Elektros energijos kiekio poveikio koeficientas </w:t>
                  </w:r>
                  <w:r>
                    <w:rPr>
                      <w:i/>
                      <w:szCs w:val="24"/>
                    </w:rPr>
                    <w:t xml:space="preserve">t </w:t>
                  </w:r>
                  <w:r>
                    <w:rPr>
                      <w:szCs w:val="24"/>
                    </w:rPr>
                    <w:t>metais apskaičiuojamas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sSub>
                          <m:sSubPr>
                            <m:ctrlPr>
                              <w:rPr>
                                <w:rFonts w:ascii="Cambria Math" w:hAnsi="Cambria Math"/>
                                <w:i/>
                              </w:rPr>
                            </m:ctrlPr>
                          </m:sSubPr>
                          <m:e>
                            <m:r>
                              <w:rPr>
                                <w:rFonts w:ascii="Cambria Math" w:hAnsi="Cambria Math"/>
                              </w:rPr>
                              <m:t>EK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=0,5</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Sub>
                              </m:num>
                              <m:den>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den>
                            </m:f>
                            <m:r>
                              <w:rPr>
                                <w:rFonts w:ascii="Cambria Math" w:hAnsi="Cambria Math"/>
                              </w:rPr>
                              <m:t>+1</m:t>
                            </m:r>
                          </m:e>
                        </m:d>
                        <m:r>
                          <w:rPr>
                            <w:rFonts w:ascii="Cambria Math" w:hAnsi="Cambria Math"/>
                          </w:rPr>
                          <m:t>×</m:t>
                        </m:r>
                        <m:sSub>
                          <m:sSubPr>
                            <m:ctrlPr>
                              <w:rPr>
                                <w:rFonts w:ascii="Cambria Math" w:hAnsi="Cambria Math"/>
                                <w:i/>
                              </w:rPr>
                            </m:ctrlPr>
                          </m:sSubPr>
                          <m:e>
                            <m:r>
                              <w:rPr>
                                <w:rFonts w:ascii="Cambria Math" w:hAnsi="Cambria Math"/>
                              </w:rPr>
                              <m:t>EK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Sub>
                      </m:e>
                      <m:sub/>
                    </m:sSub>
                  </m:oMath>
                  <w:r>
                    <w:tab/>
                  </w:r>
                  <w:r>
                    <w:rPr>
                      <w:szCs w:val="24"/>
                    </w:rPr>
                    <w:t>(57)</w:t>
                  </w:r>
                </w:p>
                <w:p>
                  <w:pPr>
                    <w:tabs>
                      <w:tab w:val="left" w:pos="9214"/>
                    </w:tab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suppressAutoHyphens/>
                    <w:jc w:val="both"/>
                    <w:rPr>
                      <w:szCs w:val="24"/>
                    </w:rPr>
                  </w:pPr>
                  <w:r>
                    <w:rPr>
                      <w:szCs w:val="24"/>
                    </w:rPr>
                    <w:t>EK</w:t>
                  </w:r>
                  <w:r>
                    <w:rPr>
                      <w:szCs w:val="24"/>
                      <w:vertAlign w:val="subscript"/>
                    </w:rPr>
                    <w:t xml:space="preserve">(10,04),t </w:t>
                  </w:r>
                  <w:r>
                    <w:rPr>
                      <w:szCs w:val="24"/>
                    </w:rPr>
                    <w:t xml:space="preserve">- Elektros energijos kiekio poveikio koeficientas </w:t>
                  </w:r>
                  <w:r>
                    <w:rPr>
                      <w:i/>
                      <w:szCs w:val="24"/>
                    </w:rPr>
                    <w:t xml:space="preserve">t </w:t>
                  </w:r>
                  <w:r>
                    <w:rPr>
                      <w:szCs w:val="24"/>
                    </w:rPr>
                    <w:t>metais</w:t>
                  </w:r>
                </w:p>
                <w:p>
                  <w:pPr>
                    <w:tabs>
                      <w:tab w:val="left" w:pos="1134"/>
                      <w:tab w:val="left" w:pos="1843"/>
                      <w:tab w:val="left" w:pos="2268"/>
                    </w:tabs>
                    <w:suppressAutoHyphens/>
                    <w:jc w:val="both"/>
                    <w:rPr>
                      <w:szCs w:val="24"/>
                    </w:rPr>
                  </w:pPr>
                  <w:r>
                    <w:rPr>
                      <w:szCs w:val="24"/>
                    </w:rPr>
                    <w:t>EK</w:t>
                  </w:r>
                  <w:r>
                    <w:rPr>
                      <w:szCs w:val="24"/>
                      <w:vertAlign w:val="subscript"/>
                    </w:rPr>
                    <w:t xml:space="preserve">(10,04),t-2 </w:t>
                  </w:r>
                  <w:r>
                    <w:rPr>
                      <w:szCs w:val="24"/>
                    </w:rPr>
                    <w:t xml:space="preserve">- Elektros energijos kiekio poveikio koeficientas </w:t>
                  </w:r>
                  <w:r>
                    <w:rPr>
                      <w:i/>
                      <w:szCs w:val="24"/>
                    </w:rPr>
                    <w:t xml:space="preserve">t-2 </w:t>
                  </w:r>
                  <w:r>
                    <w:rPr>
                      <w:szCs w:val="24"/>
                    </w:rPr>
                    <w:t>metais</w:t>
                  </w:r>
                </w:p>
                <w:p>
                  <w:pPr>
                    <w:tabs>
                      <w:tab w:val="left" w:pos="1080"/>
                      <w:tab w:val="left" w:pos="1134"/>
                      <w:tab w:val="left" w:pos="1843"/>
                      <w:tab w:val="left" w:pos="2268"/>
                    </w:tabs>
                    <w:jc w:val="both"/>
                    <w:rPr>
                      <w:szCs w:val="24"/>
                    </w:rPr>
                  </w:pPr>
                  <w:r>
                    <w:rPr>
                      <w:iCs/>
                      <w:szCs w:val="24"/>
                      <w:lang w:eastAsia="lt-LT"/>
                    </w:rPr>
                    <w:t>E</w:t>
                  </w:r>
                  <w:r>
                    <w:rPr>
                      <w:szCs w:val="24"/>
                      <w:vertAlign w:val="subscript"/>
                      <w:lang w:eastAsia="lt-LT"/>
                    </w:rPr>
                    <w:t>(10,04),</w:t>
                  </w:r>
                  <w:r>
                    <w:rPr>
                      <w:iCs/>
                      <w:szCs w:val="24"/>
                      <w:vertAlign w:val="subscript"/>
                      <w:lang w:eastAsia="lt-LT"/>
                    </w:rPr>
                    <w:t>t</w:t>
                  </w:r>
                  <w:r>
                    <w:rPr>
                      <w:szCs w:val="24"/>
                      <w:vertAlign w:val="subscript"/>
                      <w:lang w:eastAsia="lt-LT"/>
                    </w:rPr>
                    <w:t>-2</w:t>
                  </w:r>
                  <w:r>
                    <w:rPr>
                      <w:szCs w:val="24"/>
                      <w:lang w:eastAsia="lt-LT"/>
                    </w:rPr>
                    <w:t xml:space="preserve"> –</w:t>
                  </w:r>
                  <w:r>
                    <w:rPr>
                      <w:szCs w:val="24"/>
                    </w:rPr>
                    <w:t xml:space="preserve"> faktiškai t-2 paskirstytas energijos kiekis </w:t>
                  </w:r>
                  <w:r>
                    <w:rPr>
                      <w:szCs w:val="24"/>
                      <w:lang w:eastAsia="lt-LT"/>
                    </w:rPr>
                    <w:t xml:space="preserve">atitinkamai </w:t>
                  </w:r>
                  <w:r>
                    <w:rPr>
                      <w:iCs/>
                      <w:szCs w:val="24"/>
                      <w:lang w:eastAsia="lt-LT"/>
                    </w:rPr>
                    <w:t>E</w:t>
                  </w:r>
                  <w:r>
                    <w:rPr>
                      <w:szCs w:val="24"/>
                      <w:vertAlign w:val="subscript"/>
                      <w:lang w:eastAsia="lt-LT"/>
                    </w:rPr>
                    <w:t>10</w:t>
                  </w:r>
                  <w:r>
                    <w:rPr>
                      <w:iCs/>
                      <w:szCs w:val="24"/>
                      <w:vertAlign w:val="subscript"/>
                      <w:lang w:eastAsia="lt-LT"/>
                    </w:rPr>
                    <w:t>t</w:t>
                  </w:r>
                  <w:r>
                    <w:rPr>
                      <w:szCs w:val="24"/>
                      <w:vertAlign w:val="subscript"/>
                      <w:lang w:eastAsia="lt-LT"/>
                    </w:rPr>
                    <w:t xml:space="preserve">-2 </w:t>
                  </w:r>
                  <w:r>
                    <w:rPr>
                      <w:szCs w:val="24"/>
                      <w:lang w:eastAsia="lt-LT"/>
                    </w:rPr>
                    <w:t xml:space="preserve">ir </w:t>
                  </w:r>
                  <w:r>
                    <w:rPr>
                      <w:iCs/>
                      <w:szCs w:val="24"/>
                      <w:lang w:eastAsia="lt-LT"/>
                    </w:rPr>
                    <w:t>E</w:t>
                  </w:r>
                  <w:r>
                    <w:rPr>
                      <w:szCs w:val="24"/>
                      <w:vertAlign w:val="subscript"/>
                      <w:lang w:eastAsia="lt-LT"/>
                    </w:rPr>
                    <w:t>04</w:t>
                  </w:r>
                  <w:r>
                    <w:rPr>
                      <w:iCs/>
                      <w:szCs w:val="24"/>
                      <w:vertAlign w:val="subscript"/>
                      <w:lang w:eastAsia="lt-LT"/>
                    </w:rPr>
                    <w:t>t</w:t>
                  </w:r>
                  <w:r>
                    <w:rPr>
                      <w:szCs w:val="24"/>
                      <w:vertAlign w:val="subscript"/>
                      <w:lang w:eastAsia="lt-LT"/>
                    </w:rPr>
                    <w:t>-2</w:t>
                  </w:r>
                  <w:r>
                    <w:rPr>
                      <w:szCs w:val="24"/>
                    </w:rPr>
                    <w:t>.</w:t>
                  </w:r>
                </w:p>
                <w:p>
                  <w:pPr>
                    <w:widowControl w:val="0"/>
                    <w:tabs>
                      <w:tab w:val="left" w:pos="2667"/>
                    </w:tabs>
                    <w:suppressAutoHyphens/>
                    <w:jc w:val="both"/>
                    <w:rPr>
                      <w:szCs w:val="24"/>
                    </w:rPr>
                  </w:pPr>
                  <w:r>
                    <w:rPr>
                      <w:szCs w:val="24"/>
                    </w:rPr>
                    <w:t>E</w:t>
                  </w:r>
                  <w:r>
                    <w:rPr>
                      <w:szCs w:val="24"/>
                      <w:vertAlign w:val="subscript"/>
                    </w:rPr>
                    <w:t>(10,04),t</w:t>
                  </w:r>
                  <w:r>
                    <w:rPr>
                      <w:szCs w:val="24"/>
                    </w:rPr>
                    <w:t xml:space="preserve"> – planuojamas paskirstyti energijos kiekis atitinkamai E</w:t>
                  </w:r>
                  <w:r>
                    <w:rPr>
                      <w:szCs w:val="24"/>
                      <w:vertAlign w:val="subscript"/>
                    </w:rPr>
                    <w:t xml:space="preserve">10t </w:t>
                  </w:r>
                  <w:r>
                    <w:rPr>
                      <w:szCs w:val="24"/>
                    </w:rPr>
                    <w:t>ir E</w:t>
                  </w:r>
                  <w:r>
                    <w:rPr>
                      <w:szCs w:val="24"/>
                      <w:vertAlign w:val="subscript"/>
                    </w:rPr>
                    <w:t>04t</w:t>
                  </w:r>
                  <w:r>
                    <w:rPr>
                      <w:szCs w:val="24"/>
                    </w:rPr>
                    <w:t>;</w:t>
                  </w:r>
                </w:p>
              </w:sdtContent>
            </w:sdt>
            <w:sdt>
              <w:sdtPr>
                <w:alias w:val="94 p."/>
                <w:tag w:val="part_c0e71d89599c4dad9cf1235cabec012c"/>
                <w:lock w:val="sdtLocked"/>
                <w:richText/>
              </w:sdtPr>
              <w:sdtContent>
                <w:p>
                  <w:pPr>
                    <w:tabs>
                      <w:tab w:val="left" w:pos="1080"/>
                      <w:tab w:val="left" w:pos="1843"/>
                      <w:tab w:val="left" w:pos="2268"/>
                    </w:tabs>
                    <w:suppressAutoHyphens/>
                    <w:ind w:firstLine="720"/>
                    <w:jc w:val="both"/>
                    <w:rPr>
                      <w:szCs w:val="24"/>
                    </w:rPr>
                  </w:pPr>
                  <w:sdt>
                    <w:sdtPr>
                      <w:alias w:val="Numeris"/>
                      <w:tag w:val="nr_c0e71d89599c4dad9cf1235cabec012c"/>
                      <w:lock w:val="sdtLocked"/>
                      <w:richText/>
                    </w:sdtPr>
                    <w:sdtContent>
                      <w:r>
                        <w:rPr>
                          <w:szCs w:val="24"/>
                        </w:rPr>
                        <w:t>94</w:t>
                      </w:r>
                    </w:sdtContent>
                  </w:sdt>
                  <w:r>
                    <w:rPr>
                      <w:szCs w:val="24"/>
                    </w:rPr>
                    <w:t xml:space="preserve">. Korekcijos koeficientas </w:t>
                  </w:r>
                  <w:r>
                    <w:rPr>
                      <w:i/>
                      <w:szCs w:val="24"/>
                    </w:rPr>
                    <w:t xml:space="preserve">t </w:t>
                  </w:r>
                  <w:r>
                    <w:rPr>
                      <w:szCs w:val="24"/>
                    </w:rPr>
                    <w:t>metais apskaičiuojamas pagal formulę:</w:t>
                  </w:r>
                </w:p>
                <w:p>
                  <w:pPr>
                    <w:tabs>
                      <w:tab w:val="left" w:pos="1134"/>
                      <w:tab w:val="left" w:pos="1843"/>
                      <w:tab w:val="left" w:pos="2268"/>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K</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r>
                                  <w:rPr>
                                    <w:rFonts w:ascii="Cambria Math" w:hAnsi="Cambria Math"/>
                                  </w:rPr>
                                  <m:t>-2</m:t>
                                </m:r>
                              </m:sub>
                              <m:sup/>
                            </m:sSubSup>
                            <m:r>
                              <w:rPr>
                                <w:rFonts w:ascii="Cambria Math" w:hAnsi="Cambria Math"/>
                              </w:rPr>
                              <m:t>×</m:t>
                            </m:r>
                            <m:sSubSup>
                              <m:sSubSupPr>
                                <m:ctrlPr>
                                  <w:rPr>
                                    <w:rFonts w:ascii="Cambria Math" w:hAnsi="Cambria Math"/>
                                    <w:i/>
                                  </w:rPr>
                                </m:ctrlPr>
                              </m:sSubSupPr>
                              <m:e>
                                <m:r>
                                  <w:rPr>
                                    <w:rFonts w:ascii="Cambria Math" w:hAnsi="Cambria Math"/>
                                  </w:rPr>
                                  <m:t>E</m:t>
                                </m:r>
                              </m:e>
                              <m:sub>
                                <m:d>
                                  <m:dPr>
                                    <m:ctrlPr>
                                      <w:rPr>
                                        <w:rFonts w:ascii="Cambria Math" w:hAnsi="Cambria Math"/>
                                        <w:i/>
                                      </w:rPr>
                                    </m:ctrlPr>
                                  </m:dPr>
                                  <m:e>
                                    <m:r>
                                      <w:rPr>
                                        <w:rFonts w:ascii="Cambria Math" w:hAnsi="Cambria Math"/>
                                      </w:rPr>
                                      <m:t>10, 04</m:t>
                                    </m:r>
                                  </m:e>
                                </m:d>
                                <m:r>
                                  <w:rPr>
                                    <w:rFonts w:ascii="Cambria Math" w:hAnsi="Cambria Math"/>
                                  </w:rPr>
                                  <m:t>,</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d>
                              <m:dPr>
                                <m:ctrlPr>
                                  <w:rPr>
                                    <w:rFonts w:ascii="Cambria Math" w:hAnsi="Cambria Math"/>
                                    <w:i/>
                                  </w:rPr>
                                </m:ctrlPr>
                              </m:dPr>
                              <m:e>
                                <m:r>
                                  <w:rPr>
                                    <w:rFonts w:ascii="Cambria Math" w:hAnsi="Cambria Math"/>
                                  </w:rPr>
                                  <m:t>10,04</m:t>
                                </m:r>
                              </m:e>
                            </m:d>
                            <m:r>
                              <w:rPr>
                                <w:rFonts w:ascii="Cambria Math" w:hAnsi="Cambria Math"/>
                              </w:rPr>
                              <m:t>,</m:t>
                            </m:r>
                            <m:r>
                              <w:rPr>
                                <w:rFonts w:ascii="Cambria Math" w:hAnsi="Cambria Math"/>
                              </w:rPr>
                              <m:t>t</m:t>
                            </m:r>
                          </m:sub>
                        </m:sSub>
                      </m:den>
                    </m:f>
                  </m:oMath>
                  <w:r>
                    <w:tab/>
                  </w:r>
                  <w:r>
                    <w:rPr>
                      <w:szCs w:val="24"/>
                    </w:rPr>
                    <w:t>(58)</w:t>
                  </w:r>
                </w:p>
                <w:p>
                  <w:pPr>
                    <w:tabs>
                      <w:tab w:val="left" w:pos="9214"/>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jc w:val="both"/>
                    <w:rPr>
                      <w:szCs w:val="24"/>
                    </w:rPr>
                  </w:pPr>
                  <w:r>
                    <w:rPr>
                      <w:szCs w:val="24"/>
                    </w:rPr>
                    <w:t>K</w:t>
                  </w:r>
                  <w:r>
                    <w:rPr>
                      <w:szCs w:val="24"/>
                      <w:vertAlign w:val="subscript"/>
                    </w:rPr>
                    <w:t>(10,04),t</w:t>
                  </w:r>
                  <w:r>
                    <w:rPr>
                      <w:szCs w:val="24"/>
                    </w:rPr>
                    <w:t xml:space="preserve"> – </w:t>
                  </w:r>
                  <w:r>
                    <w:rPr>
                      <w:i/>
                      <w:szCs w:val="24"/>
                    </w:rPr>
                    <w:t>t</w:t>
                  </w:r>
                  <w:r>
                    <w:rPr>
                      <w:szCs w:val="24"/>
                    </w:rPr>
                    <w:t xml:space="preserve"> metų korekcijos koeficientas kainos viršutinei ribai, EUR/kWh;</w:t>
                  </w:r>
                </w:p>
                <w:p>
                  <w:pPr>
                    <w:tabs>
                      <w:tab w:val="left" w:pos="1134"/>
                      <w:tab w:val="left" w:pos="1843"/>
                      <w:tab w:val="left" w:pos="2268"/>
                    </w:tabs>
                    <w:jc w:val="both"/>
                    <w:rPr>
                      <w:szCs w:val="24"/>
                    </w:rPr>
                  </w:pPr>
                  <w:r>
                    <w:rPr>
                      <w:szCs w:val="24"/>
                    </w:rPr>
                    <w:t>P</w:t>
                  </w:r>
                  <w:r>
                    <w:rPr>
                      <w:szCs w:val="24"/>
                      <w:vertAlign w:val="superscript"/>
                    </w:rPr>
                    <w:t>f</w:t>
                  </w:r>
                  <w:r>
                    <w:rPr>
                      <w:szCs w:val="24"/>
                      <w:vertAlign w:val="subscript"/>
                    </w:rPr>
                    <w:t>(10,04),t–2</w:t>
                  </w:r>
                  <w:r>
                    <w:rPr>
                      <w:szCs w:val="24"/>
                      <w:vertAlign w:val="superscript"/>
                    </w:rPr>
                    <w:t xml:space="preserve"> </w:t>
                  </w:r>
                  <w:r>
                    <w:rPr>
                      <w:szCs w:val="24"/>
                    </w:rPr>
                    <w:t xml:space="preserve">– faktinės pajamos iš skirstymo paslaugos </w:t>
                  </w:r>
                  <w:r>
                    <w:rPr>
                      <w:i/>
                      <w:szCs w:val="24"/>
                    </w:rPr>
                    <w:t xml:space="preserve">t-2 </w:t>
                  </w:r>
                  <w:r>
                    <w:rPr>
                      <w:szCs w:val="24"/>
                    </w:rPr>
                    <w:t>metais, EUR;</w:t>
                  </w:r>
                </w:p>
                <w:p>
                  <w:pPr>
                    <w:tabs>
                      <w:tab w:val="left" w:pos="1134"/>
                      <w:tab w:val="left" w:pos="1843"/>
                      <w:tab w:val="left" w:pos="2268"/>
                    </w:tabs>
                    <w:jc w:val="both"/>
                    <w:rPr>
                      <w:szCs w:val="24"/>
                    </w:rPr>
                  </w:pPr>
                  <w:r>
                    <w:rPr>
                      <w:szCs w:val="24"/>
                    </w:rPr>
                    <w:t>E</w:t>
                  </w:r>
                  <w:r>
                    <w:rPr>
                      <w:szCs w:val="24"/>
                      <w:vertAlign w:val="subscript"/>
                    </w:rPr>
                    <w:t xml:space="preserve">(10,04),t-2 </w:t>
                  </w:r>
                  <w:r>
                    <w:rPr>
                      <w:szCs w:val="24"/>
                    </w:rPr>
                    <w:t xml:space="preserve">–faktinis </w:t>
                  </w:r>
                  <w:r>
                    <w:rPr>
                      <w:i/>
                      <w:szCs w:val="24"/>
                    </w:rPr>
                    <w:t xml:space="preserve">t-2 </w:t>
                  </w:r>
                  <w:r>
                    <w:rPr>
                      <w:szCs w:val="24"/>
                    </w:rPr>
                    <w:t xml:space="preserve">metais paskirstytas elektros energijos kiekis, kWh; </w:t>
                  </w:r>
                </w:p>
                <w:p>
                  <w:pPr>
                    <w:tabs>
                      <w:tab w:val="left" w:pos="1134"/>
                      <w:tab w:val="left" w:pos="1843"/>
                      <w:tab w:val="left" w:pos="2268"/>
                    </w:tabs>
                    <w:jc w:val="both"/>
                    <w:rPr>
                      <w:szCs w:val="24"/>
                    </w:rPr>
                  </w:pPr>
                  <w:r>
                    <w:rPr>
                      <w:szCs w:val="24"/>
                    </w:rPr>
                    <w:t>E</w:t>
                  </w:r>
                  <w:r>
                    <w:rPr>
                      <w:szCs w:val="24"/>
                      <w:vertAlign w:val="subscript"/>
                    </w:rPr>
                    <w:t xml:space="preserve">(10,04),t </w:t>
                  </w:r>
                  <w:r>
                    <w:rPr>
                      <w:szCs w:val="24"/>
                    </w:rPr>
                    <w:t xml:space="preserve">– </w:t>
                  </w:r>
                  <w:r>
                    <w:rPr>
                      <w:i/>
                      <w:szCs w:val="24"/>
                    </w:rPr>
                    <w:t>t</w:t>
                  </w:r>
                  <w:r>
                    <w:rPr>
                      <w:szCs w:val="24"/>
                    </w:rPr>
                    <w:t xml:space="preserve"> metais planuojamas paskirstyti elektros energijos kiekis</w:t>
                  </w:r>
                  <w:r>
                    <w:rPr>
                      <w:szCs w:val="24"/>
                      <w:lang w:eastAsia="lt-LT"/>
                    </w:rPr>
                    <w:t xml:space="preserve"> atitinkamai </w:t>
                  </w:r>
                  <w:r>
                    <w:rPr>
                      <w:i/>
                      <w:iCs/>
                      <w:szCs w:val="24"/>
                      <w:lang w:eastAsia="lt-LT"/>
                    </w:rPr>
                    <w:t>E</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ir </w:t>
                  </w:r>
                  <w:r>
                    <w:rPr>
                      <w:i/>
                      <w:iCs/>
                      <w:szCs w:val="24"/>
                      <w:lang w:eastAsia="lt-LT"/>
                    </w:rPr>
                    <w:t>E</w:t>
                  </w:r>
                  <w:r>
                    <w:rPr>
                      <w:szCs w:val="24"/>
                      <w:vertAlign w:val="subscript"/>
                      <w:lang w:eastAsia="lt-LT"/>
                    </w:rPr>
                    <w:t>04</w:t>
                  </w:r>
                  <w:r>
                    <w:rPr>
                      <w:i/>
                      <w:iCs/>
                      <w:szCs w:val="24"/>
                      <w:vertAlign w:val="subscript"/>
                      <w:lang w:eastAsia="lt-LT"/>
                    </w:rPr>
                    <w:t>t</w:t>
                  </w:r>
                  <w:r>
                    <w:rPr>
                      <w:szCs w:val="24"/>
                    </w:rPr>
                    <w:t>, kWh</w:t>
                  </w:r>
                  <w:r>
                    <w:rPr>
                      <w:szCs w:val="24"/>
                      <w:lang w:eastAsia="lt-LT"/>
                    </w:rPr>
                    <w:t>;</w:t>
                  </w:r>
                </w:p>
                <w:p>
                  <w:pPr>
                    <w:tabs>
                      <w:tab w:val="left" w:pos="1134"/>
                      <w:tab w:val="left" w:pos="1843"/>
                      <w:tab w:val="left" w:pos="2268"/>
                    </w:tabs>
                    <w:jc w:val="both"/>
                    <w:rPr>
                      <w:szCs w:val="24"/>
                    </w:rPr>
                  </w:pPr>
                  <w:r>
                    <w:rPr>
                      <w:szCs w:val="24"/>
                    </w:rPr>
                    <w:t>T</w:t>
                  </w:r>
                  <w:r>
                    <w:rPr>
                      <w:szCs w:val="24"/>
                      <w:vertAlign w:val="subscript"/>
                    </w:rPr>
                    <w:t xml:space="preserve">(10,04),t-2 </w:t>
                  </w:r>
                  <w:r>
                    <w:rPr>
                      <w:szCs w:val="24"/>
                    </w:rPr>
                    <w:t xml:space="preserve">– Komisijos nustatyta paslaugos kainos viršutinė riba </w:t>
                  </w:r>
                  <w:r>
                    <w:rPr>
                      <w:i/>
                      <w:szCs w:val="24"/>
                    </w:rPr>
                    <w:t>t-2</w:t>
                  </w:r>
                  <w:r>
                    <w:rPr>
                      <w:szCs w:val="24"/>
                    </w:rPr>
                    <w:t xml:space="preserve"> metams.</w:t>
                  </w:r>
                </w:p>
              </w:sdtContent>
            </w:sdt>
            <w:sdt>
              <w:sdtPr>
                <w:alias w:val="95 p."/>
                <w:tag w:val="part_0ae1535c8af346f294eb2ae83a2a2b98"/>
                <w:lock w:val="sdtLocked"/>
                <w:richText/>
              </w:sdtPr>
              <w:sdtContent>
                <w:p>
                  <w:pPr>
                    <w:tabs>
                      <w:tab w:val="left" w:pos="1080"/>
                      <w:tab w:val="left" w:pos="1843"/>
                      <w:tab w:val="left" w:pos="2268"/>
                    </w:tabs>
                    <w:ind w:firstLine="720"/>
                    <w:jc w:val="both"/>
                    <w:rPr>
                      <w:szCs w:val="24"/>
                    </w:rPr>
                  </w:pPr>
                  <w:sdt>
                    <w:sdtPr>
                      <w:alias w:val="Numeris"/>
                      <w:tag w:val="nr_0ae1535c8af346f294eb2ae83a2a2b98"/>
                      <w:lock w:val="sdtLocked"/>
                      <w:richText/>
                    </w:sdtPr>
                    <w:sdtContent>
                      <w:r>
                        <w:rPr>
                          <w:szCs w:val="24"/>
                        </w:rPr>
                        <w:t>95</w:t>
                      </w:r>
                    </w:sdtContent>
                  </w:sdt>
                  <w:r>
                    <w:rPr>
                      <w:szCs w:val="24"/>
                    </w:rPr>
                    <w:t>. Komisija, perskaičiuodama viršutinę kainos ribą dėl korekcijos koeficiento, sprendžia dėl negautų ar viršytų pajamų įvertinimo pagrįstumo, atsižvelgdama į Įmonių pateiktas pagrįstas pajamų pokyčio priežastis, nulemtas elektros energijos skirstymo paslaugos kainos viršutinės ribos diferencijavimo ir (arba) prognozuoto perduoti bei faktiškai perduoto kiekio skirtumo.</w:t>
                  </w:r>
                </w:p>
              </w:sdtContent>
            </w:sdt>
            <w:sdt>
              <w:sdtPr>
                <w:alias w:val="96 p."/>
                <w:tag w:val="part_5ee05ad7515742e4a0c0f0ef32e506c8"/>
                <w:lock w:val="sdtLocked"/>
                <w:richText/>
              </w:sdtPr>
              <w:sdtContent>
                <w:p>
                  <w:pPr>
                    <w:tabs>
                      <w:tab w:val="left" w:pos="1134"/>
                      <w:tab w:val="left" w:pos="1843"/>
                      <w:tab w:val="left" w:pos="2268"/>
                    </w:tabs>
                    <w:ind w:firstLine="720"/>
                    <w:jc w:val="both"/>
                    <w:rPr>
                      <w:szCs w:val="24"/>
                    </w:rPr>
                  </w:pPr>
                  <w:sdt>
                    <w:sdtPr>
                      <w:alias w:val="Numeris"/>
                      <w:tag w:val="nr_5ee05ad7515742e4a0c0f0ef32e506c8"/>
                      <w:lock w:val="sdtLocked"/>
                      <w:richText/>
                    </w:sdtPr>
                    <w:sdtContent>
                      <w:r>
                        <w:rPr>
                          <w:szCs w:val="24"/>
                        </w:rPr>
                        <w:t>96</w:t>
                      </w:r>
                    </w:sdtContent>
                  </w:sdt>
                  <w:r>
                    <w:rPr>
                      <w:szCs w:val="24"/>
                    </w:rPr>
                    <w:t>. Pirmaisiais reguliavimo periodo metais atitinkamai nenumatytų pasikeitimų ir elektros energijos kiekio poveikio bei indeksavimo koeficientai lygūs vienetui, o korekcijos koeficientai – nuliui. Kitiems reguliavimo periodo metams koregavimo koeficientai skaičiuojami pagal patikslintus (faktinius) esamųjų metų duomenis.</w:t>
                  </w:r>
                </w:p>
              </w:sdtContent>
            </w:sdt>
          </w:sdtContent>
        </w:sdt>
        <w:sdt>
          <w:sdtPr>
            <w:alias w:val="skyrius"/>
            <w:tag w:val="part_9cc5df168f294cb292569e5278e8d9d6"/>
            <w:lock w:val="sdtLocked"/>
            <w:richText/>
          </w:sdtPr>
          <w:sdtContent>
            <w:p>
              <w:pPr>
                <w:tabs>
                  <w:tab w:val="left" w:pos="1134"/>
                  <w:tab w:val="left" w:pos="1843"/>
                  <w:tab w:val="left" w:pos="2268"/>
                </w:tabs>
                <w:jc w:val="center"/>
                <w:rPr>
                  <w:b/>
                  <w:szCs w:val="24"/>
                </w:rPr>
              </w:pPr>
              <w:sdt>
                <w:sdtPr>
                  <w:alias w:val="Numeris"/>
                  <w:tag w:val="nr_9cc5df168f294cb292569e5278e8d9d6"/>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9cc5df168f294cb292569e5278e8d9d6"/>
                  <w:lock w:val="sdtLocked"/>
                  <w:richText/>
                </w:sdtPr>
                <w:sdtContent>
                  <w:r>
                    <w:rPr>
                      <w:b/>
                      <w:szCs w:val="24"/>
                    </w:rPr>
                    <w:t>VISUOMENINIO TIEKIMO PASLAUGOS KAINOS VIRŠUTINĖS RIBOS NUSTATYMAS IR PERSKAIČIAVIMAS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97 p."/>
                <w:tag w:val="part_676a79e80da1409aa0a4b313ef7e808a"/>
                <w:lock w:val="sdtLocked"/>
                <w:richText/>
              </w:sdtPr>
              <w:sdtContent>
                <w:p>
                  <w:pPr>
                    <w:tabs>
                      <w:tab w:val="left" w:pos="1080"/>
                      <w:tab w:val="left" w:pos="1843"/>
                      <w:tab w:val="left" w:pos="2268"/>
                    </w:tabs>
                    <w:ind w:firstLine="720"/>
                    <w:jc w:val="both"/>
                    <w:rPr>
                      <w:szCs w:val="24"/>
                    </w:rPr>
                  </w:pPr>
                  <w:sdt>
                    <w:sdtPr>
                      <w:alias w:val="Numeris"/>
                      <w:tag w:val="nr_676a79e80da1409aa0a4b313ef7e808a"/>
                      <w:lock w:val="sdtLocked"/>
                      <w:richText/>
                    </w:sdtPr>
                    <w:sdtContent>
                      <w:r>
                        <w:rPr>
                          <w:szCs w:val="24"/>
                        </w:rPr>
                        <w:t>97</w:t>
                      </w:r>
                    </w:sdtContent>
                  </w:sdt>
                  <w:r>
                    <w:rPr>
                      <w:szCs w:val="24"/>
                    </w:rPr>
                    <w:t xml:space="preserve">. Visuomeninio tiekimo paslaugos kainos viršutinė riba nustatoma penkeriems metams, </w:t>
                    <w:br/>
                    <w:t>t. y. pradinis visuomeninio tiekėjo pajamų lygis nustatomas penkeriems metams, o viršutinė riba, atsižvelgus į nenumatytų pasikeitimų, indeksavimo bei korekcijos koeficientus, perskaičiuojama kasmet.</w:t>
                  </w:r>
                </w:p>
              </w:sdtContent>
            </w:sdt>
            <w:sdt>
              <w:sdtPr>
                <w:alias w:val="98 p."/>
                <w:tag w:val="part_b92b64bf6e204df3853cfa474882af2c"/>
                <w:lock w:val="sdtLocked"/>
                <w:richText/>
              </w:sdtPr>
              <w:sdtContent>
                <w:p>
                  <w:pPr>
                    <w:tabs>
                      <w:tab w:val="left" w:pos="1080"/>
                      <w:tab w:val="left" w:pos="1843"/>
                      <w:tab w:val="left" w:pos="2268"/>
                    </w:tabs>
                    <w:ind w:firstLine="720"/>
                    <w:jc w:val="both"/>
                    <w:rPr>
                      <w:szCs w:val="24"/>
                    </w:rPr>
                  </w:pPr>
                  <w:sdt>
                    <w:sdtPr>
                      <w:alias w:val="Numeris"/>
                      <w:tag w:val="nr_b92b64bf6e204df3853cfa474882af2c"/>
                      <w:lock w:val="sdtLocked"/>
                      <w:richText/>
                    </w:sdtPr>
                    <w:sdtContent>
                      <w:r>
                        <w:rPr>
                          <w:szCs w:val="24"/>
                        </w:rPr>
                        <w:t>98</w:t>
                      </w:r>
                    </w:sdtContent>
                  </w:sdt>
                  <w:r>
                    <w:rPr>
                      <w:szCs w:val="24"/>
                    </w:rPr>
                    <w:t>. Pradinis visuomeninio tiekimo paslaugų pajamų lygis skaičiuojamas ekonomiškai pagrindžiant elektros energijos visuomeninio tiekėjo būtinus kaštus ir protingumo kriterijų atitinkančią investicijų grąžą pagal Metodikos 101 punktą.</w:t>
                  </w:r>
                </w:p>
              </w:sdtContent>
            </w:sdt>
            <w:sdt>
              <w:sdtPr>
                <w:alias w:val="99 p."/>
                <w:tag w:val="part_e1b70524c7f94aa68a1ddf271a559315"/>
                <w:lock w:val="sdtLocked"/>
                <w:richText/>
              </w:sdtPr>
              <w:sdtContent>
                <w:p>
                  <w:pPr>
                    <w:tabs>
                      <w:tab w:val="left" w:pos="1080"/>
                      <w:tab w:val="left" w:pos="1843"/>
                      <w:tab w:val="left" w:pos="2268"/>
                    </w:tabs>
                    <w:ind w:firstLine="720"/>
                    <w:jc w:val="both"/>
                    <w:rPr>
                      <w:szCs w:val="24"/>
                    </w:rPr>
                  </w:pPr>
                  <w:sdt>
                    <w:sdtPr>
                      <w:alias w:val="Numeris"/>
                      <w:tag w:val="nr_e1b70524c7f94aa68a1ddf271a559315"/>
                      <w:lock w:val="sdtLocked"/>
                      <w:richText/>
                    </w:sdtPr>
                    <w:sdtContent>
                      <w:r>
                        <w:rPr>
                          <w:szCs w:val="24"/>
                        </w:rPr>
                        <w:t>99</w:t>
                      </w:r>
                    </w:sdtContent>
                  </w:sdt>
                  <w:r>
                    <w:rPr>
                      <w:szCs w:val="24"/>
                    </w:rPr>
                    <w:t>. Viršutinės kainos ribos formulė taikoma elektros energijos visuomeninio tiekimo paslaugos kainai apskaičiuoti:</w:t>
                  </w:r>
                </w:p>
                <w:p>
                  <w:pPr>
                    <w:tabs>
                      <w:tab w:val="left" w:pos="993"/>
                      <w:tab w:val="left" w:pos="1843"/>
                      <w:tab w:val="left" w:pos="2268"/>
                    </w:tabs>
                    <w:jc w:val="both"/>
                    <w:rPr>
                      <w:szCs w:val="24"/>
                    </w:rPr>
                  </w:pPr>
                </w:p>
                <w:p>
                  <w:pPr>
                    <w:tabs>
                      <w:tab w:val="left" w:pos="9214"/>
                    </w:tabs>
                    <w:jc w:val="both"/>
                    <w:rPr>
                      <w:szCs w:val="24"/>
                    </w:rPr>
                  </w:pPr>
                  <w:r>
                    <w:rPr>
                      <w:szCs w:val="24"/>
                      <w:lang w:eastAsia="lt-LT"/>
                    </w:rPr>
                    <mc:AlternateContent>
                      <mc:Choice Requires="wpc">
                        <w:drawing>
                          <wp:inline distT="0" distB="0" distL="0" distR="0">
                            <wp:extent cx="1600200" cy="316230"/>
                            <wp:effectExtent l="3810" t="0" r="0" b="0"/>
                            <wp:docPr id="130" name="Canvas 18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9" name="Rectangle 93"/>
                                    <wps:cNvSpPr>
                                      <a:spLocks noChangeArrowheads="1"/>
                                    </wps:cNvSpPr>
                                    <wps:spPr bwMode="auto">
                                      <a:xfrm>
                                        <a:off x="1103600" y="17102"/>
                                        <a:ext cx="69200" cy="175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0" name="Rectangle 96"/>
                                    <wps:cNvSpPr>
                                      <a:spLocks noChangeArrowheads="1"/>
                                    </wps:cNvSpPr>
                                    <wps:spPr bwMode="auto">
                                      <a:xfrm>
                                        <a:off x="180300" y="17102"/>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1" name="Rectangle 97"/>
                                    <wps:cNvSpPr>
                                      <a:spLocks noChangeArrowheads="1"/>
                                    </wps:cNvSpPr>
                                    <wps:spPr bwMode="auto">
                                      <a:xfrm>
                                        <a:off x="8503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2" name="Rectangle 98"/>
                                    <wps:cNvSpPr>
                                      <a:spLocks noChangeArrowheads="1"/>
                                    </wps:cNvSpPr>
                                    <wps:spPr bwMode="auto">
                                      <a:xfrm>
                                        <a:off x="4737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3" name="Rectangle 99"/>
                                    <wps:cNvSpPr>
                                      <a:spLocks noChangeArrowheads="1"/>
                                    </wps:cNvSpPr>
                                    <wps:spPr bwMode="auto">
                                      <a:xfrm>
                                        <a:off x="208900" y="111711"/>
                                        <a:ext cx="692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p>
                                      </w:txbxContent>
                                    </wps:txbx>
                                    <wps:bodyPr rot="0" vert="horz" wrap="none" lIns="0" tIns="0" rIns="0" bIns="0" anchor="t" anchorCtr="0" upright="1">
                                      <a:spAutoFit/>
                                    </wps:bodyPr>
                                  </wps:wsp>
                                  <wps:wsp>
                                    <wps:cNvPr id="124" name="Rectangle 100"/>
                                    <wps:cNvSpPr>
                                      <a:spLocks noChangeArrowheads="1"/>
                                    </wps:cNvSpPr>
                                    <wps:spPr bwMode="auto">
                                      <a:xfrm>
                                        <a:off x="92700" y="111711"/>
                                        <a:ext cx="11303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GB"/>
                                            </w:rPr>
                                            <w:t>vt,t</w:t>
                                          </w:r>
                                        </w:p>
                                      </w:txbxContent>
                                    </wps:txbx>
                                    <wps:bodyPr rot="0" vert="horz" wrap="none" lIns="0" tIns="0" rIns="0" bIns="0" anchor="t" anchorCtr="0" upright="1">
                                      <a:spAutoFit/>
                                    </wps:bodyPr>
                                  </wps:wsp>
                                  <wps:wsp>
                                    <wps:cNvPr id="125" name="Rectangle 101"/>
                                    <wps:cNvSpPr>
                                      <a:spLocks noChangeArrowheads="1"/>
                                    </wps:cNvSpPr>
                                    <wps:spPr bwMode="auto">
                                      <a:xfrm>
                                        <a:off x="737900" y="17102"/>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K</w:t>
                                          </w:r>
                                        </w:p>
                                      </w:txbxContent>
                                    </wps:txbx>
                                    <wps:bodyPr rot="0" vert="horz" wrap="none" lIns="0" tIns="0" rIns="0" bIns="0" anchor="t" anchorCtr="0" upright="1">
                                      <a:spAutoFit/>
                                    </wps:bodyPr>
                                  </wps:wsp>
                                  <wps:wsp>
                                    <wps:cNvPr id="126" name="Rectangle 102"/>
                                    <wps:cNvSpPr>
                                      <a:spLocks noChangeArrowheads="1"/>
                                    </wps:cNvSpPr>
                                    <wps:spPr bwMode="auto">
                                      <a:xfrm>
                                        <a:off x="395000" y="17102"/>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127" name="Rectangle 103"/>
                                    <wps:cNvSpPr>
                                      <a:spLocks noChangeArrowheads="1"/>
                                    </wps:cNvSpPr>
                                    <wps:spPr bwMode="auto">
                                      <a:xfrm>
                                        <a:off x="13300" y="17102"/>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GB"/>
                                            </w:rPr>
                                            <w:t>T</w:t>
                                          </w:r>
                                        </w:p>
                                      </w:txbxContent>
                                    </wps:txbx>
                                    <wps:bodyPr rot="0" vert="horz" wrap="none" lIns="0" tIns="0" rIns="0" bIns="0" anchor="t" anchorCtr="0" upright="1">
                                      <a:spAutoFit/>
                                    </wps:bodyPr>
                                  </wps:wsp>
                                  <wps:wsp>
                                    <wps:cNvPr id="128" name="Rectangle 104"/>
                                    <wps:cNvSpPr>
                                      <a:spLocks noChangeArrowheads="1"/>
                                    </wps:cNvSpPr>
                                    <wps:spPr bwMode="auto">
                                      <a:xfrm>
                                        <a:off x="617200" y="0"/>
                                        <a:ext cx="83800" cy="186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s:wsp>
                                    <wps:cNvPr id="129" name="Rectangle 105"/>
                                    <wps:cNvSpPr>
                                      <a:spLocks noChangeArrowheads="1"/>
                                    </wps:cNvSpPr>
                                    <wps:spPr bwMode="auto">
                                      <a:xfrm>
                                        <a:off x="280600" y="0"/>
                                        <a:ext cx="83800" cy="186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GB"/>
                                            </w:rPr>
                                            <w:t></w:t>
                                          </w:r>
                                        </w:p>
                                      </w:txbxContent>
                                    </wps:txbx>
                                    <wps:bodyPr rot="0" vert="horz" wrap="none" lIns="0" tIns="0" rIns="0" bIns="0" anchor="t" anchorCtr="0" upright="1">
                                      <a:spAutoFit/>
                                    </wps:bodyPr>
                                  </wps:wsp>
                                </wpc:wpc>
                              </a:graphicData>
                            </a:graphic>
                          </wp:inline>
                        </w:drawing>
                      </mc:Choice>
                      <mc:Fallback>
                        <w:pict>
                          <v:group id="Canvas 184" o:spid="_x0000_s1104" editas="canvas" style="width:126pt;height:24.9pt;mso-position-horizontal-relative:char;mso-position-vertical-relative:line" coordsize="16002,316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Hp58ggQAAIAvAAAOAAAAZHJzL2Uyb0RvYy54bWzsWm2PozYQ/l6p/8HiezY276BlT3vJpqq0 bU+9ux/ggBNQASObDdme+t87Ni9JNumq6nXRSiEfiAEznvGMH49n5vbDvsjRjgmZ8TIyyA02ECtj nmTlNjK+flnNfAPJmpYJzXnJIuOZSePD3Y8/3DZVyEye8jxhAgGRUoZNFRlpXVfhfC7jlBVU3vCK lfByw0VBa7gV23kiaAPUi3xuYuzOGy6SSvCYSQlPl+1L407T32xYXP+22UhWozwygLdaX4W+rtV1 fndLw62gVZrFHRv0P3BR0KyEQQdSS1pT9CSyM1JFFgsu+aa+iXkx55tNFjMtA0hD8AtpFrTcUamF iWF2egah9T/SXW8V3yVfZXkOszEH6qF6pv4b0A+Dh00F2pHVoCf5feN/TmnFtFgyjH/dfRIoS8B4 SGCgkhZgJb+D3mi5zRkKLKUiNT50/Fx9EopZWT3y+A+JSr5IoRu7F4I3KaMJ8EVUfxDi6AN1I+FT tG5+4QmQp08119rab0ShCIIe0F5xgC0Xg5k8Q9sj2GzNg+1rFMNrNwCLM1Cs3zom8fRQNOypVELW PzFeINWIDAFC6FHo7lHWiisa9l1OppyGeXnyADq2T2Bk+FS9Uzxoe/oW4ODBf/DtmW26DzMbL5ez +9XCnrkr4jlLa7lYLMlfalxih2mWJKxUmu1tm9j/TnXdKmutcrBuyfMsUeQUS1Js14tcoB2FtbXS v25CjrrNT9nQkwCyvBCJmDb+aAazlet7M3tlO7PAw/4Mk+Bj4GI7sJerU5Ees5J9v0ioiYzAMR2t pSOmX8iG9e9cNhoWWQ3olWdFZPhDJxoqU3woE1A5DWua5W37aCoU+4epAHX3itaGq2y1tfl6v97r teENy2DNk2cwZcHBwsAYAXqhkXLxp4EagLHIKAFnDZT/XMJiUIjXN0TfWPcNWsbwYWTUBmqbi7pF xqdKZNsU6JJ2Zqp7WDCrTNuwWkwtD90yA1wYCyBMkOcMIFylmJP1/oYA4WPrVXwgzgEfXL27gHIn fJjw4a3xwe5XwVXjA7mAD3qXHgkffOeADwQ8CO2MtJu3ciAIseB9hxDYNC2n21QmhJgQ4q0RQtva Yfe+Ug/CvIAQfo+dIxwxbM/yeg9iQgh9kp/OGCo2MRwfwGE8OYqMd8YYPOmr9iGsCwgRjIgQJvaD VxACghDTIWMKQhzFYcYDiMGVvmqAsM8BgsCCHS8KEZiTC9FFzqcw5SEE+x5ciMGVvmqEgCDgyzAl wToWMFIcAg4Zgw9xnseAxIYKPQyJjClQOSUyRktkDK70VSOEewkhdLpxJISwAgf2i3/KdEIcM+jj lJ5jTgAxAcRYAOEPnvRVA4R3CSCGJPAIgUpivZLpnPDhJEQ3VUKMVwnhD370VeMDlNWdHzGGJPAI +OAST1dDQTFUV0WnSpRUltO3oBamO134rkv0mXAqg5jKpN6+TMofXOirBocLdZQED/nfEcDB9HFf RzmBw5TffB/5TX9wn98nOOjKa6i61oWhXUm6qiM/vtc1l4fC+bu/AQAA//8DAFBLAwQUAAYACAAA ACEA2aTHlNkAAAAEAQAADwAAAGRycy9kb3ducmV2LnhtbEyPzWrDMBCE74W+g9hAb40ckYTUtRxC S0mgpzh9AMXa2ib6MdYmdt++217ay8Iwy8w3xXbyTtxwSF0MGhbzDASGOtouNBo+Tm+PGxCJTLDG xYAavjDBtry/K0xu4xiOeKuoERwSUm40tER9LmWqW/QmzWOPgb3POHhDLIdG2sGMHO6dVFm2lt50 gRta0+NLi/Wlunou2S9fK9r3a3d8P6x2ivxiPCitH2bT7hkE4UR/z/CDz+hQMtM5XoNNwmngIfR7 2VMrxfKsYfm0AVkW8j98+Q0AAP//AwBQSwECLQAUAAYACAAAACEAtoM4kv4AAADhAQAAEwAAAAAA AAAAAAAAAAAAAAAAW0NvbnRlbnRfVHlwZXNdLnhtbFBLAQItABQABgAIAAAAIQA4/SH/1gAAAJQB AAALAAAAAAAAAAAAAAAAAC8BAABfcmVscy8ucmVsc1BLAQItABQABgAIAAAAIQDzHp58ggQAAIAv AAAOAAAAAAAAAAAAAAAAAC4CAABkcnMvZTJvRG9jLnhtbFBLAQItABQABgAIAAAAIQDZpMeU2QAA AAQBAAAPAAAAAAAAAAAAAAAAANwGAABkcnMvZG93bnJldi54bWxQSwUGAAAAAAQABADzAAAA4gcA AAAA ">
                            <v:shape id="_x0000_s1105" type="#_x0000_t75" style="position:absolute;width:16002;height:3162;visibility:visible;mso-wrap-style:square">
                              <v:fill o:detectmouseclick="t"/>
                              <v:path o:connecttype="none"/>
                            </v:shape>
                            <v:rect id="Rectangle 93" o:spid="_x0000_s1106" style="position:absolute;left:11036;top:171;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PiArr8A AADcAAAADwAAAGRycy9kb3ducmV2LnhtbERPzYrCMBC+L/gOYQRva6qHxa1GEUHQxYvVBxia6Q8m k5JEW9/eCMLe5uP7ndVmsEY8yIfWsYLZNANBXDrdcq3getl/L0CEiKzROCYFTwqwWY++Vphr1/OZ HkWsRQrhkKOCJsYulzKUDVkMU9cRJ65y3mJM0NdSe+xTuDVynmU/0mLLqaHBjnYNlbfibhXIS7Hv F4XxmfubVydzPJwrckpNxsN2CSLSEP/FH/dBp/mzX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8+ICuvwAAANwAAAAPAAAAAAAAAAAAAAAAAJgCAABkcnMvZG93bnJl di54bWxQSwUGAAAAAAQABAD1AAAAhAMAAAAA " filled="f" stroked="f">
                              <v:textbox style="mso-fit-shape-to-text:t" inset="0,0,0,0">
                                <w:txbxContent>
                                  <w:p>
                                    <w:pPr>
                                      <w:rPr>
                                        <w:szCs w:val="24"/>
                                        <w:lang w:val="en-GB"/>
                                      </w:rPr>
                                    </w:pPr>
                                  </w:p>
                                </w:txbxContent>
                              </v:textbox>
                            </v:rect>
                            <v:rect id="Rectangle 96" o:spid="_x0000_s1107" style="position:absolute;left:1803;top:171;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67jjsMA AADcAAAADwAAAGRycy9kb3ducmV2LnhtbESPzWrDMBCE74W+g9hCbo1cH0pwo4RSMLillzh5gMVa /1BpZSQ1dt++ewjktsvMzny7P67eqSvFNAU28LItQBF3wU48GLic6+cdqJSRLbrAZOCPEhwPjw97 rGxY+ETXNg9KQjhVaGDMea60Tt1IHtM2zMSi9SF6zLLGQduIi4R7p8uieNUeJ5aGEWf6GKn7aX+9 AX1u62XXuliEr7L/dp/NqadgzOZpfX8DlWnNd/PturGCXwq+PCMT6MM/AAAA//8DAFBLAQItABQA BgAIAAAAIQDw94q7/QAAAOIBAAATAAAAAAAAAAAAAAAAAAAAAABbQ29udGVudF9UeXBlc10ueG1s UEsBAi0AFAAGAAgAAAAhADHdX2HSAAAAjwEAAAsAAAAAAAAAAAAAAAAALgEAAF9yZWxzLy5yZWxz UEsBAi0AFAAGAAgAAAAhADMvBZ5BAAAAOQAAABAAAAAAAAAAAAAAAAAAKQIAAGRycy9zaGFwZXht bC54bWxQSwECLQAUAAYACAAAACEAI67jjsMAAADcAAAADwAAAAAAAAAAAAAAAACYAgAAZHJzL2Rv d25yZXYueG1sUEsFBgAAAAAEAAQA9QAAAIgDAAAAAA== " filled="f" stroked="f">
                              <v:textbox style="mso-fit-shape-to-text:t" inset="0,0,0,0">
                                <w:txbxContent>
                                  <w:p>
                                    <w:pPr>
                                      <w:rPr>
                                        <w:szCs w:val="24"/>
                                        <w:lang w:val="en-GB"/>
                                      </w:rPr>
                                    </w:pPr>
                                  </w:p>
                                </w:txbxContent>
                              </v:textbox>
                            </v:rect>
                            <v:rect id="Rectangle 97" o:spid="_x0000_s1108" style="position:absolute;left:8503;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OJGFb4A AADcAAAADwAAAGRycy9kb3ducmV2LnhtbERPzYrCMBC+C75DGGFvmtrDItUoIggqXqz7AEMz/cFk UpJo69ubhYW9zcf3O5vdaI14kQ+dYwXLRQaCuHK640bBz/04X4EIEVmjcUwK3hRgt51ONlhoN/CN XmVsRArhUKCCNsa+kDJULVkMC9cTJ6523mJM0DdSexxSuDUyz7JvabHj1NBiT4eWqkf5tArkvTwO q9L4zF3y+mrOp1tNTqmv2bhfg4g0xn/xn/uk0/x8Cb/PpAvk9gMAAP//AwBQSwECLQAUAAYACAAA ACEA8PeKu/0AAADiAQAAEwAAAAAAAAAAAAAAAAAAAAAAW0NvbnRlbnRfVHlwZXNdLnhtbFBLAQIt ABQABgAIAAAAIQAx3V9h0gAAAI8BAAALAAAAAAAAAAAAAAAAAC4BAABfcmVscy8ucmVsc1BLAQIt ABQABgAIAAAAIQAzLwWeQQAAADkAAAAQAAAAAAAAAAAAAAAAACkCAABkcnMvc2hhcGV4bWwueG1s UEsBAi0AFAAGAAgAAAAhAEziRhW+AAAA3AAAAA8AAAAAAAAAAAAAAAAAmAIAAGRycy9kb3ducmV2 LnhtbFBLBQYAAAAABAAEAPUAAACDAwAAAAA= " filled="f" stroked="f">
                              <v:textbox style="mso-fit-shape-to-text:t" inset="0,0,0,0">
                                <w:txbxContent>
                                  <w:p>
                                    <w:pPr>
                                      <w:rPr>
                                        <w:szCs w:val="24"/>
                                        <w:lang w:val="en-GB"/>
                                      </w:rPr>
                                    </w:pPr>
                                    <w:r>
                                      <w:rPr>
                                        <w:i/>
                                        <w:iCs/>
                                        <w:color w:val="000000"/>
                                        <w:sz w:val="14"/>
                                        <w:szCs w:val="14"/>
                                        <w:lang w:val="en-GB"/>
                                      </w:rPr>
                                      <w:t>vt,t</w:t>
                                    </w:r>
                                  </w:p>
                                </w:txbxContent>
                              </v:textbox>
                            </v:rect>
                            <v:rect id="Rectangle 98" o:spid="_x0000_s1109" style="position:absolute;left:4737;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DDYYr8A AADcAAAADwAAAGRycy9kb3ducmV2LnhtbERPzYrCMBC+C75DGGFvNt0eFqlGkQXBXbxYfYChmf5g MilJ1nbf3giCt/n4fmezm6wRd/Khd6zgM8tBENdO99wquF4OyxWIEJE1Gsek4J8C7Lbz2QZL7UY+ 072KrUghHEpU0MU4lFKGuiOLIXMDceIa5y3GBH0rtccxhVsjizz/khZ7Tg0dDvTdUX2r/qwCeakO 46oyPne/RXMyP8dzQ06pj8W0X4OINMW3+OU+6jS/KOD5TLpAbh8AAAD//wMAUEsBAi0AFAAGAAgA AAAhAPD3irv9AAAA4gEAABMAAAAAAAAAAAAAAAAAAAAAAFtDb250ZW50X1R5cGVzXS54bWxQSwEC LQAUAAYACAAAACEAMd1fYdIAAACPAQAACwAAAAAAAAAAAAAAAAAuAQAAX3JlbHMvLnJlbHNQSwEC LQAUAAYACAAAACEAMy8FnkEAAAA5AAAAEAAAAAAAAAAAAAAAAAApAgAAZHJzL3NoYXBleG1sLnht bFBLAQItABQABgAIAAAAIQC8MNhi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vt,t</w:t>
                                    </w:r>
                                  </w:p>
                                </w:txbxContent>
                              </v:textbox>
                            </v:rect>
                            <v:rect id="Rectangle 99" o:spid="_x0000_s1110" style="position:absolute;left:2089;top:1117;width:69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3x9+b8A AADcAAAADwAAAGRycy9kb3ducmV2LnhtbERP24rCMBB9F/yHMMK+aWqF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DTfH35vwAAANwAAAAPAAAAAAAAAAAAAAAAAJgCAABkcnMvZG93bnJl di54bWxQSwUGAAAAAAQABAD1AAAAhAMAAAAA " filled="f" stroked="f">
                              <v:textbox style="mso-fit-shape-to-text:t" inset="0,0,0,0">
                                <w:txbxContent>
                                  <w:p>
                                    <w:pPr>
                                      <w:rPr>
                                        <w:szCs w:val="24"/>
                                        <w:lang w:val="en-GB"/>
                                      </w:rPr>
                                    </w:pPr>
                                  </w:p>
                                </w:txbxContent>
                              </v:textbox>
                            </v:rect>
                            <v:rect id="Rectangle 100" o:spid="_x0000_s1111" style="position:absolute;left:927;top:1117;width:113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JXljb8A AADcAAAADwAAAGRycy9kb3ducmV2LnhtbERP24rCMBB9F/yHMMK+aWqR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BcleWNvwAAANwAAAAPAAAAAAAAAAAAAAAAAJgCAABkcnMvZG93bnJl di54bWxQSwUGAAAAAAQABAD1AAAAhAMAAAAA " filled="f" stroked="f">
                              <v:textbox style="mso-fit-shape-to-text:t" inset="0,0,0,0">
                                <w:txbxContent>
                                  <w:p>
                                    <w:pPr>
                                      <w:rPr>
                                        <w:szCs w:val="24"/>
                                        <w:lang w:val="en-GB"/>
                                      </w:rPr>
                                    </w:pPr>
                                    <w:r>
                                      <w:rPr>
                                        <w:i/>
                                        <w:iCs/>
                                        <w:color w:val="000000"/>
                                        <w:sz w:val="14"/>
                                        <w:szCs w:val="14"/>
                                        <w:lang w:val="en-GB"/>
                                      </w:rPr>
                                      <w:t>vt,t</w:t>
                                    </w:r>
                                  </w:p>
                                </w:txbxContent>
                              </v:textbox>
                            </v:rect>
                            <v:rect id="Rectangle 101" o:spid="_x0000_s1112" style="position:absolute;left:7379;top:171;width:1022;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9lAFr8A AADcAAAADwAAAGRycy9kb3ducmV2LnhtbERP24rCMBB9F/yHMMK+aWrBRbpGEUFQ2RfrfsDQTC+Y TEoSbf17s7Cwb3M419nsRmvEk3zoHCtYLjIQxJXTHTcKfm7H+RpEiMgajWNS8KIAu+10ssFCu4Gv 9CxjI1IIhwIVtDH2hZShasliWLieOHG18xZjgr6R2uOQwq2ReZZ9Sosdp4YWezq0VN3Lh1Ugb+Vx WJfGZ+6S19/mfLrW5JT6mI37LxCRxvgv/nOfdJqfr+D3mXSB3L4BAAD//wMAUEsBAi0AFAAGAAgA AAAhAPD3irv9AAAA4gEAABMAAAAAAAAAAAAAAAAAAAAAAFtDb250ZW50X1R5cGVzXS54bWxQSwEC LQAUAAYACAAAACEAMd1fYdIAAACPAQAACwAAAAAAAAAAAAAAAAAuAQAAX3JlbHMvLnJlbHNQSwEC LQAUAAYACAAAACEAMy8FnkEAAAA5AAAAEAAAAAAAAAAAAAAAAAApAgAAZHJzL3NoYXBleG1sLnht bFBLAQItABQABgAIAAAAIQAz2UAWvwAAANwAAAAPAAAAAAAAAAAAAAAAAJgCAABkcnMvZG93bnJl di54bWxQSwUGAAAAAAQABAD1AAAAhAMAAAAA " filled="f" stroked="f">
                              <v:textbox style="mso-fit-shape-to-text:t" inset="0,0,0,0">
                                <w:txbxContent>
                                  <w:p>
                                    <w:pPr>
                                      <w:rPr>
                                        <w:szCs w:val="24"/>
                                        <w:lang w:val="en-GB"/>
                                      </w:rPr>
                                    </w:pPr>
                                    <w:r>
                                      <w:rPr>
                                        <w:i/>
                                        <w:iCs/>
                                        <w:color w:val="000000"/>
                                        <w:szCs w:val="24"/>
                                        <w:lang w:val="en-GB"/>
                                      </w:rPr>
                                      <w:t>K</w:t>
                                    </w:r>
                                  </w:p>
                                </w:txbxContent>
                              </v:textbox>
                            </v:rect>
                            <v:rect id="Rectangle 102" o:spid="_x0000_s1113" style="position:absolute;left:3950;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wveYb4A AADcAAAADwAAAGRycy9kb3ducmV2LnhtbERPzYrCMBC+C75DGGFvmtqDSDWKCIIre7HuAwzN9AeT SUmi7b69EYS9zcf3O9v9aI14kg+dYwXLRQaCuHK640bB7+00X4MIEVmjcUwK/ijAfjedbLHQbuAr PcvYiBTCoUAFbYx9IWWoWrIYFq4nTlztvMWYoG+k9jikcGtknmUrabHj1NBiT8eWqnv5sArkrTwN 69L4zF3y+sd8n681OaW+ZuNhAyLSGP/FH/dZp/n5Ct7PpAvk7gUAAP//AwBQSwECLQAUAAYACAAA ACEA8PeKu/0AAADiAQAAEwAAAAAAAAAAAAAAAAAAAAAAW0NvbnRlbnRfVHlwZXNdLnhtbFBLAQIt ABQABgAIAAAAIQAx3V9h0gAAAI8BAAALAAAAAAAAAAAAAAAAAC4BAABfcmVscy8ucmVsc1BLAQIt ABQABgAIAAAAIQAzLwWeQQAAADkAAAAQAAAAAAAAAAAAAAAAACkCAABkcnMvc2hhcGV4bWwueG1s UEsBAi0AFAAGAAgAAAAhAMML3mG+AAAA3AAAAA8AAAAAAAAAAAAAAAAAmAIAAGRycy9kb3ducmV2 LnhtbFBLBQYAAAAABAAEAPUAAACDAwAAAAA= " filled="f" stroked="f">
                              <v:textbox style="mso-fit-shape-to-text:t" inset="0,0,0,0">
                                <w:txbxContent>
                                  <w:p>
                                    <w:pPr>
                                      <w:rPr>
                                        <w:szCs w:val="24"/>
                                        <w:lang w:val="en-GB"/>
                                      </w:rPr>
                                    </w:pPr>
                                    <w:r>
                                      <w:rPr>
                                        <w:i/>
                                        <w:iCs/>
                                        <w:color w:val="000000"/>
                                        <w:szCs w:val="24"/>
                                        <w:lang w:val="en-GB"/>
                                      </w:rPr>
                                      <w:t>T</w:t>
                                    </w:r>
                                  </w:p>
                                </w:txbxContent>
                              </v:textbox>
                            </v:rect>
                            <v:rect id="Rectangle 103" o:spid="_x0000_s1114" style="position:absolute;left:133;top:171;width:85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Ed7+r8A AADcAAAADwAAAGRycy9kb3ducmV2LnhtbERPzYrCMBC+C75DGGFvmtqDK12jiCCo7MW6DzA00x9M JiWJtr69WVjY23x8v7PZjdaIJ/nQOVawXGQgiCunO24U/NyO8zWIEJE1Gsek4EUBdtvpZIOFdgNf 6VnGRqQQDgUqaGPsCylD1ZLFsHA9ceJq5y3GBH0jtcchhVsj8yxbSYsdp4YWezq0VN3Lh1Ugb+Vx WJfGZ+6S19/mfLrW5JT6mI37LxCRxvgv/nOfdJqff8LvM+kCuX0DAAD//wMAUEsBAi0AFAAGAAgA AAAhAPD3irv9AAAA4gEAABMAAAAAAAAAAAAAAAAAAAAAAFtDb250ZW50X1R5cGVzXS54bWxQSwEC LQAUAAYACAAAACEAMd1fYdIAAACPAQAACwAAAAAAAAAAAAAAAAAuAQAAX3JlbHMvLnJlbHNQSwEC LQAUAAYACAAAACEAMy8FnkEAAAA5AAAAEAAAAAAAAAAAAAAAAAApAgAAZHJzL3NoYXBleG1sLnht bFBLAQItABQABgAIAAAAIQCsR3v6vwAAANwAAAAPAAAAAAAAAAAAAAAAAJgCAABkcnMvZG93bnJl di54bWxQSwUGAAAAAAQABAD1AAAAhAMAAAAA " filled="f" stroked="f">
                              <v:textbox style="mso-fit-shape-to-text:t" inset="0,0,0,0">
                                <w:txbxContent>
                                  <w:p>
                                    <w:pPr>
                                      <w:rPr>
                                        <w:szCs w:val="24"/>
                                        <w:lang w:val="en-GB"/>
                                      </w:rPr>
                                    </w:pPr>
                                    <w:r>
                                      <w:rPr>
                                        <w:i/>
                                        <w:iCs/>
                                        <w:color w:val="000000"/>
                                        <w:szCs w:val="24"/>
                                        <w:lang w:val="en-GB"/>
                                      </w:rPr>
                                      <w:t>T</w:t>
                                    </w:r>
                                  </w:p>
                                </w:txbxContent>
                              </v:textbox>
                            </v:rect>
                            <v:rect id="Rectangle 104" o:spid="_x0000_s1115" style="position:absolute;left:617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3djviMMA AADcAAAADwAAAGRycy9kb3ducmV2LnhtbESPzWrDMBCE74W+g9hCbo1cH0pwo4RSMLillzh5gMVa /1BpZSQ1dt++ewjktsvMzny7P67eqSvFNAU28LItQBF3wU48GLic6+cdqJSRLbrAZOCPEhwPjw97 rGxY+ETXNg9KQjhVaGDMea60Tt1IHtM2zMSi9SF6zLLGQduIi4R7p8uieNUeJ5aGEWf6GKn7aX+9 AX1u62XXuliEr7L/dp/NqadgzOZpfX8DlWnNd/PturGCXwqtPCMT6MM/AAAA//8DAFBLAQItABQA BgAIAAAAIQDw94q7/QAAAOIBAAATAAAAAAAAAAAAAAAAAAAAAABbQ29udGVudF9UeXBlc10ueG1s UEsBAi0AFAAGAAgAAAAhADHdX2HSAAAAjwEAAAsAAAAAAAAAAAAAAAAALgEAAF9yZWxzLy5yZWxz UEsBAi0AFAAGAAgAAAAhADMvBZ5BAAAAOQAAABAAAAAAAAAAAAAAAAAAKQIAAGRycy9zaGFwZXht bC54bWxQSwECLQAUAAYACAAAACEA3djviMMAAADcAAAADwAAAAAAAAAAAAAAAACYAgAAZHJzL2Rv d25yZXYueG1sUEsFBgAAAAAEAAQA9QAAAIgDAAAAAA== " filled="f" stroked="f">
                              <v:textbox style="mso-fit-shape-to-text:t" inset="0,0,0,0">
                                <w:txbxContent>
                                  <w:p>
                                    <w:pPr>
                                      <w:rPr>
                                        <w:szCs w:val="24"/>
                                        <w:lang w:val="en-GB"/>
                                      </w:rPr>
                                    </w:pPr>
                                    <w:r>
                                      <w:rPr>
                                        <w:rFonts w:ascii="Symbol" w:hAnsi="Symbol" w:cs="Symbol"/>
                                        <w:color w:val="000000"/>
                                        <w:szCs w:val="24"/>
                                        <w:lang w:val="en-GB"/>
                                      </w:rPr>
                                      <w:t></w:t>
                                    </w:r>
                                  </w:p>
                                </w:txbxContent>
                              </v:textbox>
                            </v:rect>
                            <v:rect id="Rectangle 105" o:spid="_x0000_s1116" style="position:absolute;left:2806;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pRKE78A AADcAAAADwAAAGRycy9kb3ducmV2LnhtbERPzYrCMBC+C/sOYRa8aWoPi1uNIoKgixerDzA00x9M JiWJtvv2G0HY23x8v7PejtaIJ/nQOVawmGcgiCunO24U3K6H2RJEiMgajWNS8EsBtpuPyRoL7Qa+ 0LOMjUghHApU0MbYF1KGqiWLYe564sTVzluMCfpGao9DCrdG5ln2JS12nBpa7GnfUnUvH1aBvJaH YVkan7mfvD6b0/FSk1Nq+jnuViAijfFf/HYfdZqff8PrmXSB3PwBAAD//wMAUEsBAi0AFAAGAAgA AAAhAPD3irv9AAAA4gEAABMAAAAAAAAAAAAAAAAAAAAAAFtDb250ZW50X1R5cGVzXS54bWxQSwEC LQAUAAYACAAAACEAMd1fYdIAAACPAQAACwAAAAAAAAAAAAAAAAAuAQAAX3JlbHMvLnJlbHNQSwEC LQAUAAYACAAAACEAMy8FnkEAAAA5AAAAEAAAAAAAAAAAAAAAAAApAgAAZHJzL3NoYXBleG1sLnht bFBLAQItABQABgAIAAAAIQCylEoT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GB"/>
                                      </w:rPr>
                                      <w:t></w:t>
                                    </w:r>
                                  </w:p>
                                </w:txbxContent>
                              </v:textbox>
                            </v:rect>
                            <w10:anchorlock/>
                          </v:group>
                        </w:pict>
                      </mc:Fallback>
                    </mc:AlternateContent>
                  </w:r>
                  <w:r>
                    <w:rPr>
                      <w:szCs w:val="24"/>
                    </w:rPr>
                    <w:tab/>
                    <w:t>(59)</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elektros energijos visuomeninio tiekimo paslaugos kainos viršutinė riba </w:t>
                  </w:r>
                  <w:r>
                    <w:rPr>
                      <w:i/>
                      <w:szCs w:val="24"/>
                    </w:rPr>
                    <w:t xml:space="preserve">t </w:t>
                  </w:r>
                  <w:r>
                    <w:rPr>
                      <w:szCs w:val="24"/>
                    </w:rPr>
                    <w:t>metais, EUR/kWh;</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indeksuota elektros energijos visuomeninio tiekimo paslaugos kainos viršutinė riba </w:t>
                  </w:r>
                  <w:r>
                    <w:rPr>
                      <w:i/>
                      <w:szCs w:val="24"/>
                    </w:rPr>
                    <w:t xml:space="preserve">t </w:t>
                  </w:r>
                  <w:r>
                    <w:rPr>
                      <w:szCs w:val="24"/>
                    </w:rPr>
                    <w:t>metais, EUR/kWh;</w:t>
                  </w:r>
                </w:p>
                <w:p>
                  <w:pPr>
                    <w:tabs>
                      <w:tab w:val="left" w:pos="1134"/>
                      <w:tab w:val="left" w:pos="1843"/>
                      <w:tab w:val="left" w:pos="2268"/>
                    </w:tabs>
                    <w:jc w:val="both"/>
                    <w:rPr>
                      <w:szCs w:val="24"/>
                    </w:rPr>
                  </w:pPr>
                  <w:r>
                    <w:rPr>
                      <w:szCs w:val="24"/>
                    </w:rPr>
                    <w:t>K</w:t>
                  </w:r>
                  <w:r>
                    <w:rPr>
                      <w:szCs w:val="24"/>
                      <w:vertAlign w:val="subscript"/>
                    </w:rPr>
                    <w:t>vt,t</w:t>
                  </w:r>
                  <w:r>
                    <w:rPr>
                      <w:szCs w:val="24"/>
                    </w:rPr>
                    <w:t xml:space="preserve"> – korekcijos koeficientas visuomeninio tiekimo paslaugos kainos viršutinei ribai </w:t>
                  </w:r>
                  <w:r>
                    <w:rPr>
                      <w:i/>
                      <w:szCs w:val="24"/>
                    </w:rPr>
                    <w:t xml:space="preserve">t </w:t>
                  </w:r>
                  <w:r>
                    <w:rPr>
                      <w:szCs w:val="24"/>
                    </w:rPr>
                    <w:t>metais, EUR/kWh.</w:t>
                  </w:r>
                </w:p>
              </w:sdtContent>
            </w:sdt>
            <w:sdt>
              <w:sdtPr>
                <w:alias w:val="100 p."/>
                <w:tag w:val="part_581679bca66547fd94e946b5bb47ae0a"/>
                <w:lock w:val="sdtLocked"/>
                <w:richText/>
              </w:sdtPr>
              <w:sdtContent>
                <w:p>
                  <w:pPr>
                    <w:tabs>
                      <w:tab w:val="left" w:pos="1260"/>
                      <w:tab w:val="left" w:pos="1843"/>
                      <w:tab w:val="left" w:pos="2268"/>
                    </w:tabs>
                    <w:ind w:firstLine="720"/>
                    <w:jc w:val="both"/>
                    <w:rPr>
                      <w:szCs w:val="24"/>
                    </w:rPr>
                  </w:pPr>
                  <w:sdt>
                    <w:sdtPr>
                      <w:alias w:val="Numeris"/>
                      <w:tag w:val="nr_581679bca66547fd94e946b5bb47ae0a"/>
                      <w:lock w:val="sdtLocked"/>
                      <w:richText/>
                    </w:sdtPr>
                    <w:sdtContent>
                      <w:r>
                        <w:rPr>
                          <w:szCs w:val="24"/>
                        </w:rPr>
                        <w:t>100</w:t>
                      </w:r>
                    </w:sdtContent>
                  </w:sdt>
                  <w:r>
                    <w:rPr>
                      <w:szCs w:val="24"/>
                    </w:rPr>
                    <w:t xml:space="preserve">. Elektros energijos visuomeninio tiekimo paslaugos kainos viršutinė riba, koreguota nenumatytų pasikeitimų, infliacijos ir efektyvumo koeficientais, </w:t>
                  </w:r>
                  <w:r>
                    <w:rPr>
                      <w:i/>
                      <w:szCs w:val="24"/>
                    </w:rPr>
                    <w:t xml:space="preserve">t </w:t>
                  </w:r>
                  <w:r>
                    <w:rPr>
                      <w:szCs w:val="24"/>
                    </w:rPr>
                    <w:t>metais apskaičiuojama pagal formulę:</w:t>
                  </w:r>
                </w:p>
                <w:p>
                  <w:pPr>
                    <w:tabs>
                      <w:tab w:val="left" w:pos="1134"/>
                      <w:tab w:val="left" w:pos="1843"/>
                      <w:tab w:val="left" w:pos="2268"/>
                    </w:tabs>
                    <w:jc w:val="both"/>
                    <w:rPr>
                      <w:szCs w:val="24"/>
                    </w:rPr>
                  </w:pPr>
                </w:p>
                <w:p>
                  <w:pPr>
                    <w:tabs>
                      <w:tab w:val="left" w:pos="9214"/>
                    </w:tabs>
                    <w:ind w:firstLine="9214"/>
                    <w:jc w:val="both"/>
                    <w:rPr>
                      <w:szCs w:val="24"/>
                    </w:rPr>
                  </w:pPr>
                  <w:r>
                    <w:rPr>
                      <w:szCs w:val="24"/>
                    </w:rPr>
                    <w:t xml:space="preserve">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vtp</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IK</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lang w:val="en-US"/>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oMath>
                  <w:r>
                    <w:rPr>
                      <w:szCs w:val="24"/>
                      <w:lang w:val="en-US"/>
                    </w:rPr>
                    <w:tab/>
                  </w:r>
                  <w:r>
                    <w:rPr>
                      <w:szCs w:val="24"/>
                    </w:rPr>
                    <w:t>(60)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T</w:t>
                  </w:r>
                  <w:r>
                    <w:rPr>
                      <w:szCs w:val="24"/>
                      <w:vertAlign w:val="subscript"/>
                    </w:rPr>
                    <w:t>vt,t</w:t>
                  </w:r>
                  <w:r>
                    <w:rPr>
                      <w:szCs w:val="24"/>
                    </w:rPr>
                    <w:t xml:space="preserve"> – indeksuota visuomeninio tiekimo paslaugos kainos viršutinė riba, euro ct/kWh;</w:t>
                  </w:r>
                </w:p>
                <w:p>
                  <w:pPr>
                    <w:tabs>
                      <w:tab w:val="left" w:pos="1134"/>
                      <w:tab w:val="left" w:pos="1843"/>
                      <w:tab w:val="left" w:pos="2268"/>
                    </w:tabs>
                    <w:jc w:val="both"/>
                    <w:rPr>
                      <w:szCs w:val="24"/>
                    </w:rPr>
                  </w:pPr>
                  <w:r>
                    <w:rPr>
                      <w:szCs w:val="24"/>
                    </w:rPr>
                    <w:t>P</w:t>
                  </w:r>
                  <w:r>
                    <w:rPr>
                      <w:szCs w:val="24"/>
                      <w:vertAlign w:val="subscript"/>
                    </w:rPr>
                    <w:t>vtp</w:t>
                  </w:r>
                  <w:r>
                    <w:rPr>
                      <w:szCs w:val="24"/>
                    </w:rPr>
                    <w:t xml:space="preserve"> – pradinis planuojamų elektros energijos visuomeninio tiekimo paslaugų pajamų lygis, EUR;</w:t>
                  </w:r>
                </w:p>
                <w:p>
                  <w:pPr>
                    <w:tabs>
                      <w:tab w:val="left" w:pos="1134"/>
                      <w:tab w:val="left" w:pos="1843"/>
                      <w:tab w:val="left" w:pos="2268"/>
                    </w:tabs>
                    <w:jc w:val="both"/>
                    <w:rPr>
                      <w:szCs w:val="24"/>
                    </w:rPr>
                  </w:pPr>
                  <w:r>
                    <w:rPr>
                      <w:szCs w:val="24"/>
                    </w:rPr>
                    <w:t>NK</w:t>
                  </w:r>
                  <w:r>
                    <w:rPr>
                      <w:szCs w:val="24"/>
                      <w:vertAlign w:val="subscript"/>
                    </w:rPr>
                    <w:t>vt,t</w:t>
                  </w:r>
                  <w:r>
                    <w:rPr>
                      <w:szCs w:val="24"/>
                    </w:rPr>
                    <w:t xml:space="preserve"> – nenumatytų pasikeitimų koeficientas visuomeninio tiekimo paslaugos kainos viršutinei ribai </w:t>
                  </w:r>
                  <w:r>
                    <w:rPr>
                      <w:i/>
                      <w:szCs w:val="24"/>
                    </w:rPr>
                    <w:t xml:space="preserve">t </w:t>
                  </w:r>
                  <w:r>
                    <w:rPr>
                      <w:szCs w:val="24"/>
                    </w:rPr>
                    <w:t>metais;</w:t>
                  </w:r>
                </w:p>
                <w:p>
                  <w:pPr>
                    <w:tabs>
                      <w:tab w:val="left" w:pos="1134"/>
                      <w:tab w:val="left" w:pos="1843"/>
                      <w:tab w:val="left" w:pos="2268"/>
                    </w:tabs>
                    <w:jc w:val="both"/>
                    <w:rPr>
                      <w:szCs w:val="24"/>
                    </w:rPr>
                  </w:pPr>
                  <w:r>
                    <w:rPr>
                      <w:szCs w:val="24"/>
                    </w:rPr>
                    <w:t>IK</w:t>
                  </w:r>
                  <w:r>
                    <w:rPr>
                      <w:szCs w:val="24"/>
                      <w:vertAlign w:val="subscript"/>
                    </w:rPr>
                    <w:t>vt,t</w:t>
                  </w:r>
                  <w:r>
                    <w:rPr>
                      <w:szCs w:val="24"/>
                    </w:rPr>
                    <w:t xml:space="preserve"> – indeksavimo koeficientas visuomeninio tiekimo paslaugos kainos viršutinei ribai </w:t>
                  </w:r>
                  <w:r>
                    <w:rPr>
                      <w:i/>
                      <w:szCs w:val="24"/>
                    </w:rPr>
                    <w:t xml:space="preserve">t </w:t>
                  </w:r>
                  <w:r>
                    <w:rPr>
                      <w:szCs w:val="24"/>
                    </w:rPr>
                    <w:t>metais;</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sdtContent>
            </w:sdt>
            <w:sdt>
              <w:sdtPr>
                <w:alias w:val="101 p."/>
                <w:tag w:val="part_7383b381fb604543ab944c7989cec278"/>
                <w:lock w:val="sdtLocked"/>
                <w:richText/>
              </w:sdtPr>
              <w:sdtContent>
                <w:p>
                  <w:pPr>
                    <w:tabs>
                      <w:tab w:val="left" w:pos="1260"/>
                      <w:tab w:val="left" w:pos="1843"/>
                      <w:tab w:val="left" w:pos="2268"/>
                    </w:tabs>
                    <w:ind w:firstLine="720"/>
                    <w:jc w:val="both"/>
                    <w:rPr>
                      <w:szCs w:val="24"/>
                    </w:rPr>
                  </w:pPr>
                  <w:sdt>
                    <w:sdtPr>
                      <w:alias w:val="Numeris"/>
                      <w:tag w:val="nr_7383b381fb604543ab944c7989cec278"/>
                      <w:lock w:val="sdtLocked"/>
                      <w:richText/>
                    </w:sdtPr>
                    <w:sdtContent>
                      <w:r>
                        <w:rPr>
                          <w:szCs w:val="24"/>
                        </w:rPr>
                        <w:t>101</w:t>
                      </w:r>
                    </w:sdtContent>
                  </w:sdt>
                  <w:r>
                    <w:rPr>
                      <w:szCs w:val="24"/>
                    </w:rPr>
                    <w:t>. Pradinis planuojamų elektros energijos visuomeninio tiekimo paslaugų pajamų lygis apskaičiuojamas pagal formulę:</w:t>
                  </w:r>
                </w:p>
                <w:p>
                  <w:pPr>
                    <w:tabs>
                      <w:tab w:val="left" w:pos="1134"/>
                      <w:tab w:val="left" w:pos="1843"/>
                      <w:tab w:val="left" w:pos="2268"/>
                    </w:tabs>
                    <w:jc w:val="both"/>
                    <w:rPr>
                      <w:szCs w:val="24"/>
                    </w:rPr>
                  </w:pPr>
                </w:p>
                <w:p>
                  <w:pPr>
                    <w:tabs>
                      <w:tab w:val="left" w:pos="9214"/>
                    </w:tabs>
                    <w:jc w:val="both"/>
                    <w:rPr>
                      <w:szCs w:val="24"/>
                    </w:rPr>
                  </w:pPr>
                  <w:r>
                    <w:rPr>
                      <w:szCs w:val="24"/>
                      <w:lang w:eastAsia="lt-LT"/>
                    </w:rPr>
                    <w:drawing>
                      <wp:inline distT="0" distB="0" distL="0" distR="0">
                        <wp:extent cx="1266825" cy="457200"/>
                        <wp:effectExtent l="0" t="0" r="0" b="0"/>
                        <wp:docPr id="41" name="Paveikslėlis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66825" cy="457200"/>
                                </a:xfrm>
                                <a:prstGeom prst="rect">
                                  <a:avLst/>
                                </a:prstGeom>
                                <a:noFill/>
                              </pic:spPr>
                            </pic:pic>
                          </a:graphicData>
                        </a:graphic>
                      </wp:inline>
                    </w:drawing>
                  </w:r>
                  <w:r>
                    <w:rPr>
                      <w:szCs w:val="24"/>
                    </w:rPr>
                    <w:tab/>
                    <w:t>(61)</w:t>
                  </w:r>
                </w:p>
                <w:p>
                  <w:pPr>
                    <w:tabs>
                      <w:tab w:val="left" w:pos="9214"/>
                    </w:tabs>
                    <w:jc w:val="both"/>
                    <w:rPr>
                      <w:szCs w:val="24"/>
                    </w:rPr>
                  </w:pPr>
                </w:p>
                <w:p>
                  <w:pPr>
                    <w:widowControl w:val="0"/>
                    <w:tabs>
                      <w:tab w:val="left" w:pos="1134"/>
                      <w:tab w:val="left" w:pos="1843"/>
                      <w:tab w:val="left" w:pos="2268"/>
                    </w:tabs>
                    <w:jc w:val="both"/>
                    <w:rPr>
                      <w:i/>
                      <w:szCs w:val="24"/>
                      <w:lang w:eastAsia="lt-LT"/>
                    </w:rPr>
                  </w:pPr>
                  <w:r>
                    <w:rPr>
                      <w:i/>
                      <w:szCs w:val="24"/>
                      <w:lang w:eastAsia="lt-LT"/>
                    </w:rPr>
                    <w:t>čia:</w:t>
                  </w:r>
                </w:p>
                <w:p>
                  <w:pPr>
                    <w:widowControl w:val="0"/>
                    <w:tabs>
                      <w:tab w:val="left" w:pos="1134"/>
                      <w:tab w:val="left" w:pos="1843"/>
                      <w:tab w:val="left" w:pos="2268"/>
                    </w:tabs>
                    <w:jc w:val="both"/>
                    <w:rPr>
                      <w:szCs w:val="24"/>
                      <w:lang w:eastAsia="lt-LT"/>
                    </w:rPr>
                  </w:pPr>
                  <w:r>
                    <w:rPr>
                      <w:iCs/>
                      <w:szCs w:val="24"/>
                      <w:lang w:eastAsia="lt-LT"/>
                    </w:rPr>
                    <w:t>P</w:t>
                  </w:r>
                  <w:r>
                    <w:rPr>
                      <w:iCs/>
                      <w:szCs w:val="24"/>
                      <w:vertAlign w:val="subscript"/>
                      <w:lang w:eastAsia="lt-LT"/>
                    </w:rPr>
                    <w:t>vtp</w:t>
                  </w:r>
                  <w:r>
                    <w:rPr>
                      <w:iCs/>
                      <w:szCs w:val="24"/>
                      <w:lang w:eastAsia="lt-LT"/>
                    </w:rPr>
                    <w:t xml:space="preserve"> </w:t>
                  </w:r>
                  <w:r>
                    <w:rPr>
                      <w:szCs w:val="24"/>
                      <w:lang w:eastAsia="lt-LT"/>
                    </w:rPr>
                    <w:t>– pradinis planuojamų elektros energijos visuomeninio tiekimo paslaugų pajamų lygis, EUR;</w:t>
                  </w:r>
                </w:p>
                <w:p>
                  <w:pPr>
                    <w:widowControl w:val="0"/>
                    <w:tabs>
                      <w:tab w:val="left" w:pos="1134"/>
                      <w:tab w:val="left" w:pos="1843"/>
                      <w:tab w:val="left" w:pos="2268"/>
                    </w:tabs>
                    <w:jc w:val="both"/>
                    <w:rPr>
                      <w:szCs w:val="24"/>
                      <w:lang w:eastAsia="lt-LT"/>
                    </w:rPr>
                  </w:pPr>
                  <w:r>
                    <w:rPr>
                      <w:iCs/>
                      <w:szCs w:val="24"/>
                      <w:lang w:eastAsia="lt-LT"/>
                    </w:rPr>
                    <w:t>P</w:t>
                  </w:r>
                  <w:r>
                    <w:rPr>
                      <w:iCs/>
                      <w:szCs w:val="24"/>
                      <w:vertAlign w:val="subscript"/>
                      <w:lang w:eastAsia="lt-LT"/>
                    </w:rPr>
                    <w:t>vt,t</w:t>
                  </w:r>
                  <w:r>
                    <w:rPr>
                      <w:iCs/>
                      <w:szCs w:val="24"/>
                      <w:lang w:eastAsia="lt-LT"/>
                    </w:rPr>
                    <w:t xml:space="preserve"> </w:t>
                  </w:r>
                  <w:r>
                    <w:rPr>
                      <w:szCs w:val="24"/>
                      <w:lang w:eastAsia="lt-LT"/>
                    </w:rPr>
                    <w:t xml:space="preserve">– planuojamos elektros energijos visuomeninio tiekimo paslaugų pajamos </w:t>
                  </w:r>
                  <w:r>
                    <w:rPr>
                      <w:i/>
                      <w:szCs w:val="24"/>
                      <w:lang w:eastAsia="lt-LT"/>
                    </w:rPr>
                    <w:t xml:space="preserve">t </w:t>
                  </w:r>
                  <w:r>
                    <w:rPr>
                      <w:szCs w:val="24"/>
                      <w:lang w:eastAsia="lt-LT"/>
                    </w:rPr>
                    <w:t>metais, EUR. Čia infliacija neįvertinama ir minusuojamos prognozuojamos pajamos, gaunamos iš vartotojų pagal atskirus Įmonės nustatytus paslaugų įkainius, susijusius su elektros energijos tiekimu;</w:t>
                  </w:r>
                </w:p>
                <w:p>
                  <w:pPr>
                    <w:widowControl w:val="0"/>
                    <w:tabs>
                      <w:tab w:val="left" w:pos="1134"/>
                      <w:tab w:val="left" w:pos="1843"/>
                      <w:tab w:val="left" w:pos="2268"/>
                    </w:tabs>
                    <w:jc w:val="both"/>
                    <w:rPr>
                      <w:szCs w:val="24"/>
                      <w:lang w:eastAsia="lt-LT"/>
                    </w:rPr>
                  </w:pPr>
                  <w:r>
                    <w:rPr>
                      <w:i/>
                      <w:szCs w:val="24"/>
                      <w:lang w:eastAsia="lt-LT"/>
                    </w:rPr>
                    <w:t>T</w:t>
                  </w:r>
                  <w:r>
                    <w:rPr>
                      <w:szCs w:val="24"/>
                      <w:lang w:eastAsia="lt-LT"/>
                    </w:rPr>
                    <w:t xml:space="preserve"> – viršutinės kainų ribos taikymo trukmė (reguliavimo periodo metų skaičius);</w:t>
                  </w:r>
                </w:p>
                <w:p>
                  <w:pPr>
                    <w:tabs>
                      <w:tab w:val="left" w:pos="1134"/>
                      <w:tab w:val="left" w:pos="1843"/>
                      <w:tab w:val="left" w:pos="2268"/>
                    </w:tabs>
                    <w:jc w:val="both"/>
                    <w:rPr>
                      <w:szCs w:val="24"/>
                    </w:rPr>
                  </w:pPr>
                  <w:r>
                    <w:rPr>
                      <w:i/>
                      <w:iCs/>
                      <w:szCs w:val="24"/>
                    </w:rPr>
                    <w:t>t</w:t>
                  </w:r>
                  <w:r>
                    <w:rPr>
                      <w:szCs w:val="24"/>
                    </w:rPr>
                    <w:t xml:space="preserve"> – metų eilės numeris.</w:t>
                  </w:r>
                </w:p>
              </w:sdtContent>
            </w:sdt>
            <w:sdt>
              <w:sdtPr>
                <w:alias w:val="102 p."/>
                <w:tag w:val="part_57ac2687aa4643ce9d702a56d58186d7"/>
                <w:lock w:val="sdtLocked"/>
                <w:richText/>
              </w:sdtPr>
              <w:sdtContent>
                <w:p>
                  <w:pPr>
                    <w:tabs>
                      <w:tab w:val="left" w:pos="1260"/>
                      <w:tab w:val="left" w:pos="1843"/>
                      <w:tab w:val="left" w:pos="2268"/>
                    </w:tabs>
                    <w:suppressAutoHyphens/>
                    <w:ind w:firstLine="720"/>
                    <w:jc w:val="both"/>
                    <w:rPr>
                      <w:szCs w:val="24"/>
                    </w:rPr>
                  </w:pPr>
                  <w:sdt>
                    <w:sdtPr>
                      <w:alias w:val="Numeris"/>
                      <w:tag w:val="nr_57ac2687aa4643ce9d702a56d58186d7"/>
                      <w:lock w:val="sdtLocked"/>
                      <w:richText/>
                    </w:sdtPr>
                    <w:sdtContent>
                      <w:r>
                        <w:rPr>
                          <w:szCs w:val="24"/>
                        </w:rPr>
                        <w:t>102</w:t>
                      </w:r>
                    </w:sdtContent>
                  </w:sdt>
                  <w:r>
                    <w:rPr>
                      <w:szCs w:val="24"/>
                    </w:rPr>
                    <w:t xml:space="preserve">. Nenumatytų pasikeitimų koeficientas, kurio koregavimo kriterijai nustatyti Metodikos 33 punkte, įvertinantis valstybės reguliuojamų išorinių veiksnių pokyčių poveikį, </w:t>
                  </w:r>
                  <w:r>
                    <w:rPr>
                      <w:i/>
                      <w:szCs w:val="24"/>
                    </w:rPr>
                    <w:t xml:space="preserve">t </w:t>
                  </w:r>
                  <w:r>
                    <w:rPr>
                      <w:szCs w:val="24"/>
                    </w:rPr>
                    <w:t>metais apskaičiuojamas pagal formulę:</w:t>
                  </w:r>
                </w:p>
                <w:p>
                  <w:pPr>
                    <w:tabs>
                      <w:tab w:val="left" w:pos="1260"/>
                      <w:tab w:val="left" w:pos="1843"/>
                      <w:tab w:val="left" w:pos="2268"/>
                    </w:tabs>
                    <w:suppressAutoHyphens/>
                    <w:jc w:val="both"/>
                    <w:rPr>
                      <w:szCs w:val="24"/>
                    </w:rPr>
                  </w:pPr>
                </w:p>
                <w:p>
                  <w:pPr>
                    <w:tabs>
                      <w:tab w:val="center" w:pos="9360"/>
                    </w:tabs>
                    <w:jc w:val="both"/>
                    <w:rPr>
                      <w:szCs w:val="24"/>
                    </w:rPr>
                  </w:pPr>
                  <m:oMath>
                    <m:sSub>
                      <m:sSubPr>
                        <m:ctrlPr>
                          <w:rPr>
                            <w:rFonts w:ascii="Cambria Math" w:hAnsi="Cambria Math"/>
                            <w:i/>
                          </w:rPr>
                        </m:ctrlPr>
                      </m:sSubPr>
                      <m:e>
                        <m:r>
                          <w:rPr>
                            <w:rFonts w:ascii="Cambria Math" w:hAnsi="Cambria Math"/>
                          </w:rPr>
                          <m:t>NK</m:t>
                        </m:r>
                      </m:e>
                      <m:sub>
                        <m:d>
                          <m:dPr>
                            <m:ctrlPr>
                              <w:rPr>
                                <w:rFonts w:ascii="Cambria Math" w:hAnsi="Cambria Math"/>
                                <w:i/>
                              </w:rPr>
                            </m:ctrlPr>
                          </m:dPr>
                          <m:e>
                            <m:r>
                              <w:rPr>
                                <w:rFonts w:ascii="Cambria Math" w:hAnsi="Cambria Math"/>
                              </w:rPr>
                              <m:t>vt</m:t>
                            </m:r>
                          </m:e>
                        </m:d>
                        <m:r>
                          <w:rPr>
                            <w:rFonts w:ascii="Cambria Math" w:hAnsi="Cambria Math"/>
                          </w:rPr>
                          <m:t>t</m:t>
                        </m:r>
                      </m:sub>
                    </m:sSub>
                    <m:r>
                      <w:rPr>
                        <w:rFonts w:ascii="Cambria Math" w:hAnsi="Cambria Math"/>
                      </w:rPr>
                      <m:t>=1+</m:t>
                    </m:r>
                    <m:nary>
                      <m:naryPr>
                        <m:chr m:val="∑"/>
                        <m:limLoc m:val="undOvr"/>
                        <m:ctrlPr>
                          <w:rPr>
                            <w:rFonts w:ascii="Cambria Math" w:hAnsi="Cambria Math"/>
                            <w:i/>
                          </w:rPr>
                        </m:ctrlPr>
                      </m:naryPr>
                      <m:sub>
                        <m:r>
                          <w:rPr>
                            <w:rFonts w:ascii="Cambria Math" w:hAnsi="Cambria Math"/>
                          </w:rPr>
                          <m:t>m</m:t>
                        </m:r>
                        <m:r>
                          <w:rPr>
                            <w:rFonts w:ascii="Cambria Math" w:hAnsi="Cambria Math"/>
                          </w:rPr>
                          <m:t>=1</m:t>
                        </m:r>
                      </m:sub>
                      <m:sup>
                        <m:r>
                          <w:rPr>
                            <w:rFonts w:ascii="Cambria Math" w:hAnsi="Cambria Math"/>
                          </w:rPr>
                          <m:t>l</m:t>
                        </m:r>
                      </m:sup>
                      <m:e>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m:t>
                                    </m:r>
                                    <m:r>
                                      <w:rPr>
                                        <w:rFonts w:ascii="Cambria Math" w:hAnsi="Cambria Math"/>
                                      </w:rPr>
                                      <m:t>vt</m:t>
                                    </m:r>
                                    <m:r>
                                      <w:rPr>
                                        <w:rFonts w:ascii="Cambria Math" w:hAnsi="Cambria Math"/>
                                      </w:rPr>
                                      <m:t>)</m:t>
                                    </m:r>
                                    <m:r>
                                      <w:rPr>
                                        <w:rFonts w:ascii="Cambria Math" w:hAnsi="Cambria Math"/>
                                      </w:rPr>
                                      <m:t>tm</m:t>
                                    </m:r>
                                    <m:r>
                                      <w:rPr>
                                        <w:rFonts w:ascii="Cambria Math" w:hAnsi="Cambria Math"/>
                                      </w:rPr>
                                      <m:t>-</m:t>
                                    </m:r>
                                  </m:sub>
                                </m:sSub>
                                <m:sSub>
                                  <m:sSubPr>
                                    <m:ctrlPr>
                                      <w:rPr>
                                        <w:rFonts w:ascii="Cambria Math" w:hAnsi="Cambria Math"/>
                                        <w:i/>
                                      </w:rPr>
                                    </m:ctrlPr>
                                  </m:sSubPr>
                                  <m:e>
                                    <m:r>
                                      <w:rPr>
                                        <w:rFonts w:ascii="Cambria Math" w:hAnsi="Cambria Math"/>
                                      </w:rPr>
                                      <m:t>S</m:t>
                                    </m:r>
                                  </m:e>
                                  <m:sub>
                                    <m:d>
                                      <m:dPr>
                                        <m:ctrlPr>
                                          <w:rPr>
                                            <w:rFonts w:ascii="Cambria Math" w:hAnsi="Cambria Math"/>
                                            <w:i/>
                                          </w:rPr>
                                        </m:ctrlPr>
                                      </m:dPr>
                                      <m:e>
                                        <m:r>
                                          <w:rPr>
                                            <w:rFonts w:ascii="Cambria Math" w:hAnsi="Cambria Math"/>
                                          </w:rPr>
                                          <m:t>vt</m:t>
                                        </m:r>
                                      </m:e>
                                    </m:d>
                                    <m:r>
                                      <w:rPr>
                                        <w:rFonts w:ascii="Cambria Math" w:hAnsi="Cambria Math"/>
                                      </w:rPr>
                                      <m:t>t</m:t>
                                    </m:r>
                                    <m:r>
                                      <w:rPr>
                                        <w:rFonts w:ascii="Cambria Math" w:hAnsi="Cambria Math"/>
                                      </w:rPr>
                                      <m:t>-</m:t>
                                    </m:r>
                                    <m:r>
                                      <w:rPr>
                                        <w:rFonts w:ascii="Cambria Math" w:hAnsi="Cambria Math"/>
                                      </w:rPr>
                                      <m:t>2</m:t>
                                    </m:r>
                                    <m:r>
                                      <w:rPr>
                                        <w:rFonts w:ascii="Cambria Math" w:hAnsi="Cambria Math"/>
                                      </w:rPr>
                                      <m:t>m</m:t>
                                    </m:r>
                                  </m:sub>
                                </m:sSub>
                                <m:r>
                                  <w:rPr>
                                    <w:rFonts w:ascii="Cambria Math" w:hAnsi="Cambria Math"/>
                                  </w:rPr>
                                  <m:t>)</m:t>
                                </m:r>
                              </m:e>
                              <m:sub/>
                            </m:sSub>
                          </m:num>
                          <m:den>
                            <m:sSub>
                              <m:sSubPr>
                                <m:ctrlPr>
                                  <w:rPr>
                                    <w:rFonts w:ascii="Cambria Math" w:hAnsi="Cambria Math"/>
                                    <w:i/>
                                  </w:rPr>
                                </m:ctrlPr>
                              </m:sSubPr>
                              <m:e>
                                <m:r>
                                  <w:rPr>
                                    <w:rFonts w:ascii="Cambria Math" w:hAnsi="Cambria Math"/>
                                  </w:rPr>
                                  <m:t>P</m:t>
                                </m:r>
                              </m:e>
                              <m:sub>
                                <m:d>
                                  <m:dPr>
                                    <m:ctrlPr>
                                      <w:rPr>
                                        <w:rFonts w:ascii="Cambria Math" w:hAnsi="Cambria Math"/>
                                        <w:i/>
                                      </w:rPr>
                                    </m:ctrlPr>
                                  </m:dPr>
                                  <m:e>
                                    <m:r>
                                      <w:rPr>
                                        <w:rFonts w:ascii="Cambria Math" w:hAnsi="Cambria Math"/>
                                      </w:rPr>
                                      <m:t>vt</m:t>
                                    </m:r>
                                  </m:e>
                                </m:d>
                                <m:r>
                                  <w:rPr>
                                    <w:rFonts w:ascii="Cambria Math" w:hAnsi="Cambria Math"/>
                                  </w:rPr>
                                  <m:t>p</m:t>
                                </m:r>
                              </m:sub>
                            </m:sSub>
                          </m:den>
                        </m:f>
                      </m:e>
                    </m:nary>
                  </m:oMath>
                  <w:r>
                    <w:rPr>
                      <w:szCs w:val="24"/>
                    </w:rPr>
                    <w:tab/>
                    <w:t>(62)</w:t>
                  </w:r>
                </w:p>
                <w:p>
                  <w:pPr>
                    <w:tabs>
                      <w:tab w:val="left" w:pos="1134"/>
                      <w:tab w:val="left" w:pos="1843"/>
                      <w:tab w:val="left" w:pos="2268"/>
                      <w:tab w:val="left" w:pos="7240"/>
                    </w:tabs>
                    <w:suppressAutoHyphens/>
                    <w:jc w:val="both"/>
                    <w:rPr>
                      <w:szCs w:val="24"/>
                    </w:rPr>
                  </w:pPr>
                </w:p>
                <w:p>
                  <w:pPr>
                    <w:tabs>
                      <w:tab w:val="left" w:pos="1134"/>
                      <w:tab w:val="left" w:pos="1843"/>
                      <w:tab w:val="left" w:pos="2268"/>
                      <w:tab w:val="left" w:pos="7240"/>
                    </w:tabs>
                    <w:suppressAutoHyphens/>
                    <w:jc w:val="both"/>
                    <w:rPr>
                      <w:i/>
                      <w:szCs w:val="24"/>
                    </w:rPr>
                  </w:pPr>
                  <w:r>
                    <w:rPr>
                      <w:i/>
                      <w:szCs w:val="24"/>
                    </w:rPr>
                    <w:t>čia:</w:t>
                  </w:r>
                </w:p>
                <w:p>
                  <w:pPr>
                    <w:tabs>
                      <w:tab w:val="left" w:pos="1134"/>
                      <w:tab w:val="left" w:pos="1843"/>
                      <w:tab w:val="left" w:pos="2268"/>
                      <w:tab w:val="left" w:pos="7240"/>
                    </w:tabs>
                    <w:suppressAutoHyphens/>
                    <w:jc w:val="both"/>
                    <w:rPr>
                      <w:szCs w:val="24"/>
                    </w:rPr>
                  </w:pPr>
                  <w:r>
                    <w:rPr>
                      <w:i/>
                      <w:iCs/>
                      <w:szCs w:val="24"/>
                    </w:rPr>
                    <w:t>s</w:t>
                  </w:r>
                  <w:r>
                    <w:rPr>
                      <w:i/>
                      <w:iCs/>
                      <w:szCs w:val="24"/>
                      <w:vertAlign w:val="subscript"/>
                    </w:rPr>
                    <w:t>vt</w:t>
                  </w:r>
                  <w:r>
                    <w:rPr>
                      <w:szCs w:val="24"/>
                      <w:vertAlign w:val="subscript"/>
                    </w:rPr>
                    <w:t>(</w:t>
                  </w:r>
                  <w:r>
                    <w:rPr>
                      <w:i/>
                      <w:iCs/>
                      <w:szCs w:val="24"/>
                      <w:vertAlign w:val="subscript"/>
                    </w:rPr>
                    <w:t>t, t</w:t>
                  </w:r>
                  <w:r>
                    <w:rPr>
                      <w:szCs w:val="24"/>
                      <w:vertAlign w:val="subscript"/>
                    </w:rPr>
                    <w:t>-2)</w:t>
                  </w:r>
                  <w:r>
                    <w:rPr>
                      <w:i/>
                      <w:iCs/>
                      <w:szCs w:val="24"/>
                      <w:vertAlign w:val="subscript"/>
                    </w:rPr>
                    <w:t>m</w:t>
                  </w:r>
                  <w:r>
                    <w:rPr>
                      <w:szCs w:val="24"/>
                    </w:rPr>
                    <w:t xml:space="preserve"> – elektros energijos visuomeninio tiekimo paslaugos kaštų rūšis, kurią lemia nenumatyti pasikeitimai nurodyti Metodikos 33 punkte </w:t>
                  </w:r>
                  <w:r>
                    <w:rPr>
                      <w:i/>
                      <w:szCs w:val="24"/>
                    </w:rPr>
                    <w:t xml:space="preserve">t </w:t>
                  </w:r>
                  <w:r>
                    <w:rPr>
                      <w:szCs w:val="24"/>
                    </w:rPr>
                    <w:t xml:space="preserve">metais arba </w:t>
                  </w:r>
                  <w:r>
                    <w:rPr>
                      <w:i/>
                      <w:szCs w:val="24"/>
                    </w:rPr>
                    <w:t xml:space="preserve">t-2 </w:t>
                  </w:r>
                  <w:r>
                    <w:rPr>
                      <w:szCs w:val="24"/>
                    </w:rPr>
                    <w:t xml:space="preserve">metais, </w:t>
                  </w:r>
                  <w:r>
                    <w:rPr>
                      <w:szCs w:val="24"/>
                      <w:lang w:eastAsia="lt-LT"/>
                    </w:rPr>
                    <w:t>EUR</w:t>
                  </w:r>
                  <w:r>
                    <w:rPr>
                      <w:szCs w:val="24"/>
                    </w:rPr>
                    <w:t xml:space="preserve">. Esant konkrečiam šių kaštų rūšies tęstinumui, </w:t>
                  </w:r>
                  <w:r>
                    <w:rPr>
                      <w:i/>
                      <w:szCs w:val="24"/>
                    </w:rPr>
                    <w:t xml:space="preserve">t </w:t>
                  </w:r>
                  <w:r>
                    <w:rPr>
                      <w:szCs w:val="24"/>
                    </w:rPr>
                    <w:t>metais įvertinti kaštai įskaičiuojami ir kitais metais;</w:t>
                  </w:r>
                </w:p>
                <w:p>
                  <w:pPr>
                    <w:tabs>
                      <w:tab w:val="left" w:pos="1080"/>
                      <w:tab w:val="left" w:pos="1134"/>
                      <w:tab w:val="left" w:pos="1843"/>
                      <w:tab w:val="left" w:pos="2268"/>
                    </w:tabs>
                    <w:jc w:val="both"/>
                    <w:rPr>
                      <w:szCs w:val="24"/>
                    </w:rPr>
                  </w:pPr>
                  <w:r>
                    <w:rPr>
                      <w:szCs w:val="24"/>
                    </w:rPr>
                    <w:t>P</w:t>
                  </w:r>
                  <w:r>
                    <w:rPr>
                      <w:szCs w:val="24"/>
                      <w:vertAlign w:val="subscript"/>
                    </w:rPr>
                    <w:t>(vt)p</w:t>
                  </w:r>
                  <w:r>
                    <w:rPr>
                      <w:szCs w:val="24"/>
                    </w:rPr>
                    <w:t xml:space="preserve"> – pradinis planuojamų visuomeninio tiekimo veiklos pajamų lygis atitinkamai, EUR;</w:t>
                  </w:r>
                </w:p>
                <w:p>
                  <w:pPr>
                    <w:tabs>
                      <w:tab w:val="left" w:pos="1134"/>
                      <w:tab w:val="left" w:pos="1843"/>
                      <w:tab w:val="left" w:pos="2268"/>
                      <w:tab w:val="left" w:pos="7240"/>
                    </w:tabs>
                    <w:suppressAutoHyphens/>
                    <w:jc w:val="both"/>
                    <w:rPr>
                      <w:szCs w:val="24"/>
                    </w:rPr>
                  </w:pPr>
                  <w:r>
                    <w:rPr>
                      <w:i/>
                      <w:iCs/>
                      <w:szCs w:val="24"/>
                    </w:rPr>
                    <w:t xml:space="preserve">l </w:t>
                  </w:r>
                  <w:r>
                    <w:rPr>
                      <w:szCs w:val="24"/>
                    </w:rPr>
                    <w:t>– elektros energijos visuomeninio tiekimo paslaugos kaštų rūšies skaičius;</w:t>
                  </w:r>
                </w:p>
                <w:p>
                  <w:pPr>
                    <w:tabs>
                      <w:tab w:val="left" w:pos="1134"/>
                      <w:tab w:val="left" w:pos="1843"/>
                      <w:tab w:val="left" w:pos="2268"/>
                    </w:tabs>
                    <w:jc w:val="both"/>
                    <w:rPr>
                      <w:szCs w:val="24"/>
                    </w:rPr>
                  </w:pPr>
                  <w:r>
                    <w:rPr>
                      <w:i/>
                      <w:iCs/>
                      <w:szCs w:val="24"/>
                    </w:rPr>
                    <w:t>m</w:t>
                  </w:r>
                  <w:r>
                    <w:rPr>
                      <w:szCs w:val="24"/>
                    </w:rPr>
                    <w:t xml:space="preserve"> – elektros energijos visuomeninio tiekimo paslaugos kaštų rūšies numeris.</w:t>
                  </w:r>
                </w:p>
              </w:sdtContent>
            </w:sdt>
            <w:sdt>
              <w:sdtPr>
                <w:alias w:val="103 p."/>
                <w:tag w:val="part_816d91deb11a47ebb8750dd03081e421"/>
                <w:lock w:val="sdtLocked"/>
                <w:richText/>
              </w:sdtPr>
              <w:sdtContent>
                <w:p>
                  <w:pPr>
                    <w:tabs>
                      <w:tab w:val="left" w:pos="1260"/>
                      <w:tab w:val="left" w:pos="1843"/>
                      <w:tab w:val="left" w:pos="2268"/>
                    </w:tabs>
                    <w:ind w:firstLine="720"/>
                    <w:jc w:val="both"/>
                    <w:rPr>
                      <w:szCs w:val="24"/>
                    </w:rPr>
                  </w:pPr>
                  <w:sdt>
                    <w:sdtPr>
                      <w:alias w:val="Numeris"/>
                      <w:tag w:val="nr_816d91deb11a47ebb8750dd03081e421"/>
                      <w:lock w:val="sdtLocked"/>
                      <w:richText/>
                    </w:sdtPr>
                    <w:sdtContent>
                      <w:r>
                        <w:rPr>
                          <w:szCs w:val="24"/>
                        </w:rPr>
                        <w:t>103</w:t>
                      </w:r>
                    </w:sdtContent>
                  </w:sdt>
                  <w:r>
                    <w:rPr>
                      <w:szCs w:val="24"/>
                    </w:rPr>
                    <w:t xml:space="preserve">. Indeksavimo koeficientas, įvertinantis infliaciją ir tiekėjui Komisijos nustatytą efektyvumą, </w:t>
                  </w:r>
                  <w:r>
                    <w:rPr>
                      <w:i/>
                      <w:szCs w:val="24"/>
                    </w:rPr>
                    <w:t xml:space="preserve">t </w:t>
                  </w:r>
                  <w:r>
                    <w:rPr>
                      <w:szCs w:val="24"/>
                    </w:rPr>
                    <w:t>metais apskaičiuojamas pagal formulę:</w:t>
                  </w:r>
                </w:p>
                <w:p>
                  <w:pPr>
                    <w:tabs>
                      <w:tab w:val="left" w:pos="1260"/>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IK</m:t>
                        </m:r>
                      </m:e>
                      <m:sub>
                        <m:r>
                          <w:rPr>
                            <w:rFonts w:ascii="Cambria Math" w:hAnsi="Cambria Math"/>
                          </w:rPr>
                          <m:t>vtt</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t</m:t>
                                    </m:r>
                                    <m:r>
                                      <w:rPr>
                                        <w:rFonts w:ascii="Cambria Math" w:hAnsi="Cambria Math"/>
                                      </w:rPr>
                                      <m:t>-</m:t>
                                    </m:r>
                                  </m:sub>
                                </m:sSub>
                                <m:sSub>
                                  <m:sSubPr>
                                    <m:ctrlPr>
                                      <w:rPr>
                                        <w:rFonts w:ascii="Cambria Math" w:hAnsi="Cambria Math"/>
                                        <w:i/>
                                      </w:rPr>
                                    </m:ctrlPr>
                                  </m:sSubPr>
                                  <m:e>
                                    <m:r>
                                      <w:rPr>
                                        <w:rFonts w:ascii="Cambria Math" w:hAnsi="Cambria Math"/>
                                      </w:rPr>
                                      <m:t>e</m:t>
                                    </m:r>
                                  </m:e>
                                  <m:sub>
                                    <m:r>
                                      <w:rPr>
                                        <w:rFonts w:ascii="Cambria Math" w:hAnsi="Cambria Math"/>
                                      </w:rPr>
                                      <m:t>vt</m:t>
                                    </m:r>
                                  </m:sub>
                                </m:sSub>
                                <m:r>
                                  <w:rPr>
                                    <w:rFonts w:ascii="Cambria Math" w:hAnsi="Cambria Math"/>
                                  </w:rPr>
                                  <m:t>)</m:t>
                                </m:r>
                              </m:e>
                              <m:sub/>
                            </m:sSub>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kvt</m:t>
                            </m:r>
                            <m:r>
                              <w:rPr>
                                <w:rFonts w:ascii="Cambria Math" w:hAnsi="Cambria Math"/>
                              </w:rPr>
                              <m:t xml:space="preserve"> </m:t>
                            </m:r>
                            <m:r>
                              <w:rPr>
                                <w:rFonts w:ascii="Cambria Math" w:hAnsi="Cambria Math"/>
                              </w:rPr>
                              <m:t>t</m:t>
                            </m:r>
                          </m:sub>
                        </m:sSub>
                      </m:e>
                    </m:d>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-1</m:t>
                        </m:r>
                      </m:sub>
                    </m:sSub>
                  </m:oMath>
                  <w:r>
                    <w:tab/>
                  </w:r>
                  <w:r>
                    <w:rPr>
                      <w:szCs w:val="24"/>
                    </w:rPr>
                    <w:t>(63)</w:t>
                  </w:r>
                </w:p>
                <w:p>
                  <w:pPr>
                    <w:tabs>
                      <w:tab w:val="left" w:pos="9214"/>
                    </w:tabs>
                    <w:jc w:val="both"/>
                    <w:rPr>
                      <w:b/>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IK</w:t>
                  </w:r>
                  <w:r>
                    <w:rPr>
                      <w:szCs w:val="24"/>
                      <w:vertAlign w:val="subscript"/>
                    </w:rPr>
                    <w:t xml:space="preserve">vtt </w:t>
                  </w:r>
                  <w:r>
                    <w:rPr>
                      <w:szCs w:val="24"/>
                    </w:rPr>
                    <w:t>– indeksavimo koeficientas;</w:t>
                  </w:r>
                </w:p>
                <w:p>
                  <w:pPr>
                    <w:tabs>
                      <w:tab w:val="left" w:pos="1134"/>
                      <w:tab w:val="left" w:pos="1843"/>
                      <w:tab w:val="left" w:pos="2268"/>
                    </w:tabs>
                    <w:jc w:val="both"/>
                    <w:rPr>
                      <w:szCs w:val="24"/>
                    </w:rPr>
                  </w:pPr>
                  <w:r>
                    <w:rPr>
                      <w:i/>
                      <w:spacing w:val="-4"/>
                      <w:szCs w:val="24"/>
                    </w:rPr>
                    <w:t>i</w:t>
                  </w:r>
                  <w:r>
                    <w:rPr>
                      <w:i/>
                      <w:spacing w:val="-4"/>
                      <w:szCs w:val="24"/>
                      <w:vertAlign w:val="subscript"/>
                    </w:rPr>
                    <w:t>t</w:t>
                  </w:r>
                  <w:r>
                    <w:rPr>
                      <w:i/>
                      <w:spacing w:val="-4"/>
                      <w:szCs w:val="24"/>
                    </w:rPr>
                    <w:t xml:space="preserve"> </w:t>
                  </w:r>
                  <w:r>
                    <w:rPr>
                      <w:spacing w:val="-4"/>
                      <w:szCs w:val="24"/>
                    </w:rPr>
                    <w:t xml:space="preserve">– vidutinės metinės infliacijos pokytis </w:t>
                  </w:r>
                  <w:r>
                    <w:rPr>
                      <w:i/>
                      <w:spacing w:val="-4"/>
                      <w:szCs w:val="24"/>
                    </w:rPr>
                    <w:t xml:space="preserve">t </w:t>
                  </w:r>
                  <w:r>
                    <w:rPr>
                      <w:spacing w:val="-4"/>
                      <w:szCs w:val="24"/>
                    </w:rPr>
                    <w:t xml:space="preserve">metais, palyginti su atitinkamu indeksu </w:t>
                  </w:r>
                  <w:r>
                    <w:rPr>
                      <w:i/>
                      <w:spacing w:val="-4"/>
                      <w:szCs w:val="24"/>
                    </w:rPr>
                    <w:t xml:space="preserve">t-1 </w:t>
                  </w:r>
                  <w:r>
                    <w:rPr>
                      <w:spacing w:val="-4"/>
                      <w:szCs w:val="24"/>
                    </w:rPr>
                    <w:t>metais, proc.</w:t>
                  </w:r>
                  <w:r>
                    <w:rPr>
                      <w:szCs w:val="24"/>
                    </w:rPr>
                    <w:t xml:space="preserve"> Jis nustatomas pagal Finansų ministerijos duomenis. Nesant Finansų ministerijos duomenų, nustatoma pagal Lietuvos banko duomenis;</w:t>
                  </w:r>
                </w:p>
                <w:p>
                  <w:pPr>
                    <w:tabs>
                      <w:tab w:val="left" w:pos="1134"/>
                      <w:tab w:val="left" w:pos="1843"/>
                      <w:tab w:val="left" w:pos="2268"/>
                    </w:tabs>
                    <w:jc w:val="both"/>
                    <w:rPr>
                      <w:szCs w:val="24"/>
                    </w:rPr>
                  </w:pPr>
                  <w:r>
                    <w:rPr>
                      <w:i/>
                      <w:szCs w:val="24"/>
                    </w:rPr>
                    <w:t>e</w:t>
                  </w:r>
                  <w:r>
                    <w:rPr>
                      <w:i/>
                      <w:szCs w:val="24"/>
                      <w:vertAlign w:val="subscript"/>
                    </w:rPr>
                    <w:t>vt</w:t>
                  </w:r>
                  <w:r>
                    <w:rPr>
                      <w:szCs w:val="24"/>
                    </w:rPr>
                    <w:t xml:space="preserve"> – efektyvumo koeficientas visuomeninio tiekėjo veiklai, proc.;</w:t>
                  </w:r>
                </w:p>
                <w:p>
                  <w:pPr>
                    <w:tabs>
                      <w:tab w:val="left" w:pos="1134"/>
                      <w:tab w:val="left" w:pos="1843"/>
                      <w:tab w:val="left" w:pos="2268"/>
                    </w:tabs>
                    <w:jc w:val="both"/>
                    <w:rPr>
                      <w:szCs w:val="24"/>
                    </w:rPr>
                  </w:pPr>
                  <w:r>
                    <w:rPr>
                      <w:szCs w:val="24"/>
                    </w:rPr>
                    <w:t>L</w:t>
                  </w:r>
                  <w:r>
                    <w:rPr>
                      <w:szCs w:val="24"/>
                      <w:vertAlign w:val="subscript"/>
                    </w:rPr>
                    <w:t>kvtt</w:t>
                  </w:r>
                  <w:r>
                    <w:rPr>
                      <w:szCs w:val="24"/>
                    </w:rPr>
                    <w:t xml:space="preserve"> – visuomeninio tiekimo paslaugų </w:t>
                  </w:r>
                  <w:r>
                    <w:rPr>
                      <w:bCs/>
                      <w:szCs w:val="24"/>
                    </w:rPr>
                    <w:t>kainų viršutinių ribų skaičiavimuose numatyta koreguojama OPEX dalis, t. y. darbo užmokesčio, socialinio draudimo, eksploatacinės, remonto ir kiti materialiniai kaštai</w:t>
                  </w:r>
                  <w:r>
                    <w:rPr>
                      <w:szCs w:val="24"/>
                    </w:rPr>
                    <w:t>,</w:t>
                  </w:r>
                  <w:r>
                    <w:rPr>
                      <w:bCs/>
                      <w:szCs w:val="24"/>
                    </w:rPr>
                    <w:t xml:space="preserve"> visose pajamose </w:t>
                  </w:r>
                  <w:r>
                    <w:rPr>
                      <w:bCs/>
                      <w:i/>
                      <w:szCs w:val="24"/>
                    </w:rPr>
                    <w:t xml:space="preserve">t </w:t>
                  </w:r>
                  <w:r>
                    <w:rPr>
                      <w:bCs/>
                      <w:szCs w:val="24"/>
                    </w:rPr>
                    <w:t>metais</w:t>
                  </w:r>
                  <w:r>
                    <w:rPr>
                      <w:szCs w:val="24"/>
                    </w:rPr>
                    <w:t>;</w:t>
                  </w:r>
                </w:p>
                <w:p>
                  <w:pPr>
                    <w:tabs>
                      <w:tab w:val="left" w:pos="1134"/>
                      <w:tab w:val="left" w:pos="1843"/>
                      <w:tab w:val="left" w:pos="2268"/>
                    </w:tabs>
                    <w:jc w:val="both"/>
                    <w:rPr>
                      <w:szCs w:val="24"/>
                    </w:rPr>
                  </w:pPr>
                  <w:r>
                    <w:rPr>
                      <w:szCs w:val="24"/>
                    </w:rPr>
                    <w:t>IK</w:t>
                  </w:r>
                  <w:r>
                    <w:rPr>
                      <w:szCs w:val="24"/>
                      <w:vertAlign w:val="subscript"/>
                    </w:rPr>
                    <w:t>vtt-1</w:t>
                  </w:r>
                  <w:r>
                    <w:rPr>
                      <w:szCs w:val="24"/>
                    </w:rPr>
                    <w:t xml:space="preserve"> – indeksavimo koeficientas visuomeninio tiekimo paslaugos kainos viršutinei ribai </w:t>
                  </w:r>
                  <w:r>
                    <w:rPr>
                      <w:i/>
                      <w:szCs w:val="24"/>
                    </w:rPr>
                    <w:t xml:space="preserve">t-1 </w:t>
                  </w:r>
                  <w:r>
                    <w:rPr>
                      <w:szCs w:val="24"/>
                    </w:rPr>
                    <w:t>metais.</w:t>
                  </w:r>
                </w:p>
                <w:sdt>
                  <w:sdtPr>
                    <w:alias w:val="103.1 p."/>
                    <w:tag w:val="part_b7450492b2e8423688868537799be1ee"/>
                    <w:lock w:val="sdtLocked"/>
                    <w:richText/>
                  </w:sdtPr>
                  <w:sdtContent>
                    <w:p>
                      <w:pPr>
                        <w:pStyle w:val="PlainText"/>
                        <w:ind w:firstLine="567"/>
                        <w:jc w:val="both"/>
                        <w:rPr>
                          <w:rFonts w:ascii="Times New Roman" w:hAnsi="Times New Roman"/>
                          <w:b/>
                          <w:bCs/>
                          <w:sz w:val="22"/>
                        </w:rPr>
                      </w:pPr>
                      <w:r>
                        <w:rPr>
                          <w:rFonts w:ascii="Times New Roman" w:hAnsi="Times New Roman"/>
                          <w:sz w:val="22"/>
                        </w:rPr>
                        <w:t>103.1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03.2 p."/>
                    <w:tag w:val="part_dc0f64c244004dad9fdb270088f9cb54"/>
                    <w:lock w:val="sdtLocked"/>
                    <w:richText/>
                  </w:sdtPr>
                  <w:sdtContent>
                    <w:p>
                      <w:pPr>
                        <w:pStyle w:val="PlainText"/>
                        <w:ind w:firstLine="567"/>
                        <w:jc w:val="both"/>
                        <w:rPr>
                          <w:rFonts w:ascii="Times New Roman" w:hAnsi="Times New Roman"/>
                          <w:b/>
                          <w:bCs/>
                          <w:sz w:val="22"/>
                        </w:rPr>
                      </w:pPr>
                      <w:r>
                        <w:rPr>
                          <w:rFonts w:ascii="Times New Roman" w:hAnsi="Times New Roman"/>
                          <w:sz w:val="22"/>
                        </w:rPr>
                        <w:t>103.2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04 p."/>
                <w:tag w:val="part_ba2ae4d259a3428d8799bed6812f93f5"/>
                <w:lock w:val="sdtLocked"/>
                <w:richText/>
              </w:sdtPr>
              <w:sdtContent>
                <w:p>
                  <w:pPr>
                    <w:tabs>
                      <w:tab w:val="left" w:pos="0"/>
                      <w:tab w:val="left" w:pos="1260"/>
                      <w:tab w:val="left" w:pos="1843"/>
                      <w:tab w:val="left" w:pos="2268"/>
                    </w:tabs>
                    <w:suppressAutoHyphens/>
                    <w:ind w:firstLine="720"/>
                    <w:jc w:val="both"/>
                    <w:rPr>
                      <w:szCs w:val="24"/>
                    </w:rPr>
                  </w:pPr>
                  <w:sdt>
                    <w:sdtPr>
                      <w:alias w:val="Numeris"/>
                      <w:tag w:val="nr_ba2ae4d259a3428d8799bed6812f93f5"/>
                      <w:lock w:val="sdtLocked"/>
                      <w:richText/>
                    </w:sdtPr>
                    <w:sdtContent>
                      <w:r>
                        <w:rPr>
                          <w:szCs w:val="24"/>
                        </w:rPr>
                        <w:t>104</w:t>
                      </w:r>
                    </w:sdtContent>
                  </w:sdt>
                  <w:r>
                    <w:rPr>
                      <w:szCs w:val="24"/>
                    </w:rPr>
                    <w:t xml:space="preserve">. Korekcijos koeficientas, įvertinantis tiekimo paslaugų pajamų viršijimą ar nesurinkimą priklausomai nuo taikomos kainų viršutinių ribų diferencijavimo struktūros ir (arba) prognozuoto perduoti bei faktiškai perduoto kiekio skirtumo), </w:t>
                  </w:r>
                  <w:r>
                    <w:rPr>
                      <w:i/>
                      <w:szCs w:val="24"/>
                    </w:rPr>
                    <w:t xml:space="preserve">t-1 </w:t>
                  </w:r>
                  <w:r>
                    <w:rPr>
                      <w:szCs w:val="24"/>
                    </w:rPr>
                    <w:t>metais apskaičiuojamas pagal formulę:</w:t>
                  </w:r>
                </w:p>
                <w:p>
                  <w:pPr>
                    <w:tabs>
                      <w:tab w:val="left" w:pos="0"/>
                      <w:tab w:val="left" w:pos="1134"/>
                      <w:tab w:val="left" w:pos="1843"/>
                      <w:tab w:val="left" w:pos="2268"/>
                      <w:tab w:val="left" w:pos="7240"/>
                    </w:tabs>
                    <w:suppressAutoHyphens/>
                    <w:jc w:val="both"/>
                    <w:rPr>
                      <w:szCs w:val="24"/>
                    </w:rPr>
                  </w:pPr>
                </w:p>
                <w:p>
                  <w:pPr>
                    <w:tabs>
                      <w:tab w:val="left" w:pos="9214"/>
                    </w:tabs>
                    <w:suppressAutoHyphens/>
                    <w:ind w:firstLine="9214"/>
                    <w:jc w:val="both"/>
                    <w:rPr>
                      <w:szCs w:val="24"/>
                    </w:rPr>
                  </w:pPr>
                  <w:r>
                    <w:t xml:space="preserve"> </w:t>
                  </w:r>
                  <m:oMath>
                    <m:sSub>
                      <m:sSubPr>
                        <m:ctrlPr>
                          <w:rPr>
                            <w:rFonts w:ascii="Cambria Math" w:hAnsi="Cambria Math"/>
                            <w:i/>
                          </w:rPr>
                        </m:ctrlPr>
                      </m:sSubPr>
                      <m:e>
                        <m:r>
                          <w:rPr>
                            <w:rFonts w:ascii="Cambria Math" w:hAnsi="Cambria Math"/>
                          </w:rPr>
                          <m:t>K</m:t>
                        </m:r>
                      </m:e>
                      <m:sub>
                        <m:r>
                          <w:rPr>
                            <w:rFonts w:ascii="Cambria Math" w:hAnsi="Cambria Math"/>
                          </w:rPr>
                          <m:t>vtt</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r>
                              <w:rPr>
                                <w:rFonts w:ascii="Cambria Math" w:hAnsi="Cambria Math"/>
                              </w:rPr>
                              <m:t>f</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T</m:t>
                                </m:r>
                              </m:e>
                              <m:sub>
                                <m:r>
                                  <w:rPr>
                                    <w:rFonts w:ascii="Cambria Math" w:hAnsi="Cambria Math"/>
                                  </w:rPr>
                                  <m:t xml:space="preserve">( </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sSubSup>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r>
                                  <w:rPr>
                                    <w:rFonts w:ascii="Cambria Math" w:hAnsi="Cambria Math"/>
                                  </w:rPr>
                                  <m:t>-2</m:t>
                                </m:r>
                              </m:sub>
                              <m:sup>
                                <m:r>
                                  <w:rPr>
                                    <w:rFonts w:ascii="Cambria Math" w:hAnsi="Cambria Math"/>
                                  </w:rPr>
                                  <m:t>f</m:t>
                                </m:r>
                              </m:sup>
                            </m:sSubSup>
                          </m:e>
                        </m:d>
                      </m:num>
                      <m:den>
                        <m:sSub>
                          <m:sSubPr>
                            <m:ctrlPr>
                              <w:rPr>
                                <w:rFonts w:ascii="Cambria Math" w:hAnsi="Cambria Math"/>
                                <w:i/>
                              </w:rPr>
                            </m:ctrlPr>
                          </m:sSubPr>
                          <m:e>
                            <m:r>
                              <w:rPr>
                                <w:rFonts w:ascii="Cambria Math" w:hAnsi="Cambria Math"/>
                              </w:rPr>
                              <m:t>E</m:t>
                            </m:r>
                          </m:e>
                          <m:sub>
                            <m:r>
                              <w:rPr>
                                <w:rFonts w:ascii="Cambria Math" w:hAnsi="Cambria Math"/>
                              </w:rPr>
                              <m:t>(</m:t>
                            </m:r>
                            <m:r>
                              <w:rPr>
                                <w:rFonts w:ascii="Cambria Math" w:hAnsi="Cambria Math"/>
                              </w:rPr>
                              <m:t>vt</m:t>
                            </m:r>
                            <m:r>
                              <w:rPr>
                                <w:rFonts w:ascii="Cambria Math" w:hAnsi="Cambria Math"/>
                              </w:rPr>
                              <m:t xml:space="preserve">) </m:t>
                            </m:r>
                            <m:r>
                              <w:rPr>
                                <w:rFonts w:ascii="Cambria Math" w:hAnsi="Cambria Math"/>
                              </w:rPr>
                              <m:t>t</m:t>
                            </m:r>
                          </m:sub>
                        </m:sSub>
                      </m:den>
                    </m:f>
                  </m:oMath>
                  <w:r>
                    <w:tab/>
                  </w:r>
                  <w:r>
                    <w:rPr>
                      <w:szCs w:val="24"/>
                    </w:rPr>
                    <w:t>(64)</w:t>
                  </w:r>
                </w:p>
                <w:p>
                  <w:pPr>
                    <w:tabs>
                      <w:tab w:val="left" w:pos="1134"/>
                      <w:tab w:val="left" w:pos="1843"/>
                      <w:tab w:val="left" w:pos="2268"/>
                    </w:tabs>
                    <w:suppressAutoHyphens/>
                    <w:jc w:val="both"/>
                    <w:rPr>
                      <w:szCs w:val="24"/>
                    </w:rPr>
                  </w:pPr>
                </w:p>
                <w:p>
                  <w:pPr>
                    <w:tabs>
                      <w:tab w:val="left" w:pos="1134"/>
                      <w:tab w:val="left" w:pos="1843"/>
                      <w:tab w:val="left" w:pos="2268"/>
                    </w:tabs>
                    <w:suppressAutoHyphens/>
                    <w:jc w:val="both"/>
                    <w:rPr>
                      <w:i/>
                      <w:szCs w:val="24"/>
                    </w:rPr>
                  </w:pPr>
                  <w:r>
                    <w:rPr>
                      <w:i/>
                      <w:szCs w:val="24"/>
                    </w:rPr>
                    <w:t>čia:</w:t>
                  </w:r>
                </w:p>
                <w:p>
                  <w:pPr>
                    <w:tabs>
                      <w:tab w:val="left" w:pos="1134"/>
                      <w:tab w:val="left" w:pos="1843"/>
                      <w:tab w:val="left" w:pos="2268"/>
                    </w:tabs>
                    <w:jc w:val="both"/>
                    <w:rPr>
                      <w:i/>
                      <w:szCs w:val="24"/>
                    </w:rPr>
                  </w:pPr>
                  <w:r>
                    <w:rPr>
                      <w:szCs w:val="24"/>
                    </w:rPr>
                    <w:t>K</w:t>
                  </w:r>
                  <w:r>
                    <w:rPr>
                      <w:szCs w:val="24"/>
                      <w:vertAlign w:val="subscript"/>
                    </w:rPr>
                    <w:t>vt t</w:t>
                  </w:r>
                  <w:r>
                    <w:rPr>
                      <w:szCs w:val="24"/>
                    </w:rPr>
                    <w:t xml:space="preserve">– </w:t>
                  </w:r>
                  <w:r>
                    <w:rPr>
                      <w:i/>
                      <w:szCs w:val="24"/>
                    </w:rPr>
                    <w:t>t</w:t>
                  </w:r>
                  <w:r>
                    <w:rPr>
                      <w:szCs w:val="24"/>
                    </w:rPr>
                    <w:t xml:space="preserve"> metų korekcijos koeficientas kainos viršutinei ribai, EUR/kWh;</w:t>
                  </w:r>
                </w:p>
                <w:p>
                  <w:pPr>
                    <w:tabs>
                      <w:tab w:val="left" w:pos="1134"/>
                      <w:tab w:val="left" w:pos="1843"/>
                      <w:tab w:val="left" w:pos="2268"/>
                    </w:tabs>
                    <w:jc w:val="both"/>
                    <w:rPr>
                      <w:szCs w:val="24"/>
                    </w:rPr>
                  </w:pPr>
                  <w:r>
                    <w:rPr>
                      <w:iCs/>
                      <w:szCs w:val="24"/>
                    </w:rPr>
                    <w:t>P</w:t>
                  </w:r>
                  <w:r>
                    <w:rPr>
                      <w:szCs w:val="24"/>
                      <w:vertAlign w:val="superscript"/>
                    </w:rPr>
                    <w:t>f</w:t>
                  </w:r>
                  <w:r>
                    <w:rPr>
                      <w:szCs w:val="24"/>
                      <w:vertAlign w:val="subscript"/>
                    </w:rPr>
                    <w:t>(</w:t>
                  </w:r>
                  <w:r>
                    <w:rPr>
                      <w:iCs/>
                      <w:szCs w:val="24"/>
                      <w:vertAlign w:val="subscript"/>
                    </w:rPr>
                    <w:t>vt)t</w:t>
                  </w:r>
                  <w:r>
                    <w:rPr>
                      <w:szCs w:val="24"/>
                      <w:vertAlign w:val="subscript"/>
                    </w:rPr>
                    <w:t>-2</w:t>
                  </w:r>
                  <w:r>
                    <w:rPr>
                      <w:szCs w:val="24"/>
                    </w:rPr>
                    <w:t xml:space="preserve">– faktinės elektros energijos visuomeninio tiekimo paslaugos pajamos </w:t>
                  </w:r>
                  <w:r>
                    <w:rPr>
                      <w:i/>
                      <w:szCs w:val="24"/>
                    </w:rPr>
                    <w:t xml:space="preserve">t-2 </w:t>
                  </w:r>
                  <w:r>
                    <w:rPr>
                      <w:szCs w:val="24"/>
                    </w:rPr>
                    <w:t xml:space="preserve">metais, </w:t>
                  </w:r>
                  <w:r>
                    <w:rPr>
                      <w:szCs w:val="24"/>
                      <w:lang w:eastAsia="lt-LT"/>
                    </w:rPr>
                    <w:t>EUR</w:t>
                  </w:r>
                  <w:r>
                    <w:rPr>
                      <w:szCs w:val="24"/>
                    </w:rPr>
                    <w:t>;</w:t>
                  </w:r>
                </w:p>
                <w:p>
                  <w:pPr>
                    <w:tabs>
                      <w:tab w:val="left" w:pos="1134"/>
                      <w:tab w:val="left" w:pos="1843"/>
                      <w:tab w:val="left" w:pos="2268"/>
                    </w:tabs>
                    <w:jc w:val="both"/>
                    <w:rPr>
                      <w:szCs w:val="24"/>
                    </w:rPr>
                  </w:pPr>
                  <w:r>
                    <w:rPr>
                      <w:szCs w:val="24"/>
                    </w:rPr>
                    <w:t>E</w:t>
                  </w:r>
                  <w:r>
                    <w:rPr>
                      <w:szCs w:val="24"/>
                      <w:vertAlign w:val="subscript"/>
                    </w:rPr>
                    <w:t>(vt)</w:t>
                  </w:r>
                  <w:r>
                    <w:rPr>
                      <w:szCs w:val="24"/>
                    </w:rPr>
                    <w:t xml:space="preserve"> </w:t>
                  </w:r>
                  <w:r>
                    <w:rPr>
                      <w:szCs w:val="24"/>
                      <w:vertAlign w:val="subscript"/>
                    </w:rPr>
                    <w:t xml:space="preserve">t-2 </w:t>
                  </w:r>
                  <w:r>
                    <w:rPr>
                      <w:szCs w:val="24"/>
                    </w:rPr>
                    <w:t xml:space="preserve">–faktinis </w:t>
                  </w:r>
                  <w:r>
                    <w:rPr>
                      <w:i/>
                      <w:szCs w:val="24"/>
                    </w:rPr>
                    <w:t xml:space="preserve">t-2 </w:t>
                  </w:r>
                  <w:r>
                    <w:rPr>
                      <w:szCs w:val="24"/>
                    </w:rPr>
                    <w:t xml:space="preserve">metais visuomeniniam tiekimui patiektas elektros energijos kiekis, kWh; </w:t>
                  </w:r>
                </w:p>
                <w:p>
                  <w:pPr>
                    <w:tabs>
                      <w:tab w:val="left" w:pos="1134"/>
                      <w:tab w:val="left" w:pos="1843"/>
                      <w:tab w:val="left" w:pos="2268"/>
                    </w:tabs>
                    <w:jc w:val="both"/>
                    <w:rPr>
                      <w:szCs w:val="24"/>
                    </w:rPr>
                  </w:pPr>
                  <w:r>
                    <w:rPr>
                      <w:szCs w:val="24"/>
                    </w:rPr>
                    <w:t>E</w:t>
                  </w:r>
                  <w:r>
                    <w:rPr>
                      <w:szCs w:val="24"/>
                      <w:vertAlign w:val="subscript"/>
                    </w:rPr>
                    <w:t xml:space="preserve">(vt) t </w:t>
                  </w:r>
                  <w:r>
                    <w:rPr>
                      <w:szCs w:val="24"/>
                    </w:rPr>
                    <w:t xml:space="preserve">– </w:t>
                  </w:r>
                  <w:r>
                    <w:rPr>
                      <w:i/>
                      <w:szCs w:val="24"/>
                    </w:rPr>
                    <w:t>t</w:t>
                  </w:r>
                  <w:r>
                    <w:rPr>
                      <w:szCs w:val="24"/>
                    </w:rPr>
                    <w:t xml:space="preserve"> metais planuojamas visuomeniniam tiekimui patiekti elektros energijos kiekis, kWh;</w:t>
                  </w:r>
                </w:p>
                <w:p>
                  <w:pPr>
                    <w:tabs>
                      <w:tab w:val="left" w:pos="1134"/>
                      <w:tab w:val="left" w:pos="1843"/>
                      <w:tab w:val="left" w:pos="2268"/>
                    </w:tabs>
                    <w:jc w:val="both"/>
                    <w:rPr>
                      <w:szCs w:val="24"/>
                    </w:rPr>
                  </w:pPr>
                  <w:r>
                    <w:rPr>
                      <w:szCs w:val="24"/>
                    </w:rPr>
                    <w:t>T</w:t>
                  </w:r>
                  <w:r>
                    <w:rPr>
                      <w:szCs w:val="24"/>
                      <w:vertAlign w:val="subscript"/>
                    </w:rPr>
                    <w:t xml:space="preserve">(vt) t-2 </w:t>
                  </w:r>
                  <w:r>
                    <w:rPr>
                      <w:szCs w:val="24"/>
                    </w:rPr>
                    <w:t xml:space="preserve">– Komisijos nustatyta paslaugos kainos viršutinė riba </w:t>
                  </w:r>
                  <w:r>
                    <w:rPr>
                      <w:i/>
                      <w:szCs w:val="24"/>
                    </w:rPr>
                    <w:t>t-2</w:t>
                  </w:r>
                  <w:r>
                    <w:rPr>
                      <w:szCs w:val="24"/>
                    </w:rPr>
                    <w:t xml:space="preserve"> metams.</w:t>
                  </w:r>
                </w:p>
              </w:sdtContent>
            </w:sdt>
            <w:sdt>
              <w:sdtPr>
                <w:alias w:val="105 p."/>
                <w:tag w:val="part_319620b23fd443dfa4bc7b8e732f9660"/>
                <w:lock w:val="sdtLocked"/>
                <w:richText/>
              </w:sdtPr>
              <w:sdtContent>
                <w:p>
                  <w:pPr>
                    <w:tabs>
                      <w:tab w:val="left" w:pos="1260"/>
                      <w:tab w:val="left" w:pos="1843"/>
                      <w:tab w:val="left" w:pos="2268"/>
                    </w:tabs>
                    <w:ind w:firstLine="720"/>
                    <w:jc w:val="both"/>
                    <w:rPr>
                      <w:szCs w:val="24"/>
                    </w:rPr>
                  </w:pPr>
                  <w:sdt>
                    <w:sdtPr>
                      <w:alias w:val="Numeris"/>
                      <w:tag w:val="nr_319620b23fd443dfa4bc7b8e732f9660"/>
                      <w:lock w:val="sdtLocked"/>
                      <w:richText/>
                    </w:sdtPr>
                    <w:sdtContent>
                      <w:r>
                        <w:rPr>
                          <w:szCs w:val="24"/>
                        </w:rPr>
                        <w:t>105</w:t>
                      </w:r>
                    </w:sdtContent>
                  </w:sdt>
                  <w:r>
                    <w:rPr>
                      <w:szCs w:val="24"/>
                    </w:rPr>
                    <w:t>. Komisija, perskaičiuodama viršutinę kainos ribą dėl korekcijos koeficiento, sprendžia dėl negautų ar viršytų pajamų įvertinimo pagrįstumo, atsižvelgdama į Įmonių pateiktas pagrįstas pajamų pokyčio priežastis, nulemtas elektros energijos visuomeninio tiekimo paslaugos kainos viršutinės ribos diferencijavimo ir (arba) prognozuoto perduoti bei faktiškai perduoto kiekio skirtumo.</w:t>
                  </w:r>
                </w:p>
              </w:sdtContent>
            </w:sdt>
            <w:sdt>
              <w:sdtPr>
                <w:alias w:val="106 p."/>
                <w:tag w:val="part_c1b82f975004487cb41eed3eb8803699"/>
                <w:lock w:val="sdtLocked"/>
                <w:richText/>
              </w:sdtPr>
              <w:sdtContent>
                <w:p>
                  <w:pPr>
                    <w:tabs>
                      <w:tab w:val="left" w:pos="1260"/>
                      <w:tab w:val="left" w:pos="1843"/>
                      <w:tab w:val="left" w:pos="2268"/>
                    </w:tabs>
                    <w:ind w:firstLine="720"/>
                    <w:jc w:val="both"/>
                    <w:rPr>
                      <w:szCs w:val="24"/>
                    </w:rPr>
                  </w:pPr>
                  <w:sdt>
                    <w:sdtPr>
                      <w:alias w:val="Numeris"/>
                      <w:tag w:val="nr_c1b82f975004487cb41eed3eb8803699"/>
                      <w:lock w:val="sdtLocked"/>
                      <w:richText/>
                    </w:sdtPr>
                    <w:sdtContent>
                      <w:r>
                        <w:rPr>
                          <w:szCs w:val="24"/>
                        </w:rPr>
                        <w:t>106</w:t>
                      </w:r>
                    </w:sdtContent>
                  </w:sdt>
                  <w:r>
                    <w:rPr>
                      <w:szCs w:val="24"/>
                    </w:rPr>
                    <w:t>. Pirmaisiais elektros energijos visuomeninio tiekimo paslaugos kainos viršutinės ribos nustatymo metais nenumatytų pasikeitimų ir indeksavimo koeficientas lygus vienetui. Kit</w:t>
                  </w:r>
                  <w:r>
                    <w:rPr>
                      <w:bCs/>
                      <w:szCs w:val="24"/>
                    </w:rPr>
                    <w:t>iems</w:t>
                  </w:r>
                  <w:r>
                    <w:rPr>
                      <w:szCs w:val="24"/>
                    </w:rPr>
                    <w:t xml:space="preserve"> reguliavimo periodo metams koregavimo koeficientai skaičiuojami pagal patikslintus (faktinius) esamųjų metų duomenis.</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26fd07b9547f42a1b012a2b744a17b61"/>
                <w:lock w:val="sdtLocked"/>
                <w:richText/>
              </w:sdtPr>
              <w:sdtContent>
                <w:p>
                  <w:pPr>
                    <w:tabs>
                      <w:tab w:val="left" w:pos="0"/>
                      <w:tab w:val="left" w:pos="1260"/>
                      <w:tab w:val="left" w:pos="1843"/>
                      <w:tab w:val="left" w:pos="2268"/>
                    </w:tabs>
                    <w:suppressAutoHyphens/>
                    <w:ind w:firstLine="720"/>
                    <w:jc w:val="both"/>
                    <w:rPr>
                      <w:bCs/>
                      <w:szCs w:val="24"/>
                    </w:rPr>
                  </w:pPr>
                  <w:sdt>
                    <w:sdtPr>
                      <w:alias w:val="Numeris"/>
                      <w:tag w:val="nr_26fd07b9547f42a1b012a2b744a17b61"/>
                      <w:lock w:val="sdtLocked"/>
                      <w:richText/>
                    </w:sdtPr>
                    <w:sdtContent>
                      <w:r>
                        <w:rPr>
                          <w:bCs/>
                          <w:szCs w:val="24"/>
                        </w:rPr>
                        <w:t>107</w:t>
                      </w:r>
                    </w:sdtContent>
                  </w:sdt>
                  <w:r>
                    <w:rPr>
                      <w:bCs/>
                      <w:szCs w:val="24"/>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Visuomeninių elektros energijos kainų viršutinės ribos papildomai įvertina reguliavimo svertus, pavyzdžiui, elektros energijos įsigijimo kainos pokytį, ir apskaičiuojamos pagal formulę:</w:t>
                  </w:r>
                </w:p>
                <w:p>
                  <w:pPr>
                    <w:tabs>
                      <w:tab w:val="left" w:pos="0"/>
                      <w:tab w:val="left" w:pos="1134"/>
                      <w:tab w:val="left" w:pos="1843"/>
                      <w:tab w:val="left" w:pos="2268"/>
                    </w:tabs>
                    <w:suppressAutoHyphens/>
                    <w:jc w:val="both"/>
                    <w:rPr>
                      <w:bCs/>
                      <w:szCs w:val="24"/>
                    </w:rPr>
                  </w:pPr>
                </w:p>
                <w:p>
                  <w:pPr>
                    <w:tabs>
                      <w:tab w:val="left" w:pos="9214"/>
                    </w:tabs>
                    <w:suppressAutoHyphens/>
                    <w:jc w:val="both"/>
                    <w:rPr>
                      <w:bCs/>
                      <w:szCs w:val="24"/>
                    </w:rPr>
                  </w:pPr>
                  <w:r>
                    <w:rPr>
                      <w:bCs/>
                      <w:szCs w:val="24"/>
                      <w:lang w:eastAsia="lt-LT"/>
                    </w:rPr>
                    <mc:AlternateContent>
                      <mc:Choice Requires="wpc">
                        <w:drawing>
                          <wp:inline distT="0" distB="0" distL="0" distR="0">
                            <wp:extent cx="5478448" cy="389614"/>
                            <wp:effectExtent l="0" t="0" r="0" b="0"/>
                            <wp:docPr id="143" name="Canvas 7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 name="Rectangle 42"/>
                                    <wps:cNvSpPr>
                                      <a:spLocks noChangeArrowheads="1"/>
                                    </wps:cNvSpPr>
                                    <wps:spPr bwMode="auto">
                                      <a:xfrm>
                                        <a:off x="3697166" y="112745"/>
                                        <a:ext cx="10223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square" lIns="0" tIns="0" rIns="0" bIns="0" anchor="t" anchorCtr="0" upright="1">
                                      <a:spAutoFit/>
                                    </wps:bodyPr>
                                  </wps:wsp>
                                  <wps:wsp>
                                    <wps:cNvPr id="6" name="Rectangle 43"/>
                                    <wps:cNvSpPr>
                                      <a:spLocks noChangeArrowheads="1"/>
                                    </wps:cNvSpPr>
                                    <wps:spPr bwMode="auto">
                                      <a:xfrm flipH="1">
                                        <a:off x="3338516" y="117690"/>
                                        <a:ext cx="65378" cy="1023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square" lIns="0" tIns="0" rIns="0" bIns="0" anchor="t" anchorCtr="0" upright="1">
                                      <a:spAutoFit/>
                                    </wps:bodyPr>
                                  </wps:wsp>
                                  <wps:wsp>
                                    <wps:cNvPr id="7" name="Rectangle 44"/>
                                    <wps:cNvSpPr>
                                      <a:spLocks noChangeArrowheads="1"/>
                                    </wps:cNvSpPr>
                                    <wps:spPr bwMode="auto">
                                      <a:xfrm>
                                        <a:off x="2791776" y="109212"/>
                                        <a:ext cx="28257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viap,t</w:t>
                                          </w:r>
                                        </w:p>
                                      </w:txbxContent>
                                    </wps:txbx>
                                    <wps:bodyPr rot="0" vert="horz" wrap="square" lIns="0" tIns="0" rIns="0" bIns="0" anchor="t" anchorCtr="0" upright="1">
                                      <a:spAutoFit/>
                                    </wps:bodyPr>
                                  </wps:wsp>
                                  <wps:wsp>
                                    <wps:cNvPr id="8" name="Rectangle 45"/>
                                    <wps:cNvSpPr>
                                      <a:spLocks noChangeArrowheads="1"/>
                                    </wps:cNvSpPr>
                                    <wps:spPr bwMode="auto">
                                      <a:xfrm>
                                        <a:off x="2442285" y="108910"/>
                                        <a:ext cx="140970" cy="99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sis,t</w:t>
                                          </w:r>
                                        </w:p>
                                      </w:txbxContent>
                                    </wps:txbx>
                                    <wps:bodyPr rot="0" vert="horz" wrap="none" lIns="0" tIns="0" rIns="0" bIns="0" anchor="t" anchorCtr="0" upright="1">
                                      <a:noAutofit/>
                                    </wps:bodyPr>
                                  </wps:wsp>
                                  <wps:wsp>
                                    <wps:cNvPr id="9" name="Rectangle 46"/>
                                    <wps:cNvSpPr>
                                      <a:spLocks noChangeArrowheads="1"/>
                                    </wps:cNvSpPr>
                                    <wps:spPr bwMode="auto">
                                      <a:xfrm>
                                        <a:off x="2233076" y="117909"/>
                                        <a:ext cx="4762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0" name="Rectangle 47"/>
                                    <wps:cNvSpPr>
                                      <a:spLocks noChangeArrowheads="1"/>
                                    </wps:cNvSpPr>
                                    <wps:spPr bwMode="auto">
                                      <a:xfrm>
                                        <a:off x="1736514" y="117799"/>
                                        <a:ext cx="11176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vt,t</w:t>
                                          </w:r>
                                        </w:p>
                                      </w:txbxContent>
                                    </wps:txbx>
                                    <wps:bodyPr rot="0" vert="horz" wrap="none" lIns="0" tIns="0" rIns="0" bIns="0" anchor="t" anchorCtr="0" upright="1">
                                      <a:spAutoFit/>
                                    </wps:bodyPr>
                                  </wps:wsp>
                                  <wps:wsp>
                                    <wps:cNvPr id="12" name="Rectangle 49"/>
                                    <wps:cNvSpPr>
                                      <a:spLocks noChangeArrowheads="1"/>
                                    </wps:cNvSpPr>
                                    <wps:spPr bwMode="auto">
                                      <a:xfrm>
                                        <a:off x="1328805" y="109413"/>
                                        <a:ext cx="9334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g,t</w:t>
                                          </w:r>
                                        </w:p>
                                      </w:txbxContent>
                                    </wps:txbx>
                                    <wps:bodyPr rot="0" vert="horz" wrap="none" lIns="0" tIns="0" rIns="0" bIns="0" anchor="t" anchorCtr="0" upright="1">
                                      <a:spAutoFit/>
                                    </wps:bodyPr>
                                  </wps:wsp>
                                  <wps:wsp>
                                    <wps:cNvPr id="13" name="Rectangle 50"/>
                                    <wps:cNvSpPr>
                                      <a:spLocks noChangeArrowheads="1"/>
                                    </wps:cNvSpPr>
                                    <wps:spPr bwMode="auto">
                                      <a:xfrm>
                                        <a:off x="921796" y="109413"/>
                                        <a:ext cx="9334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g,t</w:t>
                                          </w:r>
                                        </w:p>
                                      </w:txbxContent>
                                    </wps:txbx>
                                    <wps:bodyPr rot="0" vert="horz" wrap="none" lIns="0" tIns="0" rIns="0" bIns="0" anchor="t" anchorCtr="0" upright="1">
                                      <a:spAutoFit/>
                                    </wps:bodyPr>
                                  </wps:wsp>
                                  <wps:wsp>
                                    <wps:cNvPr id="14" name="Rectangle 51"/>
                                    <wps:cNvSpPr>
                                      <a:spLocks noChangeArrowheads="1"/>
                                    </wps:cNvSpPr>
                                    <wps:spPr bwMode="auto">
                                      <a:xfrm>
                                        <a:off x="663500" y="109817"/>
                                        <a:ext cx="24700" cy="102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 w:val="14"/>
                                              <w:szCs w:val="14"/>
                                              <w:lang w:val="en-US"/>
                                            </w:rPr>
                                            <w:t>t</w:t>
                                          </w:r>
                                        </w:p>
                                      </w:txbxContent>
                                    </wps:txbx>
                                    <wps:bodyPr rot="0" vert="horz" wrap="none" lIns="0" tIns="0" rIns="0" bIns="0" anchor="t" anchorCtr="0" upright="1">
                                      <a:spAutoFit/>
                                    </wps:bodyPr>
                                  </wps:wsp>
                                  <wps:wsp>
                                    <wps:cNvPr id="15" name="Rectangle 52"/>
                                    <wps:cNvSpPr>
                                      <a:spLocks noChangeArrowheads="1"/>
                                    </wps:cNvSpPr>
                                    <wps:spPr bwMode="auto">
                                      <a:xfrm>
                                        <a:off x="3443377"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6" name="Rectangle 53"/>
                                    <wps:cNvSpPr>
                                      <a:spLocks noChangeArrowheads="1"/>
                                    </wps:cNvSpPr>
                                    <wps:spPr bwMode="auto">
                                      <a:xfrm>
                                        <a:off x="3094232"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7" name="Rectangle 54"/>
                                    <wps:cNvSpPr>
                                      <a:spLocks noChangeArrowheads="1"/>
                                    </wps:cNvSpPr>
                                    <wps:spPr bwMode="auto">
                                      <a:xfrm>
                                        <a:off x="2714700"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8" name="Rectangle 55"/>
                                    <wps:cNvSpPr>
                                      <a:spLocks noChangeArrowheads="1"/>
                                    </wps:cNvSpPr>
                                    <wps:spPr bwMode="auto">
                                      <a:xfrm>
                                        <a:off x="2363052"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19" name="Rectangle 56"/>
                                    <wps:cNvSpPr>
                                      <a:spLocks noChangeArrowheads="1"/>
                                    </wps:cNvSpPr>
                                    <wps:spPr bwMode="auto">
                                      <a:xfrm>
                                        <a:off x="1969528"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0" name="Rectangle 57"/>
                                    <wps:cNvSpPr>
                                      <a:spLocks noChangeArrowheads="1"/>
                                    </wps:cNvSpPr>
                                    <wps:spPr bwMode="auto">
                                      <a:xfrm>
                                        <a:off x="1631880"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1" name="Rectangle 58"/>
                                    <wps:cNvSpPr>
                                      <a:spLocks noChangeArrowheads="1"/>
                                    </wps:cNvSpPr>
                                    <wps:spPr bwMode="auto">
                                      <a:xfrm>
                                        <a:off x="1245948"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2" name="Rectangle 59"/>
                                    <wps:cNvSpPr>
                                      <a:spLocks noChangeArrowheads="1"/>
                                    </wps:cNvSpPr>
                                    <wps:spPr bwMode="auto">
                                      <a:xfrm>
                                        <a:off x="839132" y="16975"/>
                                        <a:ext cx="85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T</w:t>
                                          </w:r>
                                        </w:p>
                                      </w:txbxContent>
                                    </wps:txbx>
                                    <wps:bodyPr rot="0" vert="horz" wrap="none" lIns="0" tIns="0" rIns="0" bIns="0" anchor="t" anchorCtr="0" upright="1">
                                      <a:spAutoFit/>
                                    </wps:bodyPr>
                                  </wps:wsp>
                                  <wps:wsp>
                                    <wps:cNvPr id="23" name="Rectangle 60"/>
                                    <wps:cNvSpPr>
                                      <a:spLocks noChangeArrowheads="1"/>
                                    </wps:cNvSpPr>
                                    <wps:spPr bwMode="auto">
                                      <a:xfrm>
                                        <a:off x="187220" y="40310"/>
                                        <a:ext cx="1784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i/>
                                              <w:iCs/>
                                              <w:color w:val="000000"/>
                                              <w:szCs w:val="24"/>
                                              <w:lang w:val="en-US"/>
                                            </w:rPr>
                                            <w:t>VT</w:t>
                                          </w:r>
                                        </w:p>
                                      </w:txbxContent>
                                    </wps:txbx>
                                    <wps:bodyPr rot="0" vert="horz" wrap="none" lIns="0" tIns="0" rIns="0" bIns="0" anchor="t" anchorCtr="0" upright="1">
                                      <a:spAutoFit/>
                                    </wps:bodyPr>
                                  </wps:wsp>
                                  <wps:wsp>
                                    <wps:cNvPr id="24" name="Rectangle 61"/>
                                    <wps:cNvSpPr>
                                      <a:spLocks noChangeArrowheads="1"/>
                                    </wps:cNvSpPr>
                                    <wps:spPr bwMode="auto">
                                      <a:xfrm>
                                        <a:off x="3576702" y="109016"/>
                                        <a:ext cx="11176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25" name="Rectangle 62"/>
                                    <wps:cNvSpPr>
                                      <a:spLocks noChangeArrowheads="1"/>
                                    </wps:cNvSpPr>
                                    <wps:spPr bwMode="auto">
                                      <a:xfrm>
                                        <a:off x="3219222" y="109016"/>
                                        <a:ext cx="111760"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26" name="Rectangle 63"/>
                                    <wps:cNvSpPr>
                                      <a:spLocks noChangeArrowheads="1"/>
                                    </wps:cNvSpPr>
                                    <wps:spPr bwMode="auto">
                                      <a:xfrm>
                                        <a:off x="2094200" y="109117"/>
                                        <a:ext cx="1340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110</w:t>
                                          </w:r>
                                        </w:p>
                                      </w:txbxContent>
                                    </wps:txbx>
                                    <wps:bodyPr rot="0" vert="horz" wrap="none" lIns="0" tIns="0" rIns="0" bIns="0" anchor="t" anchorCtr="0" upright="1">
                                      <a:spAutoFit/>
                                    </wps:bodyPr>
                                  </wps:wsp>
                                  <wps:wsp>
                                    <wps:cNvPr id="27" name="Rectangle 64"/>
                                    <wps:cNvSpPr>
                                      <a:spLocks noChangeArrowheads="1"/>
                                    </wps:cNvSpPr>
                                    <wps:spPr bwMode="auto">
                                      <a:xfrm>
                                        <a:off x="1447100" y="109117"/>
                                        <a:ext cx="4508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2</w:t>
                                          </w:r>
                                        </w:p>
                                      </w:txbxContent>
                                    </wps:txbx>
                                    <wps:bodyPr rot="0" vert="horz" wrap="none" lIns="0" tIns="0" rIns="0" bIns="0" anchor="t" anchorCtr="0" upright="1">
                                      <a:spAutoFit/>
                                    </wps:bodyPr>
                                  </wps:wsp>
                                  <wps:wsp>
                                    <wps:cNvPr id="28" name="Rectangle 65"/>
                                    <wps:cNvSpPr>
                                      <a:spLocks noChangeArrowheads="1"/>
                                    </wps:cNvSpPr>
                                    <wps:spPr bwMode="auto">
                                      <a:xfrm>
                                        <a:off x="629900" y="109117"/>
                                        <a:ext cx="298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29" name="Rectangle 66"/>
                                    <wps:cNvSpPr>
                                      <a:spLocks noChangeArrowheads="1"/>
                                    </wps:cNvSpPr>
                                    <wps:spPr bwMode="auto">
                                      <a:xfrm>
                                        <a:off x="535900" y="109117"/>
                                        <a:ext cx="895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04</w:t>
                                          </w:r>
                                        </w:p>
                                      </w:txbxContent>
                                    </wps:txbx>
                                    <wps:bodyPr rot="0" vert="horz" wrap="none" lIns="0" tIns="0" rIns="0" bIns="0" anchor="t" anchorCtr="0" upright="1">
                                      <a:spAutoFit/>
                                    </wps:bodyPr>
                                  </wps:wsp>
                                  <wps:wsp>
                                    <wps:cNvPr id="30" name="Rectangle 67"/>
                                    <wps:cNvSpPr>
                                      <a:spLocks noChangeArrowheads="1"/>
                                    </wps:cNvSpPr>
                                    <wps:spPr bwMode="auto">
                                      <a:xfrm>
                                        <a:off x="509200" y="109117"/>
                                        <a:ext cx="229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31" name="Rectangle 68"/>
                                    <wps:cNvSpPr>
                                      <a:spLocks noChangeArrowheads="1"/>
                                    </wps:cNvSpPr>
                                    <wps:spPr bwMode="auto">
                                      <a:xfrm>
                                        <a:off x="416500" y="109117"/>
                                        <a:ext cx="895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10</w:t>
                                          </w:r>
                                        </w:p>
                                      </w:txbxContent>
                                    </wps:txbx>
                                    <wps:bodyPr rot="0" vert="horz" wrap="none" lIns="0" tIns="0" rIns="0" bIns="0" anchor="t" anchorCtr="0" upright="1">
                                      <a:spAutoFit/>
                                    </wps:bodyPr>
                                  </wps:wsp>
                                  <wps:wsp>
                                    <wps:cNvPr id="96" name="Rectangle 69"/>
                                    <wps:cNvSpPr>
                                      <a:spLocks noChangeArrowheads="1"/>
                                    </wps:cNvSpPr>
                                    <wps:spPr bwMode="auto">
                                      <a:xfrm>
                                        <a:off x="397500" y="109117"/>
                                        <a:ext cx="69200" cy="1754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rPr>
                                          </w:pPr>
                                        </w:p>
                                      </w:txbxContent>
                                    </wps:txbx>
                                    <wps:bodyPr rot="0" vert="horz" wrap="none" lIns="0" tIns="0" rIns="0" bIns="0" anchor="t" anchorCtr="0" upright="1">
                                      <a:spAutoFit/>
                                    </wps:bodyPr>
                                  </wps:wsp>
                                  <wps:wsp>
                                    <wps:cNvPr id="98" name="Rectangle 71"/>
                                    <wps:cNvSpPr>
                                      <a:spLocks noChangeArrowheads="1"/>
                                    </wps:cNvSpPr>
                                    <wps:spPr bwMode="auto">
                                      <a:xfrm>
                                        <a:off x="367600" y="109117"/>
                                        <a:ext cx="29900" cy="10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 w:val="14"/>
                                              <w:szCs w:val="14"/>
                                              <w:lang w:val="en-US"/>
                                            </w:rPr>
                                            <w:t>(</w:t>
                                          </w:r>
                                        </w:p>
                                      </w:txbxContent>
                                    </wps:txbx>
                                    <wps:bodyPr rot="0" vert="horz" wrap="none" lIns="0" tIns="0" rIns="0" bIns="0" anchor="t" anchorCtr="0" upright="1">
                                      <a:spAutoFit/>
                                    </wps:bodyPr>
                                  </wps:wsp>
                                  <wps:wsp>
                                    <wps:cNvPr id="99" name="Rectangle 72"/>
                                    <wps:cNvSpPr>
                                      <a:spLocks noChangeArrowheads="1"/>
                                    </wps:cNvSpPr>
                                    <wps:spPr bwMode="auto">
                                      <a:xfrm>
                                        <a:off x="3549000" y="17103"/>
                                        <a:ext cx="279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1" name="Rectangle 73"/>
                                    <wps:cNvSpPr>
                                      <a:spLocks noChangeArrowheads="1"/>
                                    </wps:cNvSpPr>
                                    <wps:spPr bwMode="auto">
                                      <a:xfrm>
                                        <a:off x="3199700" y="17103"/>
                                        <a:ext cx="280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3" name="Rectangle 74"/>
                                    <wps:cNvSpPr>
                                      <a:spLocks noChangeArrowheads="1"/>
                                    </wps:cNvSpPr>
                                    <wps:spPr bwMode="auto">
                                      <a:xfrm>
                                        <a:off x="2074500" y="17103"/>
                                        <a:ext cx="279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7" name="Rectangle 75"/>
                                    <wps:cNvSpPr>
                                      <a:spLocks noChangeArrowheads="1"/>
                                    </wps:cNvSpPr>
                                    <wps:spPr bwMode="auto">
                                      <a:xfrm>
                                        <a:off x="1736700" y="17103"/>
                                        <a:ext cx="279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8" name="Rectangle 76"/>
                                    <wps:cNvSpPr>
                                      <a:spLocks noChangeArrowheads="1"/>
                                    </wps:cNvSpPr>
                                    <wps:spPr bwMode="auto">
                                      <a:xfrm>
                                        <a:off x="365700" y="27704"/>
                                        <a:ext cx="28000" cy="1752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color w:val="000000"/>
                                              <w:szCs w:val="24"/>
                                              <w:lang w:val="en-US"/>
                                            </w:rPr>
                                            <w:t>'</w:t>
                                          </w:r>
                                        </w:p>
                                      </w:txbxContent>
                                    </wps:txbx>
                                    <wps:bodyPr rot="0" vert="horz" wrap="none" lIns="0" tIns="0" rIns="0" bIns="0" anchor="t" anchorCtr="0" upright="1">
                                      <a:spAutoFit/>
                                    </wps:bodyPr>
                                  </wps:wsp>
                                  <wps:wsp>
                                    <wps:cNvPr id="109" name="Rectangle 77"/>
                                    <wps:cNvSpPr>
                                      <a:spLocks noChangeArrowheads="1"/>
                                    </wps:cNvSpPr>
                                    <wps:spPr bwMode="auto">
                                      <a:xfrm>
                                        <a:off x="33642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0" name="Rectangle 78"/>
                                    <wps:cNvSpPr>
                                      <a:spLocks noChangeArrowheads="1"/>
                                    </wps:cNvSpPr>
                                    <wps:spPr bwMode="auto">
                                      <a:xfrm>
                                        <a:off x="29908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1" name="Rectangle 79"/>
                                    <wps:cNvSpPr>
                                      <a:spLocks noChangeArrowheads="1"/>
                                    </wps:cNvSpPr>
                                    <wps:spPr bwMode="auto">
                                      <a:xfrm>
                                        <a:off x="26117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2" name="Rectangle 80"/>
                                    <wps:cNvSpPr>
                                      <a:spLocks noChangeArrowheads="1"/>
                                    </wps:cNvSpPr>
                                    <wps:spPr bwMode="auto">
                                      <a:xfrm>
                                        <a:off x="22834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3" name="Rectangle 81"/>
                                    <wps:cNvSpPr>
                                      <a:spLocks noChangeArrowheads="1"/>
                                    </wps:cNvSpPr>
                                    <wps:spPr bwMode="auto">
                                      <a:xfrm>
                                        <a:off x="18897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4" name="Rectangle 82"/>
                                    <wps:cNvSpPr>
                                      <a:spLocks noChangeArrowheads="1"/>
                                    </wps:cNvSpPr>
                                    <wps:spPr bwMode="auto">
                                      <a:xfrm>
                                        <a:off x="15278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5" name="Rectangle 83"/>
                                    <wps:cNvSpPr>
                                      <a:spLocks noChangeArrowheads="1"/>
                                    </wps:cNvSpPr>
                                    <wps:spPr bwMode="auto">
                                      <a:xfrm>
                                        <a:off x="1153700" y="0"/>
                                        <a:ext cx="934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6" name="Rectangle 84"/>
                                    <wps:cNvSpPr>
                                      <a:spLocks noChangeArrowheads="1"/>
                                    </wps:cNvSpPr>
                                    <wps:spPr bwMode="auto">
                                      <a:xfrm>
                                        <a:off x="10401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7" name="Rectangle 85"/>
                                    <wps:cNvSpPr>
                                      <a:spLocks noChangeArrowheads="1"/>
                                    </wps:cNvSpPr>
                                    <wps:spPr bwMode="auto">
                                      <a:xfrm>
                                        <a:off x="730200" y="0"/>
                                        <a:ext cx="83800" cy="1866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Cs w:val="24"/>
                                              <w:lang w:val="en-US"/>
                                            </w:rPr>
                                            <w:t></w:t>
                                          </w:r>
                                        </w:p>
                                      </w:txbxContent>
                                    </wps:txbx>
                                    <wps:bodyPr rot="0" vert="horz" wrap="none" lIns="0" tIns="0" rIns="0" bIns="0" anchor="t" anchorCtr="0" upright="1">
                                      <a:spAutoFit/>
                                    </wps:bodyPr>
                                  </wps:wsp>
                                  <wps:wsp>
                                    <wps:cNvPr id="118" name="Rectangle 86"/>
                                    <wps:cNvSpPr>
                                      <a:spLocks noChangeArrowheads="1"/>
                                    </wps:cNvSpPr>
                                    <wps:spPr bwMode="auto">
                                      <a:xfrm>
                                        <a:off x="1405200" y="100215"/>
                                        <a:ext cx="48900" cy="109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GB"/>
                                            </w:rPr>
                                          </w:pPr>
                                          <w:r>
                                            <w:rPr>
                                              <w:rFonts w:ascii="Symbol" w:hAnsi="Symbol" w:cs="Symbol"/>
                                              <w:color w:val="000000"/>
                                              <w:sz w:val="14"/>
                                              <w:szCs w:val="14"/>
                                              <w:lang w:val="en-US"/>
                                            </w:rPr>
                                            <w:t></w:t>
                                          </w:r>
                                        </w:p>
                                      </w:txbxContent>
                                    </wps:txbx>
                                    <wps:bodyPr rot="0" vert="horz" wrap="none" lIns="0" tIns="0" rIns="0" bIns="0" anchor="t" anchorCtr="0" upright="1">
                                      <a:spAutoFit/>
                                    </wps:bodyPr>
                                  </wps:wsp>
                                </wpc:wpc>
                              </a:graphicData>
                            </a:graphic>
                          </wp:inline>
                        </w:drawing>
                      </mc:Choice>
                      <mc:Fallback>
                        <w:pict>
                          <v:group id="Canvas 74" o:spid="_x0000_s1117" editas="canvas" style="width:431.35pt;height:30.7pt;mso-position-horizontal-relative:char;mso-position-vertical-relative:line" coordsize="54781,389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aThpDQwkAAJqzAAAOAAAAZHJzL2Uyb0RvYy54bWzsnW2Pm8oVx99X6ndAvHc8TzCMFecqdx23 ldLeq3vbD8Da2Ea1gQJZb1r1u/fMYAbbkG3Um52gclbKhjWYh4H5cR7+c+btD8+no/eUlFWaZ0uf viG+l2SbfJtm+6X/t7+uZ5HvVXWcbeNjniVL/3NS+T+8+/3v3p6LRcLyQ37cJqUHO8mqxblY+oe6 LhbzebU5JKe4epMXSQYrd3l5imv4s9zPt2V8hr2fjnNGSDg/5+W2KPNNUlXw6apZ6b8z+9/tkk39 025XJbV3XPpwbrX5XZrfj/r3/N3beLEv4+KQbi6nEf8PZ3GK0wwOane1iuvY+1SmvV2d0k2ZV/mu frPJT/N8t0s3ibkGuBpK7q7mIc6e4spczAZapz1BWPqG+33c6/PO8nV6PEJrzGHvC/2Z/v8M9yeB D88F3J2qsPep+m3H//UQF4m5rGqx+cvTz6WXbpc+970sPsEz8gvctTjbHxNPMH2D9NFhs1+Ln0t9 qlXxMd/8vfKy/OEAmyXvyzI/H5J4C2dF9fZwCVdf0H9U8FXv8fznfAu7jz/VublXz7vypHcId8F7 huOHStIw9L3PsB/KpAiapyN5rr0NrKeEMR743kavb5b1weJFu5+irOo/JPnJ0wtLv4TLMMeJnz5W dbNpu8lNk8eLY3bzAeyz+QQODV/V6/RJmOfpX4qoD9GHSMwECz/MBFmtZu/XD2IWrqkMVnz18LCi /9bHpWJxSLfbJNN3tn22qfi6W3fpZc1TaZ/uKj+mW707fUpVuX98OJbeUwx9a21+TOvDmm6z+e1p mPaCa7m7JMoE+ZGp2TqM5EysRTBTkkQzQtWPKiRCidX69pI+plny2y/JOy99FbDA3KWrk767NmJ+ +tcWL05pDfQ6pqelH9mN4oV+GD9kW7jl8aKO02OzfNUU+vS7poDb3d5o8+jqp7V56uvnx2fTNyKh D68f5cd8+xke5jKHJwyABuiFhUNe/tP3zoCxpV/941NcJr53/FMGHUIzr10o24XHdiHONvDVpV/7 XrP4UDds/FSU6f4Ae6ZN2xTvodOsU/MUd2dx6WpABkeIgM7ZQwRvW+a1EOHtjmnxx7YpWlhwHgW0 hYUM1eVVovuphkUYcAmvvgsruGjAhKxAVrw+K8x7q+ulE2WFHGCFpehrsUIT/0IIJhWV8kIIohg1 tkzzJteEYBELJJoTaE50FpU7cyJsX5qTNifgBd0zJyw8XSBCCMYiYIDxKCJF74wIKgjYwY0VoVSo zLmhw4EOhwOHQ341ITII7HxbdyPLtbux++7uhhrggyWnCz4wzklrQlAJnr++KZ0JIWQIzmvrZOjg RBNlwIAEBiReOyARfUc+VCMJR8D7um9AWHA6AASVPAyouIQspVR3gKCUyvBiQGDI8i6shyHL1w1Z mmfxq8IQ396CGA0h2AAhbMO4IARnUURaF0MJasKlnQmhOIc8B5oQmNNo0zrOghBNyHzqgBjIegYm DKAbxgEgIDAplY1SIh+yPeY8tVbC2gYQb7pJjbrjg8mZTZ0PYNzfxygD2zAO+BCGPCDgQpgQpYqo cW86+4EJqde2mgjIiGIIAjURTjQRyoqD/msS4//YwQDjvccH2zAO+MCF4FxCslUDAhRUJgbZ8SEK CNh5DR9kwCAYgXxAPrjhg1UGTZkPA5KpwDaMCz4QJRiHMAjyATWVnV50DP6FVQNNmQ8DMqnANowD PjBJGxcC+YB8GBcfrBRoynwY0EgFtmFc8IGHnARoP8AwIeTDuPhgpUBT5sOARiqwDeOAD1TrIhlQ Cu0H5MO4+GCVQBPmA4PgXy8+aRvGBR9CTkEBgXxA++F6vOoY4g8ooYRRUHSAD7ZhXPCBiUAJtB/Q v7gZzz4GPlid4JTthwEBZWAbxgEfIq4opi90lRJ0L0blXlDQ3UAufeL6KDagn2xEBo70kzSSTDs5 EH4QhPdGcMpI2JoxqH/AmjEOa8ZQYnWCUzYgBgSUoW0YBwYED2QoySWBAWKoRiLZKaRwjNatvvjG DMcxWlaH/RplpWBMINoQvh5DfR+jDG3DuEAEo4oxRIQphohuxsjcDKsWnLIVMSCjDG3DOEAE0zLK bhwGjOvW4L6yIriAN4UdiMFxIAYWp3RVnJISKxicMiIGlJShbRgHiKBCSB0UMkoIonqIEAHRtaba oVpYLQYJ4Y4QVjI4ZUIMaClD2zAOCBEypV4ABFNQxNgCAk2Ia70ABiJeORBhNYNTBsSAmBIK0l+y PA4AEfDgJUBEygwFb4tao4+BFoQ7C8KKBicMCA6v516k0jaMC0BAIeuXLAhm8IGAwBkyLgW1nFWL ocSqBqcMiAE5ZWgbxgEgBA2vysX0YhBoQdzUUsJcp7spdGhTPXnieild6q1nQbjUU3IoEfOCBRE2 9oWxIGQgmDFusOQ9lrx//ZL3tBHvTR0QA0FK6VQvFULJ6i9nMS4hTHQx0MVw7mJQ2w8m7GJAjfme BSGdqqUCAVGGCyEg42lkGJ0SAubd0isvFgRDCwKDlM6ClM0cbxO3ILTuvE8Il2IpThXMm/VlQui5 WpEQbcF3DEI4DEI08y9MnhADo7akS60UIzC99wuEQBuim8Ibp80Bna27PAZM54TDOikZUFM2taU1 Ox0kMvTUWi/ZEEgIJMRNLschIaxmcMJhCJ3v7XsZLsVSMPVeCwgmZaOBvwpDoJOBgPhegLDdYNKA GApUuhRLcR7aMVt3M3tHvJNaRyHosrXNh2lOTHO6SHPaPjBlOgzN3StdKqV0ItNAACrHIB1w0r1x TLpHqe0Dk6bDUArDpUyKhaCdvAQokQ5Ih7HQwfaBSdNhoCgllJh2N06LsUjXezBDvZEOSIeR0AHq IGLqgkKKtxeYjKxyzEXqIoqs/AHpgHQYCx1sH5i07TBQjzJyKZ+kAZMYd8Bq1leyUFPawbwpIAT9 nXIWUP4QbQdKB0pRRi6lk3AG/AtxB9W4HEZYjTkLLGXtUhQFZd6RDhQKrvQ9CysXc+FZEEHaEnPo WaBnMRbPwvaBSXsWA5JJKPjoLiopOWmLwyAcEA5jgYPtApOGw4BaMrIyMRemg4BZvNsRF4Qw8HSA TJ1eUkTdsE2ieFPfGhVRqIhyoIhitiOMExHzc7FZwD8jEdyXcXFIN6u4jq//huVzsUhYfsiP26R8 9x8AAAD//wMAUEsDBBQABgAIAAAAIQB6uaiG2AAAAAQBAAAPAAAAZHJzL2Rvd25yZXYueG1sTI/B TsMwEETvSPyDtUjcqNMKQhTiVICEOAKBC7dNvMSBeB3F2zb8PYYLvaw0mtHM22q7+FHtaY5DYAPr VQaKuAt24N7A2+vDRQEqCrLFMTAZ+KYI2/r0pMLShgO/0L6RXqUSjiUacCJTqXXsHHmMqzARJ+8j zB4lybnXdsZDKvej3mRZrj0OnBYcTnTvqPtqdt5AKHC8695bsfLpnvrH5/yqYTTm/Gy5vQEltMh/ GH7xEzrUiakNO7ZRjQbSI/J3k1fkm2tQrYF8fQm6rvQxfP0DAAD//wMAUEsBAi0AFAAGAAgAAAAh ALaDOJL+AAAA4QEAABMAAAAAAAAAAAAAAAAAAAAAAFtDb250ZW50X1R5cGVzXS54bWxQSwECLQAU AAYACAAAACEAOP0h/9YAAACUAQAACwAAAAAAAAAAAAAAAAAvAQAAX3JlbHMvLnJlbHNQSwECLQAU AAYACAAAACEAGk4aQ0MJAACaswAADgAAAAAAAAAAAAAAAAAuAgAAZHJzL2Uyb0RvYy54bWxQSwEC LQAUAAYACAAAACEAermohtgAAAAEAQAADwAAAAAAAAAAAAAAAACdCwAAZHJzL2Rvd25yZXYueG1s UEsFBgAAAAAEAAQA8wAAAKIMAAAAAA== ">
                            <v:shape id="_x0000_s1118" type="#_x0000_t75" style="position:absolute;width:54781;height:3892;visibility:visible;mso-wrap-style:square">
                              <v:fill o:detectmouseclick="t"/>
                              <v:path o:connecttype="none"/>
                            </v:shape>
                            <v:rect id="Rectangle 42" o:spid="_x0000_s1119" style="position:absolute;left:36971;top:1127;width:1023;height:102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kSrsQA AADaAAAADwAAAGRycy9kb3ducmV2LnhtbESPQWvCQBSE7wX/w/IEL6VuqlDS6CoiCB4EMe1Bb4/s M5s2+zZktyb6611B6HGYmW+Y+bK3tbhQ6yvHCt7HCQjiwumKSwXfX5u3FIQPyBprx6TgSh6Wi8HL HDPtOj7QJQ+liBD2GSowITSZlL4wZNGPXUMcvbNrLYYo21LqFrsIt7WcJMmHtFhxXDDY0NpQ8Zv/ WQWb/bEivsnD62fauZ9icsrNrlFqNOxXMxCB+vAffra3WsEUHlfiDZCLOwAAAP//AwBQSwECLQAU AAYACAAAACEA8PeKu/0AAADiAQAAEwAAAAAAAAAAAAAAAAAAAAAAW0NvbnRlbnRfVHlwZXNdLnht bFBLAQItABQABgAIAAAAIQAx3V9h0gAAAI8BAAALAAAAAAAAAAAAAAAAAC4BAABfcmVscy8ucmVs c1BLAQItABQABgAIAAAAIQAzLwWeQQAAADkAAAAQAAAAAAAAAAAAAAAAACkCAABkcnMvc2hhcGV4 bWwueG1sUEsBAi0AFAAGAAgAAAAhAPs5Eq7EAAAA2gAAAA8AAAAAAAAAAAAAAAAAmAIAAGRycy9k b3ducmV2LnhtbFBLBQYAAAAABAAEAPUAAACJAwAAAAA= " filled="f" stroked="f">
                              <v:textbox style="mso-fit-shape-to-text:t" inset="0,0,0,0">
                                <w:txbxContent>
                                  <w:p>
                                    <w:pPr>
                                      <w:rPr>
                                        <w:szCs w:val="24"/>
                                        <w:lang w:val="en-GB"/>
                                      </w:rPr>
                                    </w:pPr>
                                    <w:r>
                                      <w:rPr>
                                        <w:i/>
                                        <w:iCs/>
                                        <w:color w:val="000000"/>
                                        <w:sz w:val="14"/>
                                        <w:szCs w:val="14"/>
                                        <w:lang w:val="en-US"/>
                                      </w:rPr>
                                      <w:t>t</w:t>
                                    </w:r>
                                  </w:p>
                                </w:txbxContent>
                              </v:textbox>
                            </v:rect>
                            <v:rect id="Rectangle 43" o:spid="_x0000_s1120" style="position:absolute;left:33385;top:1176;width:653;height:1024;flip:x;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o53dIsEA AADaAAAADwAAAGRycy9kb3ducmV2LnhtbESPQWvCQBSE7wX/w/IEb3XTIkGiq5RKtYdcjP6AR/aZ hGbfxt2npv++Wyj0OMzMN8x6O7pe3SnEzrOBl3kGirj2tuPGwPn08bwEFQXZYu+ZDHxThO1m8rTG wvoHH+leSaMShGOBBlqRodA61i05jHM/ECfv4oNDSTI02gZ8JLjr9WuW5dphx2mhxYHeW6q/qpsz gNdqfwpRGsF8V5aL8qDPw8GY2XR8W4ESGuU//Nf+tAZy+L2SboDe/AAAAP//AwBQSwECLQAUAAYA CAAAACEA8PeKu/0AAADiAQAAEwAAAAAAAAAAAAAAAAAAAAAAW0NvbnRlbnRfVHlwZXNdLnhtbFBL AQItABQABgAIAAAAIQAx3V9h0gAAAI8BAAALAAAAAAAAAAAAAAAAAC4BAABfcmVscy8ucmVsc1BL AQItABQABgAIAAAAIQAzLwWeQQAAADkAAAAQAAAAAAAAAAAAAAAAACkCAABkcnMvc2hhcGV4bWwu eG1sUEsBAi0AFAAGAAgAAAAhAKOd3SLBAAAA2gAAAA8AAAAAAAAAAAAAAAAAmAIAAGRycy9kb3du cmV2LnhtbFBLBQYAAAAABAAEAPUAAACGAwAAAAA= " filled="f" stroked="f">
                              <v:textbox style="mso-fit-shape-to-text:t" inset="0,0,0,0">
                                <w:txbxContent>
                                  <w:p>
                                    <w:pPr>
                                      <w:rPr>
                                        <w:szCs w:val="24"/>
                                        <w:lang w:val="en-GB"/>
                                      </w:rPr>
                                    </w:pPr>
                                    <w:r>
                                      <w:rPr>
                                        <w:i/>
                                        <w:iCs/>
                                        <w:color w:val="000000"/>
                                        <w:sz w:val="14"/>
                                        <w:szCs w:val="14"/>
                                        <w:lang w:val="en-US"/>
                                      </w:rPr>
                                      <w:t>t</w:t>
                                    </w:r>
                                  </w:p>
                                </w:txbxContent>
                              </v:textbox>
                            </v:rect>
                            <v:rect id="Rectangle 44" o:spid="_x0000_s1121" style="position:absolute;left:27917;top:1092;width:2826;height:102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AIUrcQA AADaAAAADwAAAGRycy9kb3ducmV2LnhtbESPQWvCQBSE7wX/w/IEL6Vu6sGm0VVEEDwIYtqD3h7Z ZzZt9m3Ibk3017uC0OMwM98w82Vva3Gh1leOFbyPExDEhdMVlwq+vzZvKQgfkDXWjknBlTwsF4OX OWbadXygSx5KESHsM1RgQmgyKX1hyKIfu4Y4emfXWgxRtqXULXYRbms5SZKptFhxXDDY0NpQ8Zv/ WQWb/bEivsnD62fauZ9icsrNrlFqNOxXMxCB+vAffra3WsEHPK7EGyAXdwAAAP//AwBQSwECLQAU AAYACAAAACEA8PeKu/0AAADiAQAAEwAAAAAAAAAAAAAAAAAAAAAAW0NvbnRlbnRfVHlwZXNdLnht bFBLAQItABQABgAIAAAAIQAx3V9h0gAAAI8BAAALAAAAAAAAAAAAAAAAAC4BAABfcmVscy8ucmVs c1BLAQItABQABgAIAAAAIQAzLwWeQQAAADkAAAAQAAAAAAAAAAAAAAAAACkCAABkcnMvc2hhcGV4 bWwueG1sUEsBAi0AFAAGAAgAAAAhAIQCFK3EAAAA2gAAAA8AAAAAAAAAAAAAAAAAmAIAAGRycy9k b3ducmV2LnhtbFBLBQYAAAAABAAEAPUAAACJAwAAAAA= " filled="f" stroked="f">
                              <v:textbox style="mso-fit-shape-to-text:t" inset="0,0,0,0">
                                <w:txbxContent>
                                  <w:p>
                                    <w:pPr>
                                      <w:rPr>
                                        <w:szCs w:val="24"/>
                                        <w:lang w:val="en-GB"/>
                                      </w:rPr>
                                    </w:pPr>
                                    <w:r>
                                      <w:rPr>
                                        <w:i/>
                                        <w:iCs/>
                                        <w:color w:val="000000"/>
                                        <w:sz w:val="14"/>
                                        <w:szCs w:val="14"/>
                                        <w:lang w:val="en-US"/>
                                      </w:rPr>
                                      <w:t>viap,t</w:t>
                                    </w:r>
                                  </w:p>
                                </w:txbxContent>
                              </v:textbox>
                            </v:rect>
                            <v:rect id="Rectangle 45" o:spid="_x0000_s1122" style="position:absolute;left:24422;top:1089;width:1410;height:997;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7ZPhL8A AADaAAAADwAAAGRycy9kb3ducmV2LnhtbERPy4rCMBTdD/gP4QruxrSDiFaj6MCgCC58fMCluTbV 5qaTRO38/WQhuDyc93zZ2UY8yIfasYJ8mIEgLp2uuVJwPv18TkCEiKyxcUwK/ijActH7mGOh3ZMP 9DjGSqQQDgUqMDG2hZShNGQxDF1LnLiL8xZjgr6S2uMzhdtGfmXZWFqsOTUYbOnbUHk73q0CWm8O 0+sqmL30ecj3u/F0tPlVatDvVjMQkbr4Fr/cW60gbU1X0g2Qi38AAAD//wMAUEsBAi0AFAAGAAgA AAAhAPD3irv9AAAA4gEAABMAAAAAAAAAAAAAAAAAAAAAAFtDb250ZW50X1R5cGVzXS54bWxQSwEC LQAUAAYACAAAACEAMd1fYdIAAACPAQAACwAAAAAAAAAAAAAAAAAuAQAAX3JlbHMvLnJlbHNQSwEC LQAUAAYACAAAACEAMy8FnkEAAAA5AAAAEAAAAAAAAAAAAAAAAAApAgAAZHJzL3NoYXBleG1sLnht bFBLAQItABQABgAIAAAAIQCbtk+EvwAAANoAAAAPAAAAAAAAAAAAAAAAAJgCAABkcnMvZG93bnJl di54bWxQSwUGAAAAAAQABAD1AAAAhAMAAAAA " filled="f" stroked="f">
                              <v:textbox inset="0,0,0,0">
                                <w:txbxContent>
                                  <w:p>
                                    <w:pPr>
                                      <w:rPr>
                                        <w:szCs w:val="24"/>
                                        <w:lang w:val="en-GB"/>
                                      </w:rPr>
                                    </w:pPr>
                                    <w:r>
                                      <w:rPr>
                                        <w:i/>
                                        <w:iCs/>
                                        <w:color w:val="000000"/>
                                        <w:sz w:val="14"/>
                                        <w:szCs w:val="14"/>
                                        <w:lang w:val="en-US"/>
                                      </w:rPr>
                                      <w:t>sis,t</w:t>
                                    </w:r>
                                  </w:p>
                                </w:txbxContent>
                              </v:textbox>
                            </v:rect>
                            <v:rect id="Rectangle 46" o:spid="_x0000_s1123" style="position:absolute;left:22330;top:1179;width:47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GiK8EA AADaAAAADwAAAGRycy9kb3ducmV2LnhtbESPzWrDMBCE74W8g9hAb40cH4rrRgklEEhKLrb7AIu1 /qHSykhK7L59VQj0OMzMN8zusFgj7uTD6FjBdpOBIG6dHrlX8NWcXgoQISJrNI5JwQ8FOOxXTzss tZu5onsde5EgHEpUMMQ4lVKGdiCLYeMm4uR1zluMSfpeao9zglsj8yx7lRZHTgsDTnQcqP2ub1aB bOrTXNTGZ+4z767mcq46cko9r5ePdxCRlvgffrTPWsEb/F1JN0DufwEAAP//AwBQSwECLQAUAAYA CAAAACEA8PeKu/0AAADiAQAAEwAAAAAAAAAAAAAAAAAAAAAAW0NvbnRlbnRfVHlwZXNdLnhtbFBL AQItABQABgAIAAAAIQAx3V9h0gAAAI8BAAALAAAAAAAAAAAAAAAAAC4BAABfcmVscy8ucmVsc1BL AQItABQABgAIAAAAIQAzLwWeQQAAADkAAAAQAAAAAAAAAAAAAAAAACkCAABkcnMvc2hhcGV4bWwu eG1sUEsBAi0AFAAGAAgAAAAhAP6RoivBAAAA2gAAAA8AAAAAAAAAAAAAAAAAmAIAAGRycy9kb3du cmV2LnhtbFBLBQYAAAAABAAEAPUAAACGAwAAAAA= " filled="f" stroked="f">
                              <v:textbox style="mso-fit-shape-to-text:t" inset="0,0,0,0">
                                <w:txbxContent>
                                  <w:p>
                                    <w:pPr>
                                      <w:rPr>
                                        <w:szCs w:val="24"/>
                                        <w:lang w:val="en-GB"/>
                                      </w:rPr>
                                    </w:pPr>
                                    <w:r>
                                      <w:rPr>
                                        <w:i/>
                                        <w:iCs/>
                                        <w:color w:val="000000"/>
                                        <w:sz w:val="14"/>
                                        <w:szCs w:val="14"/>
                                        <w:lang w:val="en-US"/>
                                      </w:rPr>
                                      <w:t>,t</w:t>
                                    </w:r>
                                  </w:p>
                                </w:txbxContent>
                              </v:textbox>
                            </v:rect>
                            <v:rect id="Rectangle 47" o:spid="_x0000_s1124" style="position:absolute;left:17365;top:1177;width:1117;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DYWgsEA AADbAAAADwAAAGRycy9kb3ducmV2LnhtbESPT2sCMRDF74V+hzCF3mq2HkRWo4ggaPHi6gcYNrN/ MJksSequ375zKHib4b157zfr7eSdelBMfWAD37MCFHEdbM+tgdv18LUElTKyRReYDDwpwXbz/rbG 0oaRL/SocqskhFOJBrqch1LrVHfkMc3CQCxaE6LHLGtstY04Srh3el4UC+2xZ2nocKB9R/W9+vUG 9LU6jMvKxSL8zJuzOx0vDQVjPj+m3QpUpim/zP/XRyv4Qi+/yAB68wcAAP//AwBQSwECLQAUAAYA CAAAACEA8PeKu/0AAADiAQAAEwAAAAAAAAAAAAAAAAAAAAAAW0NvbnRlbnRfVHlwZXNdLnhtbFBL AQItABQABgAIAAAAIQAx3V9h0gAAAI8BAAALAAAAAAAAAAAAAAAAAC4BAABfcmVscy8ucmVsc1BL AQItABQABgAIAAAAIQAzLwWeQQAAADkAAAAQAAAAAAAAAAAAAAAAACkCAABkcnMvc2hhcGV4bWwu eG1sUEsBAi0AFAAGAAgAAAAhAFQ2FoLBAAAA2wAAAA8AAAAAAAAAAAAAAAAAmAIAAGRycy9kb3du cmV2LnhtbFBLBQYAAAAABAAEAPUAAACGAwAAAAA= " filled="f" stroked="f">
                              <v:textbox style="mso-fit-shape-to-text:t" inset="0,0,0,0">
                                <w:txbxContent>
                                  <w:p>
                                    <w:pPr>
                                      <w:rPr>
                                        <w:szCs w:val="24"/>
                                        <w:lang w:val="en-GB"/>
                                      </w:rPr>
                                    </w:pPr>
                                    <w:r>
                                      <w:rPr>
                                        <w:i/>
                                        <w:iCs/>
                                        <w:color w:val="000000"/>
                                        <w:sz w:val="14"/>
                                        <w:szCs w:val="14"/>
                                        <w:lang w:val="en-US"/>
                                      </w:rPr>
                                      <w:t>vt,t</w:t>
                                    </w:r>
                                  </w:p>
                                </w:txbxContent>
                              </v:textbox>
                            </v:rect>
                            <v:rect id="Rectangle 49" o:spid="_x0000_s1125" style="position:absolute;left:13288;top:1094;width:933;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6gtbr0A AADbAAAADwAAAGRycy9kb3ducmV2LnhtbERPzYrCMBC+L/gOYQRva2oPItUoIggqXqz7AEMz/cFk UpJo69ubhYW9zcf3O5vdaI14kQ+dYwWLeQaCuHK640bBz/34vQIRIrJG45gUvCnAbjv52mCh3cA3 epWxESmEQ4EK2hj7QspQtWQxzF1PnLjaeYsxQd9I7XFI4dbIPMuW0mLHqaHFng4tVY/yaRXIe3kc VqXxmbvk9dWcT7eanFKz6bhfg4g0xn/xn/uk0/wcfn9JB8jtBwAA//8DAFBLAQItABQABgAIAAAA IQDw94q7/QAAAOIBAAATAAAAAAAAAAAAAAAAAAAAAABbQ29udGVudF9UeXBlc10ueG1sUEsBAi0A FAAGAAgAAAAhADHdX2HSAAAAjwEAAAsAAAAAAAAAAAAAAAAALgEAAF9yZWxzLy5yZWxzUEsBAi0A FAAGAAgAAAAhADMvBZ5BAAAAOQAAABAAAAAAAAAAAAAAAAAAKQIAAGRycy9zaGFwZXhtbC54bWxQ SwECLQAUAAYACAAAACEAy6gtbr0AAADbAAAADwAAAAAAAAAAAAAAAACYAgAAZHJzL2Rvd25yZXYu eG1sUEsFBgAAAAAEAAQA9QAAAIIDAAAAAA== " filled="f" stroked="f">
                              <v:textbox style="mso-fit-shape-to-text:t" inset="0,0,0,0">
                                <w:txbxContent>
                                  <w:p>
                                    <w:pPr>
                                      <w:rPr>
                                        <w:szCs w:val="24"/>
                                        <w:lang w:val="en-GB"/>
                                      </w:rPr>
                                    </w:pPr>
                                    <w:r>
                                      <w:rPr>
                                        <w:i/>
                                        <w:iCs/>
                                        <w:color w:val="000000"/>
                                        <w:sz w:val="14"/>
                                        <w:szCs w:val="14"/>
                                        <w:lang w:val="en-US"/>
                                      </w:rPr>
                                      <w:t>g,t</w:t>
                                    </w:r>
                                  </w:p>
                                </w:txbxContent>
                              </v:textbox>
                            </v:rect>
                            <v:rect id="Rectangle 50" o:spid="_x0000_s1126" style="position:absolute;left:9217;top:1094;width:934;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OSI9b4A AADbAAAADwAAAGRycy9kb3ducmV2LnhtbERP24rCMBB9F/Yfwiz4ZtNVEKlGkQXBlX2x+gFDM71g MilJ1ta/N8KCb3M419nsRmvEnXzoHCv4ynIQxJXTHTcKrpfDbAUiRGSNxjEpeFCA3fZjssFCu4HP dC9jI1IIhwIVtDH2hZShasliyFxPnLjaeYsxQd9I7XFI4dbIeZ4vpcWOU0OLPX23VN3KP6tAXsrD sCqNz91pXv+an+O5JqfU9HPcr0FEGuNb/O8+6jR/Aa9f0gFy+wQAAP//AwBQSwECLQAUAAYACAAA ACEA8PeKu/0AAADiAQAAEwAAAAAAAAAAAAAAAAAAAAAAW0NvbnRlbnRfVHlwZXNdLnhtbFBLAQIt ABQABgAIAAAAIQAx3V9h0gAAAI8BAAALAAAAAAAAAAAAAAAAAC4BAABfcmVscy8ucmVsc1BLAQIt ABQABgAIAAAAIQAzLwWeQQAAADkAAAAQAAAAAAAAAAAAAAAAACkCAABkcnMvc2hhcGV4bWwueG1s UEsBAi0AFAAGAAgAAAAhAKTkiPW+AAAA2wAAAA8AAAAAAAAAAAAAAAAAmAIAAGRycy9kb3ducmV2 LnhtbFBLBQYAAAAABAAEAPUAAACDAwAAAAA= " filled="f" stroked="f">
                              <v:textbox style="mso-fit-shape-to-text:t" inset="0,0,0,0">
                                <w:txbxContent>
                                  <w:p>
                                    <w:pPr>
                                      <w:rPr>
                                        <w:szCs w:val="24"/>
                                        <w:lang w:val="en-GB"/>
                                      </w:rPr>
                                    </w:pPr>
                                    <w:r>
                                      <w:rPr>
                                        <w:i/>
                                        <w:iCs/>
                                        <w:color w:val="000000"/>
                                        <w:sz w:val="14"/>
                                        <w:szCs w:val="14"/>
                                        <w:lang w:val="en-US"/>
                                      </w:rPr>
                                      <w:t>g,t</w:t>
                                    </w:r>
                                  </w:p>
                                </w:txbxContent>
                              </v:textbox>
                            </v:rect>
                            <v:rect id="Rectangle 51" o:spid="_x0000_s1127" style="position:absolute;left:6635;top:1098;width:24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w0Qgb4A AADbAAAADwAAAGRycy9kb3ducmV2LnhtbERP24rCMBB9F/Yfwiz4ZtMVEalGkQXBlX2x+gFDM71g MilJ1ta/N8KCb3M419nsRmvEnXzoHCv4ynIQxJXTHTcKrpfDbAUiRGSNxjEpeFCA3fZjssFCu4HP dC9jI1IIhwIVtDH2hZShasliyFxPnLjaeYsxQd9I7XFI4dbIeZ4vpcWOU0OLPX23VN3KP6tAXsrD sCqNz91pXv+an+O5JqfU9HPcr0FEGuNb/O8+6jR/Aa9f0gFy+wQAAP//AwBQSwECLQAUAAYACAAA ACEA8PeKu/0AAADiAQAAEwAAAAAAAAAAAAAAAAAAAAAAW0NvbnRlbnRfVHlwZXNdLnhtbFBLAQIt ABQABgAIAAAAIQAx3V9h0gAAAI8BAAALAAAAAAAAAAAAAAAAAC4BAABfcmVscy8ucmVsc1BLAQIt ABQABgAIAAAAIQAzLwWeQQAAADkAAAAQAAAAAAAAAAAAAAAAACkCAABkcnMvc2hhcGV4bWwueG1s UEsBAi0AFAAGAAgAAAAhACsNEIG+AAAA2wAAAA8AAAAAAAAAAAAAAAAAmAIAAGRycy9kb3ducmV2 LnhtbFBLBQYAAAAABAAEAPUAAACDAwAAAAA= " filled="f" stroked="f">
                              <v:textbox style="mso-fit-shape-to-text:t" inset="0,0,0,0">
                                <w:txbxContent>
                                  <w:p>
                                    <w:pPr>
                                      <w:rPr>
                                        <w:szCs w:val="24"/>
                                        <w:lang w:val="en-GB"/>
                                      </w:rPr>
                                    </w:pPr>
                                    <w:r>
                                      <w:rPr>
                                        <w:i/>
                                        <w:iCs/>
                                        <w:color w:val="000000"/>
                                        <w:sz w:val="14"/>
                                        <w:szCs w:val="14"/>
                                        <w:lang w:val="en-US"/>
                                      </w:rPr>
                                      <w:t>t</w:t>
                                    </w:r>
                                  </w:p>
                                </w:txbxContent>
                              </v:textbox>
                            </v:rect>
                            <v:rect id="Rectangle 52" o:spid="_x0000_s1128" style="position:absolute;left:34433;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EG1Gr4A AADbAAAADwAAAGRycy9kb3ducmV2LnhtbERP24rCMBB9F/Yfwiz4ZtMVFKlGkQXBlX2x+gFDM71g MilJ1ta/N8KCb3M419nsRmvEnXzoHCv4ynIQxJXTHTcKrpfDbAUiRGSNxjEpeFCA3fZjssFCu4HP dC9jI1IIhwIVtDH2hZShasliyFxPnLjaeYsxQd9I7XFI4dbIeZ4vpcWOU0OLPX23VN3KP6tAXsrD sCqNz91pXv+an+O5JqfU9HPcr0FEGuNb/O8+6jR/Aa9f0gFy+wQAAP//AwBQSwECLQAUAAYACAAA ACEA8PeKu/0AAADiAQAAEwAAAAAAAAAAAAAAAAAAAAAAW0NvbnRlbnRfVHlwZXNdLnhtbFBLAQIt ABQABgAIAAAAIQAx3V9h0gAAAI8BAAALAAAAAAAAAAAAAAAAAC4BAABfcmVscy8ucmVsc1BLAQIt ABQABgAIAAAAIQAzLwWeQQAAADkAAAAQAAAAAAAAAAAAAAAAACkCAABkcnMvc2hhcGV4bWwueG1s UEsBAi0AFAAGAAgAAAAhAERBtRq+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3" o:spid="_x0000_s1129" style="position:absolute;left:30942;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JMrbb4A AADbAAAADwAAAGRycy9kb3ducmV2LnhtbERPzYrCMBC+C/sOYYS9aaoHkWoUEQp12YvVBxia6Q8m k5JkbX37zcKCt/n4fmd/nKwRT/Khd6xgtcxAENdO99wquN+KxRZEiMgajWNS8KIAx8PHbI+5diNf 6VnFVqQQDjkq6GIccilD3ZHFsHQDceIa5y3GBH0rtccxhVsj11m2kRZ7Tg0dDnTuqH5UP1aBvFXF uK2Mz9zXuvk2l/LakFPqcz6ddiAiTfEt/neXOs3fwN8v6QB5+AUAAP//AwBQSwECLQAUAAYACAAA ACEA8PeKu/0AAADiAQAAEwAAAAAAAAAAAAAAAAAAAAAAW0NvbnRlbnRfVHlwZXNdLnhtbFBLAQIt ABQABgAIAAAAIQAx3V9h0gAAAI8BAAALAAAAAAAAAAAAAAAAAC4BAABfcmVscy8ucmVsc1BLAQIt ABQABgAIAAAAIQAzLwWeQQAAADkAAAAQAAAAAAAAAAAAAAAAACkCAABkcnMvc2hhcGV4bWwueG1s UEsBAi0AFAAGAAgAAAAhALSTK22+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4" o:spid="_x0000_s1130" style="position:absolute;left:27147;top:169;width:850;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9+O9r4A AADbAAAADwAAAGRycy9kb3ducmV2LnhtbERPzYrCMBC+C/sOYRa82XQ9qFSjyILgyl6sPsDQTH8w mZQka+vbG2HB23x8v7PZjdaIO/nQOVbwleUgiCunO24UXC+H2QpEiMgajWNS8KAAu+3HZIOFdgOf 6V7GRqQQDgUqaGPsCylD1ZLFkLmeOHG18xZjgr6R2uOQwq2R8zxfSIsdp4YWe/puqbqVf1aBvJSH YVUan7vTvP41P8dzTU6p6ee4X4OINMa3+N991Gn+El6/pAPk9gkAAP//AwBQSwECLQAUAAYACAAA ACEA8PeKu/0AAADiAQAAEwAAAAAAAAAAAAAAAAAAAAAAW0NvbnRlbnRfVHlwZXNdLnhtbFBLAQIt ABQABgAIAAAAIQAx3V9h0gAAAI8BAAALAAAAAAAAAAAAAAAAAC4BAABfcmVscy8ucmVsc1BLAQIt ABQABgAIAAAAIQAzLwWeQQAAADkAAAAQAAAAAAAAAAAAAAAAACkCAABkcnMvc2hhcGV4bWwueG1s UEsBAi0AFAAGAAgAAAAhANvfjva+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5" o:spid="_x0000_s1131" style="position:absolute;left:23630;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kAahMEA AADbAAAADwAAAGRycy9kb3ducmV2LnhtbESPT2sCMRDF74V+hzCF3mq2HkRWo4ggaPHi6gcYNrN/ MJksSequ375zKHib4b157zfr7eSdelBMfWAD37MCFHEdbM+tgdv18LUElTKyRReYDDwpwXbz/rbG 0oaRL/SocqskhFOJBrqch1LrVHfkMc3CQCxaE6LHLGtstY04Srh3el4UC+2xZ2nocKB9R/W9+vUG 9LU6jMvKxSL8zJuzOx0vDQVjPj+m3QpUpim/zP/XRyv4Aiu/yAB68wcAAP//AwBQSwECLQAUAAYA CAAAACEA8PeKu/0AAADiAQAAEwAAAAAAAAAAAAAAAAAAAAAAW0NvbnRlbnRfVHlwZXNdLnhtbFBL AQItABQABgAIAAAAIQAx3V9h0gAAAI8BAAALAAAAAAAAAAAAAAAAAC4BAABfcmVscy8ucmVsc1BL AQItABQABgAIAAAAIQAzLwWeQQAAADkAAAAQAAAAAAAAAAAAAAAAACkCAABkcnMvc2hhcGV4bWwu eG1sUEsBAi0AFAAGAAgAAAAhAKpAGoTBAAAA2wAAAA8AAAAAAAAAAAAAAAAAmAIAAGRycy9kb3du cmV2LnhtbFBLBQYAAAAABAAEAPUAAACGAwAAAAA= " filled="f" stroked="f">
                              <v:textbox style="mso-fit-shape-to-text:t" inset="0,0,0,0">
                                <w:txbxContent>
                                  <w:p>
                                    <w:pPr>
                                      <w:rPr>
                                        <w:szCs w:val="24"/>
                                        <w:lang w:val="en-GB"/>
                                      </w:rPr>
                                    </w:pPr>
                                    <w:r>
                                      <w:rPr>
                                        <w:i/>
                                        <w:iCs/>
                                        <w:color w:val="000000"/>
                                        <w:szCs w:val="24"/>
                                        <w:lang w:val="en-US"/>
                                      </w:rPr>
                                      <w:t>T</w:t>
                                    </w:r>
                                  </w:p>
                                </w:txbxContent>
                              </v:textbox>
                            </v:rect>
                            <v:rect id="Rectangle 56" o:spid="_x0000_s1132" style="position:absolute;left:19695;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Qy/H78A AADbAAAADwAAAGRycy9kb3ducmV2LnhtbERPS2rDMBDdF3IHMYHuGjleFNeNEkogkJRsbPcAgzX+ UGlkJCV2b18VAt3N431nd1isEXfyYXSsYLvJQBC3To/cK/hqTi8FiBCRNRrHpOCHAhz2q6cdltrN XNG9jr1IIRxKVDDEOJVShnYgi2HjJuLEdc5bjAn6XmqPcwq3RuZZ9iotjpwaBpzoOFD7Xd+sAtnU p7mojc/cZ95dzeVcdeSUel4vH+8gIi3xX/xwn3Wa/wZ/v6QD5P4XAAD//wMAUEsBAi0AFAAGAAgA AAAhAPD3irv9AAAA4gEAABMAAAAAAAAAAAAAAAAAAAAAAFtDb250ZW50X1R5cGVzXS54bWxQSwEC LQAUAAYACAAAACEAMd1fYdIAAACPAQAACwAAAAAAAAAAAAAAAAAuAQAAX3JlbHMvLnJlbHNQSwEC LQAUAAYACAAAACEAMy8FnkEAAAA5AAAAEAAAAAAAAAAAAAAAAAApAgAAZHJzL3NoYXBleG1sLnht bFBLAQItABQABgAIAAAAIQDFDL8fvwAAANsAAAAPAAAAAAAAAAAAAAAAAJgCAABkcnMvZG93bnJl di54bWxQSwUGAAAAAAQABAD1AAAAhAMAAAAA " filled="f" stroked="f">
                              <v:textbox style="mso-fit-shape-to-text:t" inset="0,0,0,0">
                                <w:txbxContent>
                                  <w:p>
                                    <w:pPr>
                                      <w:rPr>
                                        <w:szCs w:val="24"/>
                                        <w:lang w:val="en-GB"/>
                                      </w:rPr>
                                    </w:pPr>
                                    <w:r>
                                      <w:rPr>
                                        <w:i/>
                                        <w:iCs/>
                                        <w:color w:val="000000"/>
                                        <w:szCs w:val="24"/>
                                        <w:lang w:val="en-US"/>
                                      </w:rPr>
                                      <w:t>T</w:t>
                                    </w:r>
                                  </w:p>
                                </w:txbxContent>
                              </v:textbox>
                            </v:rect>
                            <v:rect id="Rectangle 57" o:spid="_x0000_s1133" style="position:absolute;left:16318;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lrcP74A AADbAAAADwAAAGRycy9kb3ducmV2LnhtbERPS2rDMBDdB3oHMYHuYjleFONYCSEQSEs3cXqAwRp/ iDQykmq7t68WhS4f71+fVmvETD6MjhXssxwEcev0yL2Cr8d1V4IIEVmjcUwKfijA6fiyqbHSbuE7 zU3sRQrhUKGCIcapkjK0A1kMmZuIE9c5bzEm6HupPS4p3BpZ5PmbtDhyahhwostA7bP5tgrko7ku ZWN87j6K7tO83+4dOaVet+v5ACLSGv/Ff+6bVlCk9elL+gHy+AsAAP//AwBQSwECLQAUAAYACAAA ACEA8PeKu/0AAADiAQAAEwAAAAAAAAAAAAAAAAAAAAAAW0NvbnRlbnRfVHlwZXNdLnhtbFBLAQIt ABQABgAIAAAAIQAx3V9h0gAAAI8BAAALAAAAAAAAAAAAAAAAAC4BAABfcmVscy8ucmVsc1BLAQIt ABQABgAIAAAAIQAzLwWeQQAAADkAAAAQAAAAAAAAAAAAAAAAACkCAABkcnMvc2hhcGV4bWwueG1s UEsBAi0AFAAGAAgAAAAhAJpa3D++AAAA2wAAAA8AAAAAAAAAAAAAAAAAmAIAAGRycy9kb3ducmV2 LnhtbFBLBQYAAAAABAAEAPUAAACDAwAAAAA= " filled="f" stroked="f">
                              <v:textbox style="mso-fit-shape-to-text:t" inset="0,0,0,0">
                                <w:txbxContent>
                                  <w:p>
                                    <w:pPr>
                                      <w:rPr>
                                        <w:szCs w:val="24"/>
                                        <w:lang w:val="en-GB"/>
                                      </w:rPr>
                                    </w:pPr>
                                    <w:r>
                                      <w:rPr>
                                        <w:i/>
                                        <w:iCs/>
                                        <w:color w:val="000000"/>
                                        <w:szCs w:val="24"/>
                                        <w:lang w:val="en-US"/>
                                      </w:rPr>
                                      <w:t>T</w:t>
                                    </w:r>
                                  </w:p>
                                </w:txbxContent>
                              </v:textbox>
                            </v:rect>
                            <v:rect id="Rectangle 58" o:spid="_x0000_s1134" style="position:absolute;left:12459;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9RZ5pMAA AADbAAAADwAAAGRycy9kb3ducmV2LnhtbESPzYoCMRCE74LvEFrYm2acwyKjUUQQVLw47gM0k54f TDpDEp3x7c3Cwh6LqvqK2uxGa8SLfOgcK1guMhDEldMdNwp+7sf5CkSIyBqNY1LwpgC77XSywUK7 gW/0KmMjEoRDgQraGPtCylC1ZDEsXE+cvNp5izFJ30jtcUhwa2SeZd/SYsdpocWeDi1Vj/JpFch7 eRxWpfGZu+T11ZxPt5qcUl+zcb8GEWmM/+G/9kkryJfw+yX9ALn9AAAA//8DAFBLAQItABQABgAI AAAAIQDw94q7/QAAAOIBAAATAAAAAAAAAAAAAAAAAAAAAABbQ29udGVudF9UeXBlc10ueG1sUEsB Ai0AFAAGAAgAAAAhADHdX2HSAAAAjwEAAAsAAAAAAAAAAAAAAAAALgEAAF9yZWxzLy5yZWxzUEsB Ai0AFAAGAAgAAAAhADMvBZ5BAAAAOQAAABAAAAAAAAAAAAAAAAAAKQIAAGRycy9zaGFwZXhtbC54 bWxQSwECLQAUAAYACAAAACEA9RZ5pMAAAADbAAAADwAAAAAAAAAAAAAAAACYAgAAZHJzL2Rvd25y ZXYueG1sUEsFBgAAAAAEAAQA9QAAAIUDAAAAAA== " filled="f" stroked="f">
                              <v:textbox style="mso-fit-shape-to-text:t" inset="0,0,0,0">
                                <w:txbxContent>
                                  <w:p>
                                    <w:pPr>
                                      <w:rPr>
                                        <w:szCs w:val="24"/>
                                        <w:lang w:val="en-GB"/>
                                      </w:rPr>
                                    </w:pPr>
                                    <w:r>
                                      <w:rPr>
                                        <w:i/>
                                        <w:iCs/>
                                        <w:color w:val="000000"/>
                                        <w:szCs w:val="24"/>
                                        <w:lang w:val="en-US"/>
                                      </w:rPr>
                                      <w:t>T</w:t>
                                    </w:r>
                                  </w:p>
                                </w:txbxContent>
                              </v:textbox>
                            </v:rect>
                            <v:rect id="Rectangle 59" o:spid="_x0000_s1135" style="position:absolute;left:8391;top:169;width:851;height:175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cTn08EA AADbAAAADwAAAGRycy9kb3ducmV2LnhtbESP3YrCMBSE7wXfIRxh72y6vVikGkUWBHfxxuoDHJrT H0xOSpK13bc3guDlMDPfMJvdZI24kw+9YwWfWQ6CuHa651bB9XJYrkCEiKzROCYF/xRgt53PNlhq N/KZ7lVsRYJwKFFBF+NQShnqjiyGzA3EyWuctxiT9K3UHscEt0YWef4lLfacFjoc6Luj+lb9WQXy Uh3GVWV87n6L5mR+jueGnFIfi2m/BhFpiu/wq33UCooCnl/SD5DbBwAAAP//AwBQSwECLQAUAAYA CAAAACEA8PeKu/0AAADiAQAAEwAAAAAAAAAAAAAAAAAAAAAAW0NvbnRlbnRfVHlwZXNdLnhtbFBL AQItABQABgAIAAAAIQAx3V9h0gAAAI8BAAALAAAAAAAAAAAAAAAAAC4BAABfcmVscy8ucmVsc1BL AQItABQABgAIAAAAIQAzLwWeQQAAADkAAAAQAAAAAAAAAAAAAAAAACkCAABkcnMvc2hhcGV4bWwu eG1sUEsBAi0AFAAGAAgAAAAhAAXE59PBAAAA2wAAAA8AAAAAAAAAAAAAAAAAmAIAAGRycy9kb3du cmV2LnhtbFBLBQYAAAAABAAEAPUAAACGAwAAAAA= " filled="f" stroked="f">
                              <v:textbox style="mso-fit-shape-to-text:t" inset="0,0,0,0">
                                <w:txbxContent>
                                  <w:p>
                                    <w:pPr>
                                      <w:rPr>
                                        <w:szCs w:val="24"/>
                                        <w:lang w:val="en-GB"/>
                                      </w:rPr>
                                    </w:pPr>
                                    <w:r>
                                      <w:rPr>
                                        <w:i/>
                                        <w:iCs/>
                                        <w:color w:val="000000"/>
                                        <w:szCs w:val="24"/>
                                        <w:lang w:val="en-US"/>
                                      </w:rPr>
                                      <w:t>T</w:t>
                                    </w:r>
                                  </w:p>
                                </w:txbxContent>
                              </v:textbox>
                            </v:rect>
                            <v:rect id="Rectangle 60" o:spid="_x0000_s1136" style="position:absolute;left:1872;top:403;width:1784;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aohCSMEA AADbAAAADwAAAGRycy9kb3ducmV2LnhtbESP3YrCMBSE7wXfIRxh7zS1wiJdo4ggqOyNdR/g0Jz+ YHJSkmjr25uFhb0cZuYbZrMbrRFP8qFzrGC5yEAQV0533Cj4uR3naxAhIms0jknBiwLsttPJBgvt Br7Ss4yNSBAOBSpoY+wLKUPVksWwcD1x8mrnLcYkfSO1xyHBrZF5ln1Kix2nhRZ7OrRU3cuHVSBv 5XFYl8Zn7pLX3+Z8utbklPqYjfsvEJHG+B/+a5+0gnwFv1/SD5DbNwAAAP//AwBQSwECLQAUAAYA CAAAACEA8PeKu/0AAADiAQAAEwAAAAAAAAAAAAAAAAAAAAAAW0NvbnRlbnRfVHlwZXNdLnhtbFBL AQItABQABgAIAAAAIQAx3V9h0gAAAI8BAAALAAAAAAAAAAAAAAAAAC4BAABfcmVscy8ucmVsc1BL AQItABQABgAIAAAAIQAzLwWeQQAAADkAAAAQAAAAAAAAAAAAAAAAACkCAABkcnMvc2hhcGV4bWwu eG1sUEsBAi0AFAAGAAgAAAAhAGqIQkjBAAAA2wAAAA8AAAAAAAAAAAAAAAAAmAIAAGRycy9kb3du cmV2LnhtbFBLBQYAAAAABAAEAPUAAACGAwAAAAA= " filled="f" stroked="f">
                              <v:textbox style="mso-fit-shape-to-text:t" inset="0,0,0,0">
                                <w:txbxContent>
                                  <w:p>
                                    <w:pPr>
                                      <w:rPr>
                                        <w:szCs w:val="24"/>
                                        <w:lang w:val="en-GB"/>
                                      </w:rPr>
                                    </w:pPr>
                                    <w:r>
                                      <w:rPr>
                                        <w:i/>
                                        <w:iCs/>
                                        <w:color w:val="000000"/>
                                        <w:szCs w:val="24"/>
                                        <w:lang w:val="en-US"/>
                                      </w:rPr>
                                      <w:t>VT</w:t>
                                    </w:r>
                                  </w:p>
                                </w:txbxContent>
                              </v:textbox>
                            </v:rect>
                            <v:rect id="Rectangle 61" o:spid="_x0000_s1137" style="position:absolute;left:35767;top:1090;width:111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WHaPMEA AADbAAAADwAAAGRycy9kb3ducmV2LnhtbESP3YrCMBSE7wXfIRxh7zS1yCJdo4ggqOyNdR/g0Jz+ YHJSkmjr25uFhb0cZuYbZrMbrRFP8qFzrGC5yEAQV0533Cj4uR3naxAhIms0jknBiwLsttPJBgvt Br7Ss4yNSBAOBSpoY+wLKUPVksWwcD1x8mrnLcYkfSO1xyHBrZF5ln1Kix2nhRZ7OrRU3cuHVSBv 5XFYl8Zn7pLX3+Z8utbklPqYjfsvEJHG+B/+a5+0gnwFv1/SD5DbNwAAAP//AwBQSwECLQAUAAYA CAAAACEA8PeKu/0AAADiAQAAEwAAAAAAAAAAAAAAAAAAAAAAW0NvbnRlbnRfVHlwZXNdLnhtbFBL AQItABQABgAIAAAAIQAx3V9h0gAAAI8BAAALAAAAAAAAAAAAAAAAAC4BAABfcmVscy8ucmVsc1BL AQItABQABgAIAAAAIQAzLwWeQQAAADkAAAAQAAAAAAAAAAAAAAAAACkCAABkcnMvc2hhcGV4bWwu eG1sUEsBAi0AFAAGAAgAAAAhAOVh2jz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04,</w:t>
                                    </w:r>
                                  </w:p>
                                </w:txbxContent>
                              </v:textbox>
                            </v:rect>
                            <v:rect id="Rectangle 62" o:spid="_x0000_s1138" style="position:absolute;left:32192;top:1090;width:1117;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ii1/p8EA AADbAAAADwAAAGRycy9kb3ducmV2LnhtbESP3YrCMBSE7wXfIRxh7zS14CJdo4ggqOyNdR/g0Jz+ YHJSkmjr25uFhb0cZuYbZrMbrRFP8qFzrGC5yEAQV0533Cj4uR3naxAhIms0jknBiwLsttPJBgvt Br7Ss4yNSBAOBSpoY+wLKUPVksWwcD1x8mrnLcYkfSO1xyHBrZF5ln1Kix2nhRZ7OrRU3cuHVSBv 5XFYl8Zn7pLX3+Z8utbklPqYjfsvEJHG+B/+a5+0gnwFv1/SD5DbNwAAAP//AwBQSwECLQAUAAYA CAAAACEA8PeKu/0AAADiAQAAEwAAAAAAAAAAAAAAAAAAAAAAW0NvbnRlbnRfVHlwZXNdLnhtbFBL AQItABQABgAIAAAAIQAx3V9h0gAAAI8BAAALAAAAAAAAAAAAAAAAAC4BAABfcmVscy8ucmVsc1BL AQItABQABgAIAAAAIQAzLwWeQQAAADkAAAAQAAAAAAAAAAAAAAAAACkCAABkcnMvc2hhcGV4bWwu eG1sUEsBAi0AFAAGAAgAAAAhAIotf6f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10,</w:t>
                                    </w:r>
                                  </w:p>
                                </w:txbxContent>
                              </v:textbox>
                            </v:rect>
                            <v:rect id="Rectangle 63" o:spid="_x0000_s1139" style="position:absolute;left:20942;top:1091;width:1340;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v/h0MAA AADbAAAADwAAAGRycy9kb3ducmV2LnhtbESPzYoCMRCE74LvEFrYm2acg8hoFBEEV/biuA/QTHp+ MOkMSXRm394Iwh6LqvqK2u5Ha8STfOgcK1guMhDEldMdNwp+b6f5GkSIyBqNY1LwRwH2u+lki4V2 A1/pWcZGJAiHAhW0MfaFlKFqyWJYuJ44ebXzFmOSvpHa45Dg1sg8y1bSYsdpocWeji1V9/JhFchb eRrWpfGZu+T1j/k+X2tySn3NxsMGRKQx/oc/7bNWkK/g/SX9ALl7AQAA//8DAFBLAQItABQABgAI AAAAIQDw94q7/QAAAOIBAAATAAAAAAAAAAAAAAAAAAAAAABbQ29udGVudF9UeXBlc10ueG1sUEsB Ai0AFAAGAAgAAAAhADHdX2HSAAAAjwEAAAsAAAAAAAAAAAAAAAAALgEAAF9yZWxzLy5yZWxzUEsB Ai0AFAAGAAgAAAAhADMvBZ5BAAAAOQAAABAAAAAAAAAAAAAAAAAAKQIAAGRycy9zaGFwZXhtbC54 bWxQSwECLQAUAAYACAAAACEAev/h0MAAAADbAAAADwAAAAAAAAAAAAAAAACYAgAAZHJzL2Rvd25y ZXYueG1sUEsFBgAAAAAEAAQA9QAAAIUDAAAAAA== " filled="f" stroked="f">
                              <v:textbox style="mso-fit-shape-to-text:t" inset="0,0,0,0">
                                <w:txbxContent>
                                  <w:p>
                                    <w:pPr>
                                      <w:rPr>
                                        <w:szCs w:val="24"/>
                                        <w:lang w:val="en-GB"/>
                                      </w:rPr>
                                    </w:pPr>
                                    <w:r>
                                      <w:rPr>
                                        <w:color w:val="000000"/>
                                        <w:sz w:val="14"/>
                                        <w:szCs w:val="14"/>
                                        <w:lang w:val="en-US"/>
                                      </w:rPr>
                                      <w:t>110</w:t>
                                    </w:r>
                                  </w:p>
                                </w:txbxContent>
                              </v:textbox>
                            </v:rect>
                            <v:rect id="Rectangle 64" o:spid="_x0000_s1140" style="position:absolute;left:14471;top:1091;width:450;height:102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bNES8EA AADbAAAADwAAAGRycy9kb3ducmV2LnhtbESPzYoCMRCE74LvEFrYm2acgyuzRhFBUNmL4z5AM+n5 waQzJNEZ394sLOyxqKqvqM1utEY8yYfOsYLlIgNBXDndcaPg53acr0GEiKzROCYFLwqw204nGyy0 G/hKzzI2IkE4FKigjbEvpAxVSxbDwvXEyaudtxiT9I3UHocEt0bmWbaSFjtOCy32dGipupcPq0De yuOwLo3P3CWvv835dK3JKfUxG/dfICKN8T/81z5pBfkn/H5JP0Bu3wAAAP//AwBQSwECLQAUAAYA CAAAACEA8PeKu/0AAADiAQAAEwAAAAAAAAAAAAAAAAAAAAAAW0NvbnRlbnRfVHlwZXNdLnhtbFBL AQItABQABgAIAAAAIQAx3V9h0gAAAI8BAAALAAAAAAAAAAAAAAAAAC4BAABfcmVscy8ucmVsc1BL AQItABQABgAIAAAAIQAzLwWeQQAAADkAAAAQAAAAAAAAAAAAAAAAACkCAABkcnMvc2hhcGV4bWwu eG1sUEsBAi0AFAAGAAgAAAAhABWzREv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2</w:t>
                                    </w:r>
                                  </w:p>
                                </w:txbxContent>
                              </v:textbox>
                            </v:rect>
                            <v:rect id="Rectangle 65" o:spid="_x0000_s1141" style="position:absolute;left:6299;top:1091;width:298;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ZCzQOb4A AADbAAAADwAAAGRycy9kb3ducmV2LnhtbERPS2rDMBDdB3oHMYHuYjleFONYCSEQSEs3cXqAwRp/ iDQykmq7t68WhS4f71+fVmvETD6MjhXssxwEcev0yL2Cr8d1V4IIEVmjcUwKfijA6fiyqbHSbuE7 zU3sRQrhUKGCIcapkjK0A1kMmZuIE9c5bzEm6HupPS4p3BpZ5PmbtDhyahhwostA7bP5tgrko7ku ZWN87j6K7tO83+4dOaVet+v5ACLSGv/Ff+6bVlCkselL+gHy+AsAAP//AwBQSwECLQAUAAYACAAA ACEA8PeKu/0AAADiAQAAEwAAAAAAAAAAAAAAAAAAAAAAW0NvbnRlbnRfVHlwZXNdLnhtbFBLAQIt ABQABgAIAAAAIQAx3V9h0gAAAI8BAAALAAAAAAAAAAAAAAAAAC4BAABfcmVscy8ucmVsc1BLAQIt ABQABgAIAAAAIQAzLwWeQQAAADkAAAAQAAAAAAAAAAAAAAAAACkCAABkcnMvc2hhcGV4bWwueG1s UEsBAi0AFAAGAAgAAAAhAGQs0Dm+AAAA2wAAAA8AAAAAAAAAAAAAAAAAmAIAAGRycy9kb3ducmV2 LnhtbFBLBQYAAAAABAAEAPUAAACDAwAAAAA= " filled="f" stroked="f">
                              <v:textbox style="mso-fit-shape-to-text:t" inset="0,0,0,0">
                                <w:txbxContent>
                                  <w:p>
                                    <w:pPr>
                                      <w:rPr>
                                        <w:szCs w:val="24"/>
                                        <w:lang w:val="en-GB"/>
                                      </w:rPr>
                                    </w:pPr>
                                    <w:r>
                                      <w:rPr>
                                        <w:color w:val="000000"/>
                                        <w:sz w:val="14"/>
                                        <w:szCs w:val="14"/>
                                        <w:lang w:val="en-US"/>
                                      </w:rPr>
                                      <w:t>)</w:t>
                                    </w:r>
                                  </w:p>
                                </w:txbxContent>
                              </v:textbox>
                            </v:rect>
                            <v:rect id="Rectangle 66" o:spid="_x0000_s1142" style="position:absolute;left:5359;top:1091;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2B1osEA AADbAAAADwAAAGRycy9kb3ducmV2LnhtbESPzYoCMRCE7wu+Q2hhb2vGOYjOGkUEQWUvjvsAzaTn B5POkERnfHuzsOCxqKqvqPV2tEY8yIfOsYL5LANBXDndcaPg93r4WoIIEVmjcUwKnhRgu5l8rLHQ buALPcrYiAThUKCCNsa+kDJULVkMM9cTJ6923mJM0jdSexwS3BqZZ9lCWuw4LbTY076l6lberQJ5 LQ/DsjQ+c+e8/jGn46Ump9TndNx9g4g0xnf4v33UCvIV/H1JP0BuXgAAAP//AwBQSwECLQAUAAYA CAAAACEA8PeKu/0AAADiAQAAEwAAAAAAAAAAAAAAAAAAAAAAW0NvbnRlbnRfVHlwZXNdLnhtbFBL AQItABQABgAIAAAAIQAx3V9h0gAAAI8BAAALAAAAAAAAAAAAAAAAAC4BAABfcmVscy8ucmVsc1BL AQItABQABgAIAAAAIQAzLwWeQQAAADkAAAAQAAAAAAAAAAAAAAAAACkCAABkcnMvc2hhcGV4bWwu eG1sUEsBAi0AFAAGAAgAAAAhAAtgdaLBAAAA2wAAAA8AAAAAAAAAAAAAAAAAmAIAAGRycy9kb3du cmV2LnhtbFBLBQYAAAAABAAEAPUAAACGAwAAAAA= " filled="f" stroked="f">
                              <v:textbox style="mso-fit-shape-to-text:t" inset="0,0,0,0">
                                <w:txbxContent>
                                  <w:p>
                                    <w:pPr>
                                      <w:rPr>
                                        <w:szCs w:val="24"/>
                                        <w:lang w:val="en-GB"/>
                                      </w:rPr>
                                    </w:pPr>
                                    <w:r>
                                      <w:rPr>
                                        <w:color w:val="000000"/>
                                        <w:sz w:val="14"/>
                                        <w:szCs w:val="14"/>
                                        <w:lang w:val="en-US"/>
                                      </w:rPr>
                                      <w:t>04</w:t>
                                    </w:r>
                                  </w:p>
                                </w:txbxContent>
                              </v:textbox>
                            </v:rect>
                            <v:rect id="Rectangle 67" o:spid="_x0000_s1143" style="position:absolute;left:5092;top:1091;width:22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4NK4r8A AADbAAAADwAAAGRycy9kb3ducmV2LnhtbERPS2rDMBDdF3IHMYXsarkOlOBYCaUQSEM3cXKAwRp/ iDQykmK7t48WhS4f718dFmvERD4MjhW8ZzkI4sbpgTsFt+vxbQsiRGSNxjEp+KUAh/3qpcJSu5kv NNWxEymEQ4kK+hjHUsrQ9GQxZG4kTlzrvMWYoO+k9jincGtkkecf0uLAqaHHkb56au71wyqQ1/o4 b2vjc3cu2h/zfbq05JRavy6fOxCRlvgv/nOftIJNWp++pB8g908AAAD//wMAUEsBAi0AFAAGAAgA AAAhAPD3irv9AAAA4gEAABMAAAAAAAAAAAAAAAAAAAAAAFtDb250ZW50X1R5cGVzXS54bWxQSwEC LQAUAAYACAAAACEAMd1fYdIAAACPAQAACwAAAAAAAAAAAAAAAAAuAQAAX3JlbHMvLnJlbHNQSwEC LQAUAAYACAAAACEAMy8FnkEAAAA5AAAAEAAAAAAAAAAAAAAAAAApAgAAZHJzL3NoYXBleG1sLnht bFBLAQItABQABgAIAAAAIQAfg0rivwAAANs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68" o:spid="_x0000_s1144" style="position:absolute;left:4165;top:1091;width:895;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M/vecAA AADbAAAADwAAAGRycy9kb3ducmV2LnhtbESPzYoCMRCE7wu+Q2jB25rRhUVGo4gg6OLF0QdoJj0/ mHSGJDrj2xtB2GNRVV9Rq81gjXiQD61jBbNpBoK4dLrlWsH1sv9egAgRWaNxTAqeFGCzHn2tMNeu 5zM9iliLBOGQo4Imxi6XMpQNWQxT1xEnr3LeYkzS11J77BPcGjnPsl9pseW00GBHu4bKW3G3CuSl 2PeLwvjM/c2rkzkezhU5pSbjYbsEEWmI/+FP+6AV/Mzg/SX9ALl+AQAA//8DAFBLAQItABQABgAI AAAAIQDw94q7/QAAAOIBAAATAAAAAAAAAAAAAAAAAAAAAABbQ29udGVudF9UeXBlc10ueG1sUEsB Ai0AFAAGAAgAAAAhADHdX2HSAAAAjwEAAAsAAAAAAAAAAAAAAAAALgEAAF9yZWxzLy5yZWxzUEsB Ai0AFAAGAAgAAAAhADMvBZ5BAAAAOQAAABAAAAAAAAAAAAAAAAAAKQIAAGRycy9zaGFwZXhtbC54 bWxQSwECLQAUAAYACAAAACEAcM/vecAAAADbAAAADwAAAAAAAAAAAAAAAACYAgAAZHJzL2Rvd25y ZXYueG1sUEsFBgAAAAAEAAQA9QAAAIUDAAAAAA== " filled="f" stroked="f">
                              <v:textbox style="mso-fit-shape-to-text:t" inset="0,0,0,0">
                                <w:txbxContent>
                                  <w:p>
                                    <w:pPr>
                                      <w:rPr>
                                        <w:szCs w:val="24"/>
                                        <w:lang w:val="en-GB"/>
                                      </w:rPr>
                                    </w:pPr>
                                    <w:r>
                                      <w:rPr>
                                        <w:color w:val="000000"/>
                                        <w:sz w:val="14"/>
                                        <w:szCs w:val="14"/>
                                        <w:lang w:val="en-US"/>
                                      </w:rPr>
                                      <w:t>10</w:t>
                                    </w:r>
                                  </w:p>
                                </w:txbxContent>
                              </v:textbox>
                            </v:rect>
                            <v:rect id="Rectangle 69" o:spid="_x0000_s1145" style="position:absolute;left:3975;top:1091;width:692;height:1754;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UAoN8AA AADbAAAADwAAAGRycy9kb3ducmV2LnhtbESPzYoCMRCE7wu+Q2jB25rRg7ijUUQQXPHi6AM0k54f TDpDEp3ZtzeCsMeiqr6i1tvBGvEkH1rHCmbTDARx6XTLtYLb9fC9BBEiskbjmBT8UYDtZvS1xly7 ni/0LGItEoRDjgqaGLtcylA2ZDFMXUecvMp5izFJX0vtsU9wa+Q8yxbSYstpocGO9g2V9+JhFchr ceiXhfGZO82rs/k9XipySk3Gw24FItIQ/8Of9lEr+FnA+0v6AXLzAgAA//8DAFBLAQItABQABgAI AAAAIQDw94q7/QAAAOIBAAATAAAAAAAAAAAAAAAAAAAAAABbQ29udGVudF9UeXBlc10ueG1sUEsB Ai0AFAAGAAgAAAAhADHdX2HSAAAAjwEAAAsAAAAAAAAAAAAAAAAALgEAAF9yZWxzLy5yZWxzUEsB Ai0AFAAGAAgAAAAhADMvBZ5BAAAAOQAAABAAAAAAAAAAAAAAAAAAKQIAAGRycy9zaGFwZXhtbC54 bWxQSwECLQAUAAYACAAAACEA2UAoN8AAAADbAAAADwAAAAAAAAAAAAAAAACYAgAAZHJzL2Rvd25y ZXYueG1sUEsFBgAAAAAEAAQA9QAAAIUDAAAAAA== " filled="f" stroked="f">
                              <v:textbox style="mso-fit-shape-to-text:t" inset="0,0,0,0">
                                <w:txbxContent>
                                  <w:p>
                                    <w:pPr>
                                      <w:rPr>
                                        <w:szCs w:val="24"/>
                                      </w:rPr>
                                    </w:pPr>
                                  </w:p>
                                </w:txbxContent>
                              </v:textbox>
                            </v:rect>
                            <v:rect id="Rectangle 71" o:spid="_x0000_s1146" style="position:absolute;left:3676;top:1091;width:299;height:102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x5MZ3r8A AADbAAAADwAAAGRycy9kb3ducmV2LnhtbERPS2rDMBDdF3IHMYXsarlehNSxEkohkIZu4uQAgzX+ EGlkJMV2bx8tCl0+3r86LNaIiXwYHCt4z3IQxI3TA3cKbtfj2xZEiMgajWNS8EsBDvvVS4WldjNf aKpjJ1IIhxIV9DGOpZSh6cliyNxInLjWeYsxQd9J7XFO4dbIIs830uLAqaHHkb56au71wyqQ1/o4 b2vjc3cu2h/zfbq05JRavy6fOxCRlvgv/nOftIKPNDZ9ST9A7p8AAAD//wMAUEsBAi0AFAAGAAgA AAAhAPD3irv9AAAA4gEAABMAAAAAAAAAAAAAAAAAAAAAAFtDb250ZW50X1R5cGVzXS54bWxQSwEC LQAUAAYACAAAACEAMd1fYdIAAACPAQAACwAAAAAAAAAAAAAAAAAuAQAAX3JlbHMvLnJlbHNQSwEC LQAUAAYACAAAACEAMy8FnkEAAAA5AAAAEAAAAAAAAAAAAAAAAAApAgAAZHJzL3NoYXBleG1sLnht bFBLAQItABQABgAIAAAAIQDHkxnevwAAANsAAAAPAAAAAAAAAAAAAAAAAJgCAABkcnMvZG93bnJl di54bWxQSwUGAAAAAAQABAD1AAAAhAMAAAAA " filled="f" stroked="f">
                              <v:textbox style="mso-fit-shape-to-text:t" inset="0,0,0,0">
                                <w:txbxContent>
                                  <w:p>
                                    <w:pPr>
                                      <w:rPr>
                                        <w:szCs w:val="24"/>
                                        <w:lang w:val="en-GB"/>
                                      </w:rPr>
                                    </w:pPr>
                                    <w:r>
                                      <w:rPr>
                                        <w:color w:val="000000"/>
                                        <w:sz w:val="14"/>
                                        <w:szCs w:val="14"/>
                                        <w:lang w:val="en-US"/>
                                      </w:rPr>
                                      <w:t>(</w:t>
                                    </w:r>
                                  </w:p>
                                </w:txbxContent>
                              </v:textbox>
                            </v:rect>
                            <v:rect id="Rectangle 72" o:spid="_x0000_s1147" style="position:absolute;left:35490;top:171;width:27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N+8RcAA AADbAAAADwAAAGRycy9kb3ducmV2LnhtbESPzYoCMRCE7wu+Q2jB25rRg+hoFBEEV7w4+gDNpOcH k86QRGf27Y2wsMeiqr6iNrvBGvEiH1rHCmbTDARx6XTLtYL77fi9BBEiskbjmBT8UoDddvS1wVy7 nq/0KmItEoRDjgqaGLtcylA2ZDFMXUecvMp5izFJX0vtsU9wa+Q8yxbSYstpocGODg2Vj+JpFchb ceyXhfGZO8+ri/k5XStySk3Gw34NItIQ/8N/7ZNWsFrB50v6AXL7BgAA//8DAFBLAQItABQABgAI AAAAIQDw94q7/QAAAOIBAAATAAAAAAAAAAAAAAAAAAAAAABbQ29udGVudF9UeXBlc10ueG1sUEsB Ai0AFAAGAAgAAAAhADHdX2HSAAAAjwEAAAsAAAAAAAAAAAAAAAAALgEAAF9yZWxzLy5yZWxzUEsB Ai0AFAAGAAgAAAAhADMvBZ5BAAAAOQAAABAAAAAAAAAAAAAAAAAAKQIAAGRycy9zaGFwZXhtbC54 bWxQSwECLQAUAAYACAAAACEAqN+8RcAAAADbAAAADwAAAAAAAAAAAAAAAACYAgAAZHJzL2Rvd25y ZXYueG1sUEsFBgAAAAAEAAQA9QAAAIUDAAAAAA== " filled="f" stroked="f">
                              <v:textbox style="mso-fit-shape-to-text:t" inset="0,0,0,0">
                                <w:txbxContent>
                                  <w:p>
                                    <w:pPr>
                                      <w:rPr>
                                        <w:szCs w:val="24"/>
                                        <w:lang w:val="en-GB"/>
                                      </w:rPr>
                                    </w:pPr>
                                    <w:r>
                                      <w:rPr>
                                        <w:color w:val="000000"/>
                                        <w:szCs w:val="24"/>
                                        <w:lang w:val="en-US"/>
                                      </w:rPr>
                                      <w:t>'</w:t>
                                    </w:r>
                                  </w:p>
                                </w:txbxContent>
                              </v:textbox>
                            </v:rect>
                            <v:rect id="Rectangle 73" o:spid="_x0000_s1148" style="position:absolute;left:31997;top:171;width:28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1cadb4A AADcAAAADwAAAGRycy9kb3ducmV2LnhtbERPzWoCMRC+F3yHMEJvNdFDkdUoIghavLj6AMNm9geT yZJEd/v2plDwNh/f76y3o7PiSSF2njXMZwoEceVNx42G2/XwtQQRE7JB65k0/FKE7WbyscbC+IEv 9CxTI3IIxwI1tCn1hZSxaslhnPmeOHO1Dw5ThqGRJuCQw52VC6W+pcOOc0OLPe1bqu7lw2mQ1/Iw LEsblP9Z1Gd7Ol5q8lp/TsfdCkSiMb3F/+6jyfPVHP6eyRfIzQsAAP//AwBQSwECLQAUAAYACAAA ACEA8PeKu/0AAADiAQAAEwAAAAAAAAAAAAAAAAAAAAAAW0NvbnRlbnRfVHlwZXNdLnhtbFBLAQIt ABQABgAIAAAAIQAx3V9h0gAAAI8BAAALAAAAAAAAAAAAAAAAAC4BAABfcmVscy8ucmVsc1BLAQIt ABQABgAIAAAAIQAzLwWeQQAAADkAAAAQAAAAAAAAAAAAAAAAACkCAABkcnMvc2hhcGV4bWwueG1s UEsBAi0AFAAGAAgAAAAhAAdXGnW+AAAA3AAAAA8AAAAAAAAAAAAAAAAAmAIAAGRycy9kb3ducmV2 LnhtbFBLBQYAAAAABAAEAPUAAACDAwAAAAA= " filled="f" stroked="f">
                              <v:textbox style="mso-fit-shape-to-text:t" inset="0,0,0,0">
                                <w:txbxContent>
                                  <w:p>
                                    <w:pPr>
                                      <w:rPr>
                                        <w:szCs w:val="24"/>
                                        <w:lang w:val="en-GB"/>
                                      </w:rPr>
                                    </w:pPr>
                                    <w:r>
                                      <w:rPr>
                                        <w:color w:val="000000"/>
                                        <w:szCs w:val="24"/>
                                        <w:lang w:val="en-US"/>
                                      </w:rPr>
                                      <w:t>'</w:t>
                                    </w:r>
                                  </w:p>
                                </w:txbxContent>
                              </v:textbox>
                            </v:rect>
                            <v:rect id="Rectangle 74" o:spid="_x0000_s1149" style="position:absolute;left:20745;top:171;width:27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Mkhmb8A AADcAAAADwAAAGRycy9kb3ducmV2LnhtbERP22oCMRB9F/oPYQp9cxMtiKxGKYKgpS+ufsCwmb3Q ZLIk0d3+fVMo+DaHc53tfnJWPCjE3rOGRaFAENfe9NxquF2P8zWImJANWs+k4Yci7Hcvsy2Wxo98 oUeVWpFDOJaooUtpKKWMdUcOY+EH4sw1PjhMGYZWmoBjDndWLpVaSYc954YOBzp0VH9Xd6dBXqvj uK5sUP5z2XzZ8+nSkNf67XX62IBINKWn+N99Mnm+eoe/Z/IFcvcLAAD//wMAUEsBAi0AFAAGAAgA AAAhAPD3irv9AAAA4gEAABMAAAAAAAAAAAAAAAAAAAAAAFtDb250ZW50X1R5cGVzXS54bWxQSwEC LQAUAAYACAAAACEAMd1fYdIAAACPAQAACwAAAAAAAAAAAAAAAAAuAQAAX3JlbHMvLnJlbHNQSwEC LQAUAAYACAAAACEAMy8FnkEAAAA5AAAAEAAAAAAAAAAAAAAAAAApAgAAZHJzL3NoYXBleG1sLnht bFBLAQItABQABgAIAAAAIQCYySGZvwAAANwAAAAPAAAAAAAAAAAAAAAAAJgCAABkcnMvZG93bnJl di54bWxQSwUGAAAAAAQABAD1AAAAhAMAAAAA " filled="f" stroked="f">
                              <v:textbox style="mso-fit-shape-to-text:t" inset="0,0,0,0">
                                <w:txbxContent>
                                  <w:p>
                                    <w:pPr>
                                      <w:rPr>
                                        <w:szCs w:val="24"/>
                                        <w:lang w:val="en-GB"/>
                                      </w:rPr>
                                    </w:pPr>
                                    <w:r>
                                      <w:rPr>
                                        <w:color w:val="000000"/>
                                        <w:szCs w:val="24"/>
                                        <w:lang w:val="en-US"/>
                                      </w:rPr>
                                      <w:t>'</w:t>
                                    </w:r>
                                  </w:p>
                                </w:txbxContent>
                              </v:textbox>
                            </v:rect>
                            <v:rect id="Rectangle 75" o:spid="_x0000_s1150" style="position:absolute;left:17367;top:171;width:279;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5/Inmr8A AADcAAAADwAAAGRycy9kb3ducmV2LnhtbERPzWoCMRC+C32HMIXe3EQPVVajFEHQ0ourDzBsZn9o MlmS6G7fvikUvM3H9zvb/eSseFCIvWcNi0KBIK696bnVcLse52sQMSEbtJ5Jww9F2O9eZlssjR/5 Qo8qtSKHcCxRQ5fSUEoZ644cxsIPxJlrfHCYMgytNAHHHO6sXCr1Lh32nBs6HOjQUf1d3Z0Gea2O 47qyQfnPZfNlz6dLQ17rt9fpYwMi0ZSe4n/3yeT5agV/z+QL5O4XAAD//wMAUEsBAi0AFAAGAAgA AAAhAPD3irv9AAAA4gEAABMAAAAAAAAAAAAAAAAAAAAAAFtDb250ZW50X1R5cGVzXS54bWxQSwEC LQAUAAYACAAAACEAMd1fYdIAAACPAQAACwAAAAAAAAAAAAAAAAAuAQAAX3JlbHMvLnJlbHNQSwEC LQAUAAYACAAAACEAMy8FnkEAAAA5AAAAEAAAAAAAAAAAAAAAAAApAgAAZHJzL3NoYXBleG1sLnht bFBLAQItABQABgAIAAAAIQDn8ieavwAAANwAAAAPAAAAAAAAAAAAAAAAAJgCAABkcnMvZG93bnJl di54bWxQSwUGAAAAAAQABAD1AAAAhAMAAAAA " filled="f" stroked="f">
                              <v:textbox style="mso-fit-shape-to-text:t" inset="0,0,0,0">
                                <w:txbxContent>
                                  <w:p>
                                    <w:pPr>
                                      <w:rPr>
                                        <w:szCs w:val="24"/>
                                        <w:lang w:val="en-GB"/>
                                      </w:rPr>
                                    </w:pPr>
                                    <w:r>
                                      <w:rPr>
                                        <w:color w:val="000000"/>
                                        <w:szCs w:val="24"/>
                                        <w:lang w:val="en-US"/>
                                      </w:rPr>
                                      <w:t>'</w:t>
                                    </w:r>
                                  </w:p>
                                </w:txbxContent>
                              </v:textbox>
                            </v:rect>
                            <v:rect id="Rectangle 76" o:spid="_x0000_s1151" style="position:absolute;left:3657;top:277;width:280;height:175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lm2z6MIA AADcAAAADwAAAGRycy9kb3ducmV2LnhtbESPzWoDMQyE74W8g1Ggt8ZODiVs44QQCKSll2z6AGKt /aG2vNhOdvv21aHQm8SMZj7tDnPw6kEpD5EtrFcGFHET3cCdha/b+WULKhdkhz4yWfihDIf94mmH lYsTX+lRl05JCOcKLfSljJXWuekpYF7FkVi0NqaARdbUaZdwkvDg9caYVx1wYGnocaRTT813fQ8W 9K0+T9vaJxM/Nu2nf79cW4rWPi/n4xuoQnP5N/9dX5zgG6GVZ2QCvf8FAAD//wMAUEsBAi0AFAAG AAgAAAAhAPD3irv9AAAA4gEAABMAAAAAAAAAAAAAAAAAAAAAAFtDb250ZW50X1R5cGVzXS54bWxQ SwECLQAUAAYACAAAACEAMd1fYdIAAACPAQAACwAAAAAAAAAAAAAAAAAuAQAAX3JlbHMvLnJlbHNQ SwECLQAUAAYACAAAACEAMy8FnkEAAAA5AAAAEAAAAAAAAAAAAAAAAAApAgAAZHJzL3NoYXBleG1s LnhtbFBLAQItABQABgAIAAAAIQCWbbPowgAAANwAAAAPAAAAAAAAAAAAAAAAAJgCAABkcnMvZG93 bnJldi54bWxQSwUGAAAAAAQABAD1AAAAhwMAAAAA " filled="f" stroked="f">
                              <v:textbox style="mso-fit-shape-to-text:t" inset="0,0,0,0">
                                <w:txbxContent>
                                  <w:p>
                                    <w:pPr>
                                      <w:rPr>
                                        <w:szCs w:val="24"/>
                                        <w:lang w:val="en-GB"/>
                                      </w:rPr>
                                    </w:pPr>
                                    <w:r>
                                      <w:rPr>
                                        <w:color w:val="000000"/>
                                        <w:szCs w:val="24"/>
                                        <w:lang w:val="en-US"/>
                                      </w:rPr>
                                      <w:t>'</w:t>
                                    </w:r>
                                  </w:p>
                                </w:txbxContent>
                              </v:textbox>
                            </v:rect>
                            <v:rect id="Rectangle 77" o:spid="_x0000_s1152" style="position:absolute;left:3364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SEWc78A AADcAAAADwAAAGRycy9kb3ducmV2LnhtbERPzWoCMRC+F3yHMEJvNdFDsVujiCBo8eLaBxg2sz+Y TJYkuuvbm4LQ23x8v7PajM6KO4XYedYwnykQxJU3HTcafi/7jyWImJANWs+k4UERNuvJ2woL4wc+ 071MjcghHAvU0KbUF1LGqiWHceZ74szVPjhMGYZGmoBDDndWLpT6lA47zg0t9rRrqbqWN6dBXsr9 sCxtUP5nUZ/s8XCuyWv9Ph233yASjelf/HIfTJ6vvuDvmXyBXD8BAAD//wMAUEsBAi0AFAAGAAgA AAAhAPD3irv9AAAA4gEAABMAAAAAAAAAAAAAAAAAAAAAAFtDb250ZW50X1R5cGVzXS54bWxQSwEC LQAUAAYACAAAACEAMd1fYdIAAACPAQAACwAAAAAAAAAAAAAAAAAuAQAAX3JlbHMvLnJlbHNQSwEC LQAUAAYACAAAACEAMy8FnkEAAAA5AAAAEAAAAAAAAAAAAAAAAAApAgAAZHJzL3NoYXBleG1sLnht bFBLAQItABQABgAIAAAAIQD5IRZz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78" o:spid="_x0000_s1153" style="position:absolute;left:29908;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7cIpM8IA AADcAAAADwAAAGRycy9kb3ducmV2LnhtbESPT2sCMRDF74V+hzCF3mpWDyKrUaQgqHhx7QcYNrN/ MJksSequ3945FHqb4b157zeb3eSdelBMfWAD81kBirgOtufWwM/t8LUClTKyRReYDDwpwW77/rbB 0oaRr/SocqskhFOJBrqch1LrVHfkMc3CQCxaE6LHLGtstY04Srh3elEUS+2xZ2nocKDvjup79esN 6Ft1GFeVi0U4L5qLOx2vDQVjPj+m/RpUpin/m/+uj1bw54Ivz8gEevsCAAD//wMAUEsBAi0AFAAG AAgAAAAhAPD3irv9AAAA4gEAABMAAAAAAAAAAAAAAAAAAAAAAFtDb250ZW50X1R5cGVzXS54bWxQ SwECLQAUAAYACAAAACEAMd1fYdIAAACPAQAACwAAAAAAAAAAAAAAAAAuAQAAX3JlbHMvLnJlbHNQ SwECLQAUAAYACAAAACEAMy8FnkEAAAA5AAAAEAAAAAAAAAAAAAAAAAApAgAAZHJzL3NoYXBleG1s LnhtbFBLAQItABQABgAIAAAAIQDtwikzwgAAANwAAAAPAAAAAAAAAAAAAAAAAJgCAABkcnMvZG93 bnJldi54bWxQSwUGAAAAAAQABAD1AAAAhwM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79" o:spid="_x0000_s1154" style="position:absolute;left:26117;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go6MqL4A AADcAAAADwAAAGRycy9kb3ducmV2LnhtbERPzYrCMBC+C75DGGFvmtbDItUoIggqXqz7AEMz/cFk UpJo69ubhYW9zcf3O5vdaI14kQ+dYwX5IgNBXDndcaPg536cr0CEiKzROCYFbwqw204nGyy0G/hG rzI2IoVwKFBBG2NfSBmqliyGheuJE1c7bzEm6BupPQ4p3Bq5zLJvabHj1NBiT4eWqkf5tArkvTwO q9L4zF2W9dWcT7eanFJfs3G/BhFpjP/iP/dJp/l5Dr/PpAvk9gMAAP//AwBQSwECLQAUAAYACAAA ACEA8PeKu/0AAADiAQAAEwAAAAAAAAAAAAAAAAAAAAAAW0NvbnRlbnRfVHlwZXNdLnhtbFBLAQIt ABQABgAIAAAAIQAx3V9h0gAAAI8BAAALAAAAAAAAAAAAAAAAAC4BAABfcmVscy8ucmVsc1BLAQIt ABQABgAIAAAAIQAzLwWeQQAAADkAAAAQAAAAAAAAAAAAAAAAACkCAABkcnMvc2hhcGV4bWwueG1s UEsBAi0AFAAGAAgAAAAhAIKOjKi+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0" o:spid="_x0000_s1155" style="position:absolute;left:22834;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clwS374A AADcAAAADwAAAGRycy9kb3ducmV2LnhtbERPzYrCMBC+C75DGGFvmtrDItUoIggqXqz7AEMz/cFk UpJo69ubhYW9zcf3O5vdaI14kQ+dYwXLRQaCuHK640bBz/04X4EIEVmjcUwK3hRgt51ONlhoN/CN XmVsRArhUKCCNsa+kDJULVkMC9cTJ6523mJM0DdSexxSuDUyz7JvabHj1NBiT4eWqkf5tArkvTwO q9L4zF3y+mrOp1tNTqmv2bhfg4g0xn/xn/uk0/xlDr/PpAvk9gMAAP//AwBQSwECLQAUAAYACAAA ACEA8PeKu/0AAADiAQAAEwAAAAAAAAAAAAAAAAAAAAAAW0NvbnRlbnRfVHlwZXNdLnhtbFBLAQIt ABQABgAIAAAAIQAx3V9h0gAAAI8BAAALAAAAAAAAAAAAAAAAAC4BAABfcmVscy8ucmVsc1BLAQIt ABQABgAIAAAAIQAzLwWeQQAAADkAAAAQAAAAAAAAAAAAAAAAACkCAABkcnMvc2hhcGV4bWwueG1s UEsBAi0AFAAGAAgAAAAhAHJcEt++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1" o:spid="_x0000_s1156" style="position:absolute;left:18897;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HRC3RL4A AADcAAAADwAAAGRycy9kb3ducmV2LnhtbERP24rCMBB9X/Afwgi+rakuLFKNIoKgiy9WP2BophdM JiWJtv69EYR9m8O5zmozWCMe5EPrWMFsmoEgLp1uuVZwvey/FyBCRNZoHJOCJwXYrEdfK8y16/lM jyLWIoVwyFFBE2OXSxnKhiyGqeuIE1c5bzEm6GupPfYp3Bo5z7JfabHl1NBgR7uGyltxtwrkpdj3 i8L4zP3Nq5M5Hs4VOaUm42G7BBFpiP/ij/ug0/zZD7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B0Qt0S+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2" o:spid="_x0000_s1157" style="position:absolute;left:15278;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kvkvML4A AADcAAAADwAAAGRycy9kb3ducmV2LnhtbERP24rCMBB9X/Afwgi+ramyLFKNIoKgiy9WP2BophdM JiWJtv69EYR9m8O5zmozWCMe5EPrWMFsmoEgLp1uuVZwvey/FyBCRNZoHJOCJwXYrEdfK8y16/lM jyLWIoVwyFFBE2OXSxnKhiyGqeuIE1c5bzEm6GupPfYp3Bo5z7JfabHl1NBgR7uGyltxtwrkpdj3 i8L4zP3Nq5M5Hs4VOaUm42G7BBFpiP/ij/ug0/zZD7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JL5LzC+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3" o:spid="_x0000_s1158" style="position:absolute;left:11537;width:934;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bWKq74A AADcAAAADwAAAGRycy9kb3ducmV2LnhtbERP24rCMBB9X/Afwgi+ranCLlKNIoKgiy9WP2BophdM JiWJtv69EYR9m8O5zmozWCMe5EPrWMFsmoEgLp1uuVZwvey/FyBCRNZoHJOCJwXYrEdfK8y16/lM jyLWIoVwyFFBE2OXSxnKhiyGqeuIE1c5bzEm6GupPfYp3Bo5z7JfabHl1NBgR7uGyltxtwrkpdj3 i8L4zP3Nq5M5Hs4VOaUm42G7BBFpiP/ij/ug0/zZD7yfSRfI9QsAAP//AwBQSwECLQAUAAYACAAA ACEA8PeKu/0AAADiAQAAEwAAAAAAAAAAAAAAAAAAAAAAW0NvbnRlbnRfVHlwZXNdLnhtbFBLAQIt ABQABgAIAAAAIQAx3V9h0gAAAI8BAAALAAAAAAAAAAAAAAAAAC4BAABfcmVscy8ucmVsc1BLAQIt ABQABgAIAAAAIQAzLwWeQQAAADkAAAAQAAAAAAAAAAAAAAAAACkCAABkcnMvc2hhcGV4bWwueG1s UEsBAi0AFAAGAAgAAAAhAP21iqu+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4" o:spid="_x0000_s1159" style="position:absolute;left:10401;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DWcU3L4A AADcAAAADwAAAGRycy9kb3ducmV2LnhtbERPy6rCMBDdC/5DGOHuNNWFSDWKCIJX7sbqBwzN9IHJ pCTR9v69EQR3czjP2ewGa8STfGgdK5jPMhDEpdMt1wpu1+N0BSJEZI3GMSn4pwC77Xi0wVy7ni/0 LGItUgiHHBU0MXa5lKFsyGKYuY44cZXzFmOCvpbaY5/CrZGLLFtKiy2nhgY7OjRU3ouHVSCvxbFf FcZn7ryo/szv6VKRU+pnMuzXICIN8Sv+uE86zZ8v4f1MukBuXwAAAP//AwBQSwECLQAUAAYACAAA ACEA8PeKu/0AAADiAQAAEwAAAAAAAAAAAAAAAAAAAAAAW0NvbnRlbnRfVHlwZXNdLnhtbFBLAQIt ABQABgAIAAAAIQAx3V9h0gAAAI8BAAALAAAAAAAAAAAAAAAAAC4BAABfcmVscy8ucmVsc1BLAQIt ABQABgAIAAAAIQAzLwWeQQAAADkAAAAQAAAAAAAAAAAAAAAAACkCAABkcnMvc2hhcGV4bWwueG1s UEsBAi0AFAAGAAgAAAAhAA1nFNy+AAAA3AAAAA8AAAAAAAAAAAAAAAAAmAIAAGRycy9kb3ducmV2 LnhtbFBLBQYAAAAABAAEAPUAAACDAw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5" o:spid="_x0000_s1160" style="position:absolute;left:7302;width:838;height:1866;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YiuxR78A AADcAAAADwAAAGRycy9kb3ducmV2LnhtbERPzYrCMBC+L/gOYQRva6qHXalGEUHQxYvVBxia6Q8m k5JEW9/eCMLe5uP7ndVmsEY8yIfWsYLZNANBXDrdcq3getl/L0CEiKzROCYFTwqwWY++Vphr1/OZ HkWsRQrhkKOCJsYulzKUDVkMU9cRJ65y3mJM0NdSe+xTuDVynmU/0mLLqaHBjnYNlbfibhXIS7Hv F4XxmfubVydzPJwrckpNxsN2CSLSEP/FH/dBp/mzX3g/ky6Q6xcAAAD//wMAUEsBAi0AFAAGAAgA AAAhAPD3irv9AAAA4gEAABMAAAAAAAAAAAAAAAAAAAAAAFtDb250ZW50X1R5cGVzXS54bWxQSwEC LQAUAAYACAAAACEAMd1fYdIAAACPAQAACwAAAAAAAAAAAAAAAAAuAQAAX3JlbHMvLnJlbHNQSwEC LQAUAAYACAAAACEAMy8FnkEAAAA5AAAAEAAAAAAAAAAAAAAAAAApAgAAZHJzL3NoYXBleG1sLnht bFBLAQItABQABgAIAAAAIQBiK7FHvwAAANwAAAAPAAAAAAAAAAAAAAAAAJgCAABkcnMvZG93bnJl di54bWxQSwUGAAAAAAQABAD1AAAAhAMAAAAA " filled="f" stroked="f">
                              <v:textbox style="mso-fit-shape-to-text:t" inset="0,0,0,0">
                                <w:txbxContent>
                                  <w:p>
                                    <w:pPr>
                                      <w:rPr>
                                        <w:szCs w:val="24"/>
                                        <w:lang w:val="en-GB"/>
                                      </w:rPr>
                                    </w:pPr>
                                    <w:r>
                                      <w:rPr>
                                        <w:rFonts w:ascii="Symbol" w:hAnsi="Symbol" w:cs="Symbol"/>
                                        <w:color w:val="000000"/>
                                        <w:szCs w:val="24"/>
                                        <w:lang w:val="en-US"/>
                                      </w:rPr>
                                      <w:t></w:t>
                                    </w:r>
                                  </w:p>
                                </w:txbxContent>
                              </v:textbox>
                            </v:rect>
                            <v:rect id="Rectangle 86" o:spid="_x0000_s1161" style="position:absolute;left:14052;top:1002;width:489;height:1093;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E7QlNcIA AADcAAAADwAAAGRycy9kb3ducmV2LnhtbESPT2sCMRDF74V+hzCF3mpWDyKrUaQgqHhx7QcYNrN/ MJksSequ3945FHqb4b157zeb3eSdelBMfWAD81kBirgOtufWwM/t8LUClTKyRReYDDwpwW77/rbB 0oaRr/SocqskhFOJBrqch1LrVHfkMc3CQCxaE6LHLGtstY04Srh3elEUS+2xZ2nocKDvjup79esN 6Ft1GFeVi0U4L5qLOx2vDQVjPj+m/RpUpin/m/+uj1bw50Irz8gEevsCAAD//wMAUEsBAi0AFAAG AAgAAAAhAPD3irv9AAAA4gEAABMAAAAAAAAAAAAAAAAAAAAAAFtDb250ZW50X1R5cGVzXS54bWxQ SwECLQAUAAYACAAAACEAMd1fYdIAAACPAQAACwAAAAAAAAAAAAAAAAAuAQAAX3JlbHMvLnJlbHNQ SwECLQAUAAYACAAAACEAMy8FnkEAAAA5AAAAEAAAAAAAAAAAAAAAAAApAgAAZHJzL3NoYXBleG1s LnhtbFBLAQItABQABgAIAAAAIQATtCU1wgAAANwAAAAPAAAAAAAAAAAAAAAAAJgCAABkcnMvZG93 bnJldi54bWxQSwUGAAAAAAQABAD1AAAAhwMAAAAA " filled="f" stroked="f">
                              <v:textbox style="mso-fit-shape-to-text:t" inset="0,0,0,0">
                                <w:txbxContent>
                                  <w:p>
                                    <w:pPr>
                                      <w:rPr>
                                        <w:szCs w:val="24"/>
                                        <w:lang w:val="en-GB"/>
                                      </w:rPr>
                                    </w:pPr>
                                    <w:r>
                                      <w:rPr>
                                        <w:rFonts w:ascii="Symbol" w:hAnsi="Symbol" w:cs="Symbol"/>
                                        <w:color w:val="000000"/>
                                        <w:sz w:val="14"/>
                                        <w:szCs w:val="14"/>
                                        <w:lang w:val="en-US"/>
                                      </w:rPr>
                                      <w:t></w:t>
                                    </w:r>
                                  </w:p>
                                </w:txbxContent>
                              </v:textbox>
                            </v:rect>
                            <w10:anchorlock/>
                          </v:group>
                        </w:pict>
                      </mc:Fallback>
                    </mc:AlternateContent>
                  </w:r>
                  <w:r>
                    <w:rPr>
                      <w:bCs/>
                      <w:szCs w:val="24"/>
                    </w:rPr>
                    <w:tab/>
                    <w:t>(65)</w:t>
                  </w:r>
                </w:p>
                <w:p>
                  <w:pPr>
                    <w:tabs>
                      <w:tab w:val="left" w:pos="0"/>
                      <w:tab w:val="left" w:pos="1134"/>
                      <w:tab w:val="left" w:pos="1843"/>
                      <w:tab w:val="left" w:pos="2268"/>
                    </w:tabs>
                    <w:suppressAutoHyphens/>
                    <w:jc w:val="both"/>
                    <w:rPr>
                      <w:bCs/>
                      <w:szCs w:val="24"/>
                    </w:rPr>
                  </w:pPr>
                </w:p>
                <w:p>
                  <w:pPr>
                    <w:widowControl w:val="0"/>
                    <w:tabs>
                      <w:tab w:val="left" w:pos="1134"/>
                      <w:tab w:val="left" w:pos="1843"/>
                      <w:tab w:val="left" w:pos="2268"/>
                      <w:tab w:val="left" w:pos="7240"/>
                    </w:tabs>
                    <w:suppressAutoHyphens/>
                    <w:jc w:val="both"/>
                    <w:rPr>
                      <w:bCs/>
                      <w:i/>
                      <w:szCs w:val="24"/>
                      <w:lang w:eastAsia="lt-LT"/>
                    </w:rPr>
                  </w:pPr>
                  <w:r>
                    <w:rPr>
                      <w:bCs/>
                      <w:i/>
                      <w:szCs w:val="24"/>
                      <w:lang w:eastAsia="lt-LT"/>
                    </w:rPr>
                    <w:t>čia:</w:t>
                  </w:r>
                </w:p>
                <w:p>
                  <w:pPr>
                    <w:widowControl w:val="0"/>
                    <w:tabs>
                      <w:tab w:val="left" w:pos="1134"/>
                      <w:tab w:val="left" w:pos="1843"/>
                      <w:tab w:val="left" w:pos="2268"/>
                      <w:tab w:val="left" w:pos="7240"/>
                    </w:tabs>
                    <w:suppressAutoHyphens/>
                    <w:jc w:val="both"/>
                    <w:rPr>
                      <w:bCs/>
                      <w:szCs w:val="24"/>
                      <w:lang w:eastAsia="lt-LT"/>
                    </w:rPr>
                  </w:pPr>
                  <w:r>
                    <w:rPr>
                      <w:bCs/>
                      <w:iCs/>
                      <w:szCs w:val="24"/>
                      <w:lang w:eastAsia="lt-LT"/>
                    </w:rPr>
                    <w:t>VT’</w:t>
                  </w:r>
                  <w:r>
                    <w:rPr>
                      <w:bCs/>
                      <w:szCs w:val="24"/>
                      <w:vertAlign w:val="subscript"/>
                      <w:lang w:eastAsia="lt-LT"/>
                    </w:rPr>
                    <w:t>(10,04)</w:t>
                  </w:r>
                  <w:r>
                    <w:rPr>
                      <w:bCs/>
                      <w:iCs/>
                      <w:szCs w:val="24"/>
                      <w:vertAlign w:val="subscript"/>
                      <w:lang w:eastAsia="lt-LT"/>
                    </w:rPr>
                    <w:t>t</w:t>
                  </w:r>
                  <w:r>
                    <w:rPr>
                      <w:bCs/>
                      <w:szCs w:val="24"/>
                      <w:lang w:eastAsia="lt-LT"/>
                    </w:rPr>
                    <w:t xml:space="preserve"> – visuomeninių elektros energijos kainų viršutinės ribos vartotojams, gaunantiems elektros energiją iš skirstymo atitinkamai VĮ ir ŽĮ tinklų </w:t>
                  </w:r>
                  <w:r>
                    <w:rPr>
                      <w:bCs/>
                      <w:i/>
                      <w:szCs w:val="24"/>
                      <w:lang w:eastAsia="lt-LT"/>
                    </w:rPr>
                    <w:t xml:space="preserve">t </w:t>
                  </w:r>
                  <w:r>
                    <w:rPr>
                      <w:bCs/>
                      <w:szCs w:val="24"/>
                      <w:lang w:eastAsia="lt-LT"/>
                    </w:rPr>
                    <w:t>metais, Lt/kWh (</w:t>
                  </w:r>
                  <w:r>
                    <w:rPr>
                      <w:szCs w:val="24"/>
                      <w:lang w:eastAsia="lt-LT"/>
                    </w:rPr>
                    <w:t>EUR</w:t>
                  </w:r>
                  <w:r>
                    <w:rPr>
                      <w:bCs/>
                      <w:szCs w:val="24"/>
                      <w:lang w:eastAsia="lt-LT"/>
                    </w:rPr>
                    <w:t>/kWh);</w:t>
                  </w:r>
                </w:p>
                <w:p>
                  <w:pPr>
                    <w:widowControl w:val="0"/>
                    <w:tabs>
                      <w:tab w:val="left" w:pos="1134"/>
                      <w:tab w:val="left" w:pos="1843"/>
                      <w:tab w:val="left" w:pos="2268"/>
                      <w:tab w:val="left" w:pos="7240"/>
                    </w:tabs>
                    <w:suppressAutoHyphens/>
                    <w:jc w:val="both"/>
                    <w:rPr>
                      <w:bCs/>
                      <w:szCs w:val="24"/>
                      <w:lang w:eastAsia="lt-LT"/>
                    </w:rPr>
                  </w:pPr>
                  <w:r>
                    <w:rPr>
                      <w:bCs/>
                      <w:szCs w:val="24"/>
                      <w:lang w:eastAsia="lt-LT"/>
                    </w:rPr>
                    <w:t>T</w:t>
                  </w:r>
                  <w:r>
                    <w:rPr>
                      <w:bCs/>
                      <w:szCs w:val="24"/>
                      <w:vertAlign w:val="subscript"/>
                      <w:lang w:eastAsia="lt-LT"/>
                    </w:rPr>
                    <w:t>g,t</w:t>
                  </w:r>
                  <w:r>
                    <w:rPr>
                      <w:bCs/>
                      <w:szCs w:val="24"/>
                      <w:lang w:eastAsia="lt-LT"/>
                    </w:rPr>
                    <w:t xml:space="preserve"> – prognozuojama elektros energijos įsigijimo kaina </w:t>
                  </w:r>
                  <w:r>
                    <w:rPr>
                      <w:bCs/>
                      <w:i/>
                      <w:szCs w:val="24"/>
                      <w:lang w:eastAsia="lt-LT"/>
                    </w:rPr>
                    <w:t>t</w:t>
                  </w:r>
                  <w:r>
                    <w:rPr>
                      <w:bCs/>
                      <w:szCs w:val="24"/>
                      <w:lang w:eastAsia="lt-LT"/>
                    </w:rPr>
                    <w:t xml:space="preserve"> metais, EUR/kWh;</w:t>
                  </w:r>
                </w:p>
                <w:p>
                  <w:pPr>
                    <w:widowControl w:val="0"/>
                    <w:tabs>
                      <w:tab w:val="left" w:pos="1134"/>
                      <w:tab w:val="left" w:pos="1843"/>
                      <w:tab w:val="left" w:pos="2268"/>
                      <w:tab w:val="left" w:pos="7240"/>
                    </w:tabs>
                    <w:suppressAutoHyphens/>
                    <w:jc w:val="both"/>
                    <w:rPr>
                      <w:bCs/>
                      <w:szCs w:val="24"/>
                      <w:lang w:eastAsia="lt-LT"/>
                    </w:rPr>
                  </w:pPr>
                  <w:r>
                    <w:rPr>
                      <w:bCs/>
                      <w:szCs w:val="24"/>
                      <w:lang w:eastAsia="lt-LT"/>
                    </w:rPr>
                    <w:t>ΔT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metų faktinės elektros energijos įsigijimo kainos ir prognozuotos elektros energijos įsigijimo kainos skirtumas, EUR/kWh;</w:t>
                  </w:r>
                </w:p>
                <w:p>
                  <w:pPr>
                    <w:widowControl w:val="0"/>
                    <w:tabs>
                      <w:tab w:val="left" w:pos="1134"/>
                      <w:tab w:val="left" w:pos="1843"/>
                      <w:tab w:val="left" w:pos="2268"/>
                      <w:tab w:val="left" w:pos="7240"/>
                    </w:tabs>
                    <w:suppressAutoHyphens/>
                    <w:jc w:val="both"/>
                    <w:rPr>
                      <w:bCs/>
                      <w:szCs w:val="24"/>
                      <w:lang w:eastAsia="lt-LT"/>
                    </w:rPr>
                  </w:pPr>
                  <w:r>
                    <w:rPr>
                      <w:bCs/>
                      <w:iCs/>
                      <w:szCs w:val="24"/>
                      <w:lang w:eastAsia="lt-LT"/>
                    </w:rPr>
                    <w:t>T’</w:t>
                  </w:r>
                  <w:r>
                    <w:rPr>
                      <w:bCs/>
                      <w:iCs/>
                      <w:szCs w:val="24"/>
                      <w:vertAlign w:val="subscript"/>
                      <w:lang w:eastAsia="lt-LT"/>
                    </w:rPr>
                    <w:t>vt,t</w:t>
                  </w:r>
                  <w:r>
                    <w:rPr>
                      <w:bCs/>
                      <w:szCs w:val="24"/>
                      <w:lang w:eastAsia="lt-LT"/>
                    </w:rPr>
                    <w:t xml:space="preserve"> – elektros energijos visuomeninio tiekimo paslaugos kainos viršutinė riba </w:t>
                  </w:r>
                  <w:r>
                    <w:rPr>
                      <w:bCs/>
                      <w:i/>
                      <w:szCs w:val="24"/>
                      <w:lang w:eastAsia="lt-LT"/>
                    </w:rPr>
                    <w:t xml:space="preserve">t </w:t>
                  </w:r>
                  <w:r>
                    <w:rPr>
                      <w:bCs/>
                      <w:szCs w:val="24"/>
                      <w:lang w:eastAsia="lt-LT"/>
                    </w:rPr>
                    <w:t xml:space="preserve">metais, </w:t>
                  </w:r>
                  <w:r>
                    <w:rPr>
                      <w:szCs w:val="24"/>
                      <w:lang w:eastAsia="lt-LT"/>
                    </w:rPr>
                    <w:t>EUR</w:t>
                  </w:r>
                  <w:r>
                    <w:rPr>
                      <w:bCs/>
                      <w:szCs w:val="24"/>
                      <w:lang w:eastAsia="lt-LT"/>
                    </w:rPr>
                    <w:t>/kWh;</w:t>
                  </w:r>
                </w:p>
                <w:p>
                  <w:pPr>
                    <w:widowControl w:val="0"/>
                    <w:tabs>
                      <w:tab w:val="left" w:pos="1134"/>
                      <w:tab w:val="left" w:pos="1843"/>
                      <w:tab w:val="left" w:pos="2268"/>
                    </w:tabs>
                    <w:jc w:val="both"/>
                    <w:rPr>
                      <w:bCs/>
                      <w:szCs w:val="24"/>
                      <w:lang w:eastAsia="lt-LT"/>
                    </w:rPr>
                  </w:pPr>
                  <w:r>
                    <w:rPr>
                      <w:bCs/>
                      <w:iCs/>
                      <w:szCs w:val="24"/>
                      <w:lang w:eastAsia="lt-LT"/>
                    </w:rPr>
                    <w:t>T’</w:t>
                  </w:r>
                  <w:r>
                    <w:rPr>
                      <w:bCs/>
                      <w:szCs w:val="24"/>
                      <w:vertAlign w:val="subscript"/>
                      <w:lang w:eastAsia="lt-LT"/>
                    </w:rPr>
                    <w:t>(110,10,04),</w:t>
                  </w:r>
                  <w:r>
                    <w:rPr>
                      <w:bCs/>
                      <w:iCs/>
                      <w:szCs w:val="24"/>
                      <w:vertAlign w:val="subscript"/>
                      <w:lang w:eastAsia="lt-LT"/>
                    </w:rPr>
                    <w:t>t</w:t>
                  </w:r>
                  <w:r>
                    <w:rPr>
                      <w:bCs/>
                      <w:szCs w:val="24"/>
                      <w:lang w:eastAsia="lt-LT"/>
                    </w:rPr>
                    <w:t xml:space="preserve"> – elektros energijos perdavimo AĮ tinklais paslaugos, skirstymo paslaugos VĮ ir ŽĮ tinklais kainų viršutinės ribos </w:t>
                  </w:r>
                  <w:r>
                    <w:rPr>
                      <w:bCs/>
                      <w:i/>
                      <w:szCs w:val="24"/>
                      <w:lang w:eastAsia="lt-LT"/>
                    </w:rPr>
                    <w:t xml:space="preserve">t </w:t>
                  </w:r>
                  <w:r>
                    <w:rPr>
                      <w:bCs/>
                      <w:szCs w:val="24"/>
                      <w:lang w:eastAsia="lt-LT"/>
                    </w:rPr>
                    <w:t xml:space="preserve">metais, </w:t>
                  </w:r>
                  <w:r>
                    <w:rPr>
                      <w:szCs w:val="24"/>
                      <w:lang w:eastAsia="lt-LT"/>
                    </w:rPr>
                    <w:t>EUR</w:t>
                  </w:r>
                  <w:r>
                    <w:rPr>
                      <w:bCs/>
                      <w:szCs w:val="24"/>
                      <w:lang w:eastAsia="lt-LT"/>
                    </w:rPr>
                    <w:t>/kWh;</w:t>
                  </w:r>
                </w:p>
                <w:p>
                  <w:pPr>
                    <w:widowControl w:val="0"/>
                    <w:tabs>
                      <w:tab w:val="left" w:pos="1134"/>
                      <w:tab w:val="left" w:pos="1843"/>
                      <w:tab w:val="left" w:pos="2268"/>
                    </w:tabs>
                    <w:jc w:val="both"/>
                    <w:rPr>
                      <w:szCs w:val="24"/>
                      <w:lang w:eastAsia="lt-LT"/>
                    </w:rPr>
                  </w:pPr>
                  <w:r>
                    <w:rPr>
                      <w:szCs w:val="24"/>
                      <w:lang w:eastAsia="lt-LT"/>
                    </w:rPr>
                    <w:t>T</w:t>
                  </w:r>
                  <w:r>
                    <w:rPr>
                      <w:szCs w:val="24"/>
                      <w:vertAlign w:val="subscript"/>
                      <w:lang w:eastAsia="lt-LT"/>
                    </w:rPr>
                    <w:t xml:space="preserve">sis,t </w:t>
                  </w:r>
                  <w:r>
                    <w:rPr>
                      <w:szCs w:val="24"/>
                      <w:lang w:eastAsia="lt-LT"/>
                    </w:rPr>
                    <w:t xml:space="preserve">– elektros energijos sisteminių paslaugų kaina, apskaičiuota vadovaujantis 2012 m. liepos 27 d. Komisijos nutarimu Nr. O3-200 „Dėl Elektros energijos sisteminių paslaugų kainos nustatymo metodikos patvirtinimo“ patvirtinta Elektros energijos sisteminių paslaugų kainos nustatymo metodika, </w:t>
                  </w:r>
                  <w:r>
                    <w:rPr>
                      <w:i/>
                      <w:szCs w:val="24"/>
                      <w:lang w:eastAsia="lt-LT"/>
                    </w:rPr>
                    <w:t xml:space="preserve">t </w:t>
                  </w:r>
                  <w:r>
                    <w:rPr>
                      <w:szCs w:val="24"/>
                      <w:lang w:eastAsia="lt-LT"/>
                    </w:rPr>
                    <w:t>metais, EUR/kWh;</w:t>
                  </w:r>
                </w:p>
                <w:p>
                  <w:pPr>
                    <w:tabs>
                      <w:tab w:val="left" w:pos="1134"/>
                      <w:tab w:val="left" w:pos="1843"/>
                      <w:tab w:val="left" w:pos="2268"/>
                      <w:tab w:val="left" w:pos="7240"/>
                    </w:tabs>
                    <w:suppressAutoHyphens/>
                    <w:jc w:val="both"/>
                    <w:rPr>
                      <w:szCs w:val="24"/>
                      <w:lang w:eastAsia="lt-LT"/>
                    </w:rPr>
                  </w:pPr>
                  <w:r>
                    <w:rPr>
                      <w:szCs w:val="24"/>
                      <w:lang w:eastAsia="lt-LT"/>
                    </w:rPr>
                    <w:t>T</w:t>
                  </w:r>
                  <w:r>
                    <w:rPr>
                      <w:szCs w:val="24"/>
                      <w:vertAlign w:val="subscript"/>
                      <w:lang w:eastAsia="lt-LT"/>
                    </w:rPr>
                    <w:t>viap,t</w:t>
                  </w:r>
                  <w:r>
                    <w:rPr>
                      <w:szCs w:val="24"/>
                      <w:lang w:eastAsia="lt-LT"/>
                    </w:rPr>
                    <w:t xml:space="preserve">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lang w:eastAsia="lt-LT"/>
                    </w:rPr>
                    <w:t xml:space="preserve">t </w:t>
                  </w:r>
                  <w:r>
                    <w:rPr>
                      <w:szCs w:val="24"/>
                      <w:lang w:eastAsia="lt-LT"/>
                    </w:rPr>
                    <w:t>metais, EUR/kWh;</w:t>
                  </w:r>
                </w:p>
              </w:sdtContent>
            </w:sdt>
            <w:sdt>
              <w:sdtPr>
                <w:alias w:val="108 p."/>
                <w:tag w:val="part_5d22d755bd5b4ae89af41af36abc2135"/>
                <w:lock w:val="sdtLocked"/>
                <w:richText/>
              </w:sdtPr>
              <w:sdtContent>
                <w:p>
                  <w:pPr>
                    <w:tabs>
                      <w:tab w:val="left" w:pos="1260"/>
                      <w:tab w:val="left" w:pos="1843"/>
                      <w:tab w:val="left" w:pos="2268"/>
                    </w:tabs>
                    <w:ind w:right="-1" w:firstLine="720"/>
                    <w:jc w:val="both"/>
                    <w:rPr>
                      <w:szCs w:val="24"/>
                    </w:rPr>
                  </w:pPr>
                  <w:sdt>
                    <w:sdtPr>
                      <w:alias w:val="Numeris"/>
                      <w:tag w:val="nr_5d22d755bd5b4ae89af41af36abc2135"/>
                      <w:lock w:val="sdtLocked"/>
                      <w:richText/>
                    </w:sdtPr>
                    <w:sdtContent>
                      <w:r>
                        <w:rPr>
                          <w:szCs w:val="24"/>
                        </w:rPr>
                        <w:t>108</w:t>
                      </w:r>
                    </w:sdtContent>
                  </w:sdt>
                  <w:r>
                    <w:rPr>
                      <w:szCs w:val="24"/>
                    </w:rPr>
                    <w:t>.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Komisijos motyvuotu sprendimu dalis elektros energijos kaštų neįskaičiuojama į visuomeninės elektros energijos kainos viršutinę ribą.</w:t>
                  </w:r>
                </w:p>
              </w:sdtContent>
            </w:sdt>
            <w:sdt>
              <w:sdtPr>
                <w:alias w:val="109 p."/>
                <w:tag w:val="part_e469d7a4e97e467089144eca43b9279a"/>
                <w:lock w:val="sdtLocked"/>
                <w:richText/>
              </w:sdtPr>
              <w:sdtContent>
                <w:p>
                  <w:pPr>
                    <w:tabs>
                      <w:tab w:val="left" w:pos="1260"/>
                      <w:tab w:val="left" w:pos="1843"/>
                      <w:tab w:val="left" w:pos="2268"/>
                    </w:tabs>
                    <w:ind w:right="-1" w:firstLine="720"/>
                    <w:jc w:val="both"/>
                    <w:rPr>
                      <w:szCs w:val="24"/>
                    </w:rPr>
                  </w:pPr>
                  <w:sdt>
                    <w:sdtPr>
                      <w:alias w:val="Numeris"/>
                      <w:tag w:val="nr_e469d7a4e97e467089144eca43b9279a"/>
                      <w:lock w:val="sdtLocked"/>
                      <w:richText/>
                    </w:sdtPr>
                    <w:sdtContent>
                      <w:r>
                        <w:rPr>
                          <w:szCs w:val="24"/>
                        </w:rPr>
                        <w:t>109</w:t>
                      </w:r>
                    </w:sdtContent>
                  </w:sdt>
                  <w:r>
                    <w:rPr>
                      <w:szCs w:val="24"/>
                    </w:rPr>
                    <w:t xml:space="preserve">. Komisijos sprendimu įvertinamas prognozuotos elektros energijos įsigijimo kainos ir faktinės elektros energijos įsigijimo kainos, kurią faktiškai mokėjo visuomeninis tiekėjas, skirtumas kainos galiojimo laikotarpiui </w:t>
                  </w:r>
                  <w:r>
                    <w:rPr>
                      <w:i/>
                      <w:szCs w:val="24"/>
                    </w:rPr>
                    <w:t>t-2</w:t>
                  </w:r>
                  <w:r>
                    <w:rPr>
                      <w:szCs w:val="24"/>
                    </w:rPr>
                    <w:t xml:space="preserve"> ir apskaičiuojamas pagal formulę:</w:t>
                  </w:r>
                </w:p>
                <w:p>
                  <w:pPr>
                    <w:tabs>
                      <w:tab w:val="left" w:pos="1260"/>
                      <w:tab w:val="left" w:pos="1843"/>
                      <w:tab w:val="left" w:pos="2268"/>
                    </w:tabs>
                    <w:ind w:right="-1"/>
                    <w:jc w:val="both"/>
                    <w:rPr>
                      <w:szCs w:val="24"/>
                    </w:rPr>
                  </w:pPr>
                </w:p>
                <w:p>
                  <w:pPr>
                    <w:tabs>
                      <w:tab w:val="left" w:pos="9214"/>
                    </w:tabs>
                    <w:ind w:right="-1"/>
                    <w:jc w:val="both"/>
                    <w:rPr>
                      <w:szCs w:val="24"/>
                    </w:rPr>
                  </w:pPr>
                  <w:r>
                    <w:rPr>
                      <w:szCs w:val="24"/>
                      <w:lang w:eastAsia="lt-LT"/>
                    </w:rPr>
                    <w:drawing>
                      <wp:inline distT="0" distB="0" distL="0" distR="0">
                        <wp:extent cx="2076450" cy="476250"/>
                        <wp:effectExtent l="0" t="0" r="0" b="0"/>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76450" cy="476250"/>
                                </a:xfrm>
                                <a:prstGeom prst="rect">
                                  <a:avLst/>
                                </a:prstGeom>
                                <a:noFill/>
                              </pic:spPr>
                            </pic:pic>
                          </a:graphicData>
                        </a:graphic>
                      </wp:inline>
                    </w:drawing>
                  </w:r>
                  <w:r>
                    <w:rPr>
                      <w:szCs w:val="24"/>
                    </w:rPr>
                    <w:tab/>
                    <w:t>(66)</w:t>
                  </w:r>
                </w:p>
                <w:p>
                  <w:pPr>
                    <w:tabs>
                      <w:tab w:val="left" w:pos="1134"/>
                      <w:tab w:val="left" w:pos="1843"/>
                      <w:tab w:val="left" w:pos="2268"/>
                    </w:tabs>
                    <w:jc w:val="both"/>
                    <w:rPr>
                      <w:szCs w:val="24"/>
                    </w:rPr>
                  </w:pPr>
                </w:p>
                <w:p>
                  <w:pPr>
                    <w:tabs>
                      <w:tab w:val="left" w:pos="1134"/>
                      <w:tab w:val="left" w:pos="1843"/>
                      <w:tab w:val="left" w:pos="2268"/>
                      <w:tab w:val="left" w:pos="7240"/>
                    </w:tabs>
                    <w:suppressAutoHyphens/>
                    <w:jc w:val="both"/>
                    <w:rPr>
                      <w:i/>
                      <w:szCs w:val="24"/>
                      <w:lang w:eastAsia="lt-LT"/>
                    </w:rPr>
                  </w:pPr>
                  <w:r>
                    <w:rPr>
                      <w:i/>
                      <w:szCs w:val="24"/>
                      <w:lang w:eastAsia="lt-LT"/>
                    </w:rPr>
                    <w:t>čia:</w:t>
                  </w:r>
                </w:p>
                <w:p>
                  <w:pPr>
                    <w:tabs>
                      <w:tab w:val="left" w:pos="1134"/>
                      <w:tab w:val="left" w:pos="1843"/>
                      <w:tab w:val="left" w:pos="2268"/>
                    </w:tabs>
                    <w:jc w:val="both"/>
                    <w:rPr>
                      <w:bCs/>
                      <w:szCs w:val="24"/>
                      <w:lang w:eastAsia="lt-LT"/>
                    </w:rPr>
                  </w:pPr>
                  <w:r>
                    <w:rPr>
                      <w:bCs/>
                      <w:szCs w:val="24"/>
                      <w:lang w:eastAsia="lt-LT"/>
                    </w:rPr>
                    <w:t>ΔT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metų faktinės elektros energijos įsigijimo kainos ir prognozuotos elektros energijos įsigijimo kainos skirtumas, EUR/kWh;</w:t>
                  </w:r>
                </w:p>
                <w:p>
                  <w:pPr>
                    <w:tabs>
                      <w:tab w:val="left" w:pos="1134"/>
                      <w:tab w:val="left" w:pos="1843"/>
                      <w:tab w:val="left" w:pos="2268"/>
                    </w:tabs>
                    <w:jc w:val="both"/>
                    <w:rPr>
                      <w:bCs/>
                      <w:szCs w:val="24"/>
                      <w:lang w:eastAsia="lt-LT"/>
                    </w:rPr>
                  </w:pPr>
                  <w:r>
                    <w:rPr>
                      <w:bCs/>
                      <w:szCs w:val="24"/>
                      <w:lang w:eastAsia="lt-LT"/>
                    </w:rPr>
                    <w:t>T</w:t>
                  </w:r>
                  <w:r>
                    <w:rPr>
                      <w:bCs/>
                      <w:szCs w:val="24"/>
                      <w:vertAlign w:val="subscript"/>
                      <w:lang w:eastAsia="lt-LT"/>
                    </w:rPr>
                    <w:t>g,t-2</w:t>
                  </w:r>
                  <w:r>
                    <w:rPr>
                      <w:bCs/>
                      <w:szCs w:val="24"/>
                      <w:lang w:eastAsia="lt-LT"/>
                    </w:rPr>
                    <w:t xml:space="preserve"> – </w:t>
                  </w:r>
                  <w:r>
                    <w:rPr>
                      <w:bCs/>
                      <w:i/>
                      <w:szCs w:val="24"/>
                      <w:lang w:eastAsia="lt-LT"/>
                    </w:rPr>
                    <w:t>t-2</w:t>
                  </w:r>
                  <w:r>
                    <w:rPr>
                      <w:bCs/>
                      <w:szCs w:val="24"/>
                      <w:lang w:eastAsia="lt-LT"/>
                    </w:rPr>
                    <w:t xml:space="preserve"> metams nustatyta elektros energijos įsigijimo kaina, EUR/kWh;</w:t>
                  </w:r>
                </w:p>
                <w:p>
                  <w:pPr>
                    <w:tabs>
                      <w:tab w:val="left" w:pos="1134"/>
                      <w:tab w:val="left" w:pos="1843"/>
                      <w:tab w:val="left" w:pos="2268"/>
                    </w:tabs>
                    <w:jc w:val="both"/>
                    <w:rPr>
                      <w:szCs w:val="24"/>
                    </w:rPr>
                  </w:pPr>
                  <w:r>
                    <w:rPr>
                      <w:iCs/>
                      <w:szCs w:val="24"/>
                    </w:rPr>
                    <w:t>T</w:t>
                  </w:r>
                  <w:r>
                    <w:rPr>
                      <w:iCs/>
                      <w:szCs w:val="24"/>
                      <w:vertAlign w:val="subscript"/>
                    </w:rPr>
                    <w:t>g,t</w:t>
                  </w:r>
                  <w:r>
                    <w:rPr>
                      <w:szCs w:val="24"/>
                      <w:vertAlign w:val="subscript"/>
                    </w:rPr>
                    <w:t xml:space="preserve">-2,f </w:t>
                  </w:r>
                  <w:r>
                    <w:rPr>
                      <w:szCs w:val="24"/>
                    </w:rPr>
                    <w:t>– faktinė elektros energijos įsigijimo kaina nustatyta</w:t>
                  </w:r>
                  <w:r>
                    <w:rPr>
                      <w:i/>
                      <w:iCs/>
                      <w:szCs w:val="24"/>
                    </w:rPr>
                    <w:t xml:space="preserve"> </w:t>
                  </w:r>
                  <w:r>
                    <w:rPr>
                      <w:szCs w:val="24"/>
                    </w:rPr>
                    <w:t>jos galiojimo laikotarpiui</w:t>
                  </w:r>
                  <w:r>
                    <w:rPr>
                      <w:i/>
                      <w:iCs/>
                      <w:szCs w:val="24"/>
                    </w:rPr>
                    <w:t xml:space="preserve"> t</w:t>
                  </w:r>
                  <w:r>
                    <w:rPr>
                      <w:i/>
                      <w:szCs w:val="24"/>
                    </w:rPr>
                    <w:t>-2</w:t>
                  </w:r>
                  <w:r>
                    <w:rPr>
                      <w:szCs w:val="24"/>
                    </w:rPr>
                    <w:t xml:space="preserve">, </w:t>
                  </w:r>
                  <w:r>
                    <w:rPr>
                      <w:szCs w:val="24"/>
                      <w:lang w:eastAsia="lt-LT"/>
                    </w:rPr>
                    <w:t>EUR</w:t>
                  </w:r>
                  <w:r>
                    <w:rPr>
                      <w:szCs w:val="24"/>
                    </w:rPr>
                    <w:t>/kWh;</w:t>
                  </w:r>
                </w:p>
                <w:p>
                  <w:pPr>
                    <w:tabs>
                      <w:tab w:val="left" w:pos="1134"/>
                      <w:tab w:val="left" w:pos="1843"/>
                      <w:tab w:val="left" w:pos="2268"/>
                    </w:tabs>
                    <w:jc w:val="both"/>
                    <w:rPr>
                      <w:szCs w:val="24"/>
                    </w:rPr>
                  </w:pPr>
                  <w:r>
                    <w:rPr>
                      <w:szCs w:val="24"/>
                    </w:rPr>
                    <w:t>E</w:t>
                  </w:r>
                  <w:r>
                    <w:rPr>
                      <w:szCs w:val="24"/>
                      <w:vertAlign w:val="subscript"/>
                    </w:rPr>
                    <w:t>vt,t</w:t>
                  </w:r>
                  <w:r>
                    <w:rPr>
                      <w:szCs w:val="24"/>
                    </w:rPr>
                    <w:t xml:space="preserve"> – visuomeninio tiekėjo prognozuojamas parduoti elektros energijos kiekis </w:t>
                  </w:r>
                  <w:r>
                    <w:rPr>
                      <w:i/>
                      <w:szCs w:val="24"/>
                    </w:rPr>
                    <w:t xml:space="preserve">t </w:t>
                  </w:r>
                  <w:r>
                    <w:rPr>
                      <w:szCs w:val="24"/>
                    </w:rPr>
                    <w:t>metais, kWh;</w:t>
                  </w:r>
                </w:p>
                <w:p>
                  <w:pPr>
                    <w:tabs>
                      <w:tab w:val="left" w:pos="1134"/>
                      <w:tab w:val="left" w:pos="1843"/>
                      <w:tab w:val="left" w:pos="2268"/>
                    </w:tabs>
                    <w:jc w:val="both"/>
                    <w:rPr>
                      <w:szCs w:val="24"/>
                    </w:rPr>
                  </w:pPr>
                  <w:r>
                    <w:rPr>
                      <w:szCs w:val="24"/>
                    </w:rPr>
                    <w:t>E</w:t>
                  </w:r>
                  <w:r>
                    <w:rPr>
                      <w:szCs w:val="24"/>
                      <w:vertAlign w:val="subscript"/>
                    </w:rPr>
                    <w:t>vt,t-2</w:t>
                  </w:r>
                  <w:r>
                    <w:rPr>
                      <w:szCs w:val="24"/>
                    </w:rPr>
                    <w:t xml:space="preserve"> – </w:t>
                  </w:r>
                  <w:r>
                    <w:rPr>
                      <w:i/>
                      <w:szCs w:val="24"/>
                    </w:rPr>
                    <w:t>t-2</w:t>
                  </w:r>
                  <w:r>
                    <w:rPr>
                      <w:szCs w:val="24"/>
                    </w:rPr>
                    <w:t xml:space="preserve"> metams visuomeninio tiekėjo prognozuotas parduoti elektros energijos kiekis , kWh.</w:t>
                  </w:r>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ff5be40492364ee9af845701df951c7a"/>
                <w:lock w:val="sdtLocked"/>
                <w:richText/>
              </w:sdtPr>
              <w:sdtContent>
                <w:p>
                  <w:pPr>
                    <w:tabs>
                      <w:tab w:val="left" w:pos="1260"/>
                      <w:tab w:val="left" w:pos="1843"/>
                      <w:tab w:val="left" w:pos="2268"/>
                    </w:tabs>
                    <w:ind w:firstLine="720"/>
                    <w:jc w:val="both"/>
                  </w:pPr>
                  <w:sdt>
                    <w:sdtPr>
                      <w:alias w:val="Numeris"/>
                      <w:tag w:val="nr_ff5be40492364ee9af845701df951c7a"/>
                      <w:lock w:val="sdtLocked"/>
                      <w:richText/>
                    </w:sdtPr>
                    <w:sdtContent>
                      <w:r>
                        <w:rPr>
                          <w:szCs w:val="24"/>
                        </w:rPr>
                        <w:t>111</w:t>
                      </w:r>
                    </w:sdtContent>
                  </w:sdt>
                  <w:r>
                    <w:rPr>
                      <w:szCs w:val="24"/>
                    </w:rPr>
                    <w:t>. Komisijos motyvuotu sprendimu visuomeninio tiekimo paslaugų kainos viršutinės ribos gali būti koreguojamos skirtumu tarp visuomeninio tiekėjo garantiniam elektros energijos tiekimui vykdyti patirtų kaštų ir iš garantinio elektros energijos tiekimo gautų pajamų.</w:t>
                  </w:r>
                  <w:r>
                    <w:t xml:space="preserve">   </w:t>
                  </w:r>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8cb574810cdd4a2497c5d905f3f746f7"/>
                        <w:lock w:val="sdtLocked"/>
                        <w:richText/>
                      </w:sdtPr>
                      <w:sdtContent>
                        <w:p>
                          <w:pPr>
                            <w:ind w:firstLine="720"/>
                            <w:jc w:val="both"/>
                            <w:rPr>
                              <w:szCs w:val="24"/>
                            </w:rPr>
                          </w:pPr>
                          <w:sdt>
                            <w:sdtPr>
                              <w:alias w:val="Numeris"/>
                              <w:tag w:val="nr_8cb574810cdd4a2497c5d905f3f746f7"/>
                              <w:lock w:val="sdtLocked"/>
                              <w:richText/>
                            </w:sdtPr>
                            <w:sdtContent>
                              <w:r>
                                <w:rPr>
                                  <w:szCs w:val="24"/>
                                </w:rPr>
                                <w:t>115.1.10</w:t>
                              </w:r>
                            </w:sdtContent>
                          </w:sdt>
                          <w:r>
                            <w:rPr>
                              <w:szCs w:val="24"/>
                            </w:rPr>
                            <w:t>. duomenų suvestinę nekoreguotų Modeliu nustatytų pajamų koregavimui ir kainų viršutinių ribų perskaičiavimui (Metodikos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11ca7ed632334a73adfb0647d98bdc6a"/>
                        <w:lock w:val="sdtLocked"/>
                        <w:richText/>
                      </w:sdtPr>
                      <w:sdtContent>
                        <w:p>
                          <w:pPr>
                            <w:ind w:firstLine="709"/>
                            <w:jc w:val="both"/>
                            <w:rPr>
                              <w:szCs w:val="24"/>
                            </w:rPr>
                          </w:pPr>
                          <w:sdt>
                            <w:sdtPr>
                              <w:alias w:val="Numeris"/>
                              <w:tag w:val="nr_11ca7ed632334a73adfb0647d98bdc6a"/>
                              <w:lock w:val="sdtLocked"/>
                              <w:richText/>
                            </w:sdtPr>
                            <w:sdtContent>
                              <w:r>
                                <w:rPr>
                                  <w:szCs w:val="24"/>
                                </w:rPr>
                                <w:t>115.2.10</w:t>
                              </w:r>
                            </w:sdtContent>
                          </w:sdt>
                          <w:r>
                            <w:rPr>
                              <w:szCs w:val="24"/>
                            </w:rPr>
                            <w:t>. duomenų suvestinę nekoreguotų Modeliu nustatytų pajamų koregavimui ir kainų viršutinių ribų perskaičiavimui (Metodikos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o3-509(priedas2)-2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 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20" w:footer="720" w:gutter="0"/>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DEF8A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7.png"/>
  <Relationship Id="rId17" Type="http://schemas.openxmlformats.org/officeDocument/2006/relationships/image" Target="media/image9.png"/>
  <Relationship Id="rId18" Type="http://schemas.openxmlformats.org/officeDocument/2006/relationships/image" Target="media/image11.png"/>
  <Relationship Id="rId19" Type="http://schemas.openxmlformats.org/officeDocument/2006/relationships/image" Target="media/image13.png"/>
  <Relationship Id="rId2" Type="http://schemas.openxmlformats.org/officeDocument/2006/relationships/header" Target="header14.xml"/>
  <Relationship Id="rId20"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cd6be502eef548c5b6187f8c14d43aab">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9cae92821c2c4a1698213145a123848e"/>
  </Part>
  <Part Type="patvirtinta" Title="ELEKTROS ENERGIJOS PERDAVIMO, SKIRSTYMO IR VISUOMENINIO TIEKIMO PASLAUGŲ BEI VISUOMENINĖS KAINOS VIRŠUTINĖS RIBOS NUSTATYMO METODIKA" DocPartId="b4e6b57bfa7c49519964c5d8364ecb9e" PartId="1b21b42953994a08a46d1f8b4c70d599">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bfd1b945f5ba46f1bd3229bc91499a99"/>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unktas" Nr="7.2.3" Abbr="7.2.3 p." DocPartId="4663f3d9fd4e4de6a83929c66e97108d" PartId="c811596d48984fd0baec0643c4f74a4a"/>
            <Part Type="punktas" Nr="7.2.4" Abbr="7.2.4 p." DocPartId="d8ee6e2c71fd43068d40c64febb0c5a4" PartId="c1d2a734a119409986393d1ba531d93f"/>
            <Part Type="punktas" Nr="7.2.4-1" Abbr="7.2.4-1 p." DocPartId="3c7681e6565d4bc890e825d8b4f180f5" PartId="88721f57e9a44899a7a1355842127a10"/>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87e2f9ff0e2e4d3286a745f43814c226">
              <Part Type="punktas" Nr="7.3.2.1" Abbr="7.3.2.1 p." DocPartId="030f37ad14c54c6497a2cc50dc36c04a" PartId="54700e9d18c346059d17a084d7288982"/>
              <Part Type="punktas" Nr="7.3.2.2" Abbr="7.3.2.2 p." DocPartId="82eb34f3871f40b886e2f765b47ff051" PartId="e1d60074850b4e24b9476c58137bf06c"/>
              <Part Type="punktas" Nr="7.3.2.3" Abbr="7.3.2.3 p." DocPartId="18f77b6368204f4e90654c27462dce0d" PartId="d9aa63753ef5461ca96687f862a24066"/>
            </Part>
            <Part Type="punktas" Nr="7.3.3" Abbr="7.3.3 p." DocPartId="f3b501add1e9487fa20239dd607d186d" PartId="cfde20a664364c4585a3c30ee9e876bb"/>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e8f2ca872fd4440e96e37c5169b80dfc"/>
            <Part Type="punktas" Nr="8.1.4" Abbr="8.1.4 p." DocPartId="9d5b4abffa4e481fbd7d9ac6a10a7fe6" PartId="a5234e5a81964f87bf84bfbca29b89a6"/>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a1fb577029a347e59bda1b493b21d38b"/>
            <Part Type="punktas" Nr="8.2.6" Abbr="8.2.6 p." DocPartId="0a84d9ce9f7744d483cae0d10a670c7d" PartId="8ecf582e8fcf43078c15b90c10b68fb5"/>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295d0e6094c7417f989efba4d291e8dc"/>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9b25192e4d4bf4b3ecf500fd844956"/>
        <Part Type="punktas" Nr="14" Abbr="14 p." DocPartId="cff49987fea049098839d9e214d52272" PartId="96fffdf6d88b477aad3c98d821f6c77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ca845536b4714b4a85789f867893dd70"/>
        </Part>
        <Part Type="punktas" Nr="15" Abbr="15 p." DocPartId="d7dbd51b560b4fb0b32e384c5ff5c986" PartId="e4fd79bae49f4865b220e51807270429">
          <Part Type="punktas" Nr="15.1" Abbr="15.1 p." DocPartId="25e46eda3fd74398bd3772bd95ee6f1f" PartId="e129eda82dbf468f9ecd1c297917608f"/>
          <Part Type="punktas" Nr="15.2" Abbr="15.2 p." DocPartId="55a8e0b2c4ff4176b9bc11325690d962" PartId="555657d492804326b7222cf1bd7db737"/>
        </Part>
        <Part Type="punktas" Nr="16" Abbr="16 p." DocPartId="c7056d20c69648a187ede9395d1cb80b" PartId="f2dc6bc52c10474794bcb90aa9749120">
          <Part Type="punktas" Nr="16.1" Abbr="16.1 p." DocPartId="e5fb1b6985e5436cb8e61621e3f19f41" PartId="ad5fbe8273a642fdb9d873b7760d4f28"/>
          <Part Type="punktas" Nr="16.2" Abbr="16.2 p." DocPartId="61cb08bee38a4a268704c524debb5b2d" PartId="fc23133d39634d93b870027c2c715724"/>
          <Part Type="punktas" Nr="16.3" Abbr="16.3 p." DocPartId="58465016c9e14245b47889a478432f7c" PartId="f941f63fc069460eaa9a50c96b031606"/>
          <Part Type="punktas" Nr="16.4" Abbr="16.4 p." DocPartId="dd9c9f4c4d124053ab5c984931e60b75" PartId="c7e0495cad04494a853116a80c58616a"/>
          <Part Type="punktas" Nr="16.5" Abbr="16.5 p." DocPartId="593b336f99fd40289013e4c0d2a3a588" PartId="a2fcef20d73647f09dcdec99a78535a6"/>
        </Part>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9330226942d8402c887ef17805e0ab06"/>
        </Part>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5afcd837a8524ceeaa28ac821b3fe4a7"/>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191757c9b7b0441080f1c1dfbf1371a5"/>
            <Part Type="punktas" Nr="20.2.2" Abbr="20.2.2 p." DocPartId="e13f2ad23d664ce8ab31f7949fc8d152" PartId="236aa593f70a4b2fb7ff1d11ea42c81c"/>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be8ce2180e29498abb30fdf1b54031e4">
                <Part Type="punktas" Nr="20.3.2.1.1" Abbr="20.3.2.1.1 p." DocPartId="1e9c68f99db6451182d53280eacc29d0" PartId="e6f972d25a3b4b43bad4be8fe764ab64"/>
                <Part Type="punktas" Nr="20.3.2.1.2" Abbr="20.3.2.1.2 p." DocPartId="46c3b50b5b53484cbb6a5a541fc9e3c8" PartId="da27cb6070da4322b7230b4b7840cf06"/>
              </Part>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d85ab4bbe5934fde8c194df3500899de"/>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3e4df962fbc6438481301edd67c83165"/>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f8c5c92639e04387ace3a83df900cd5f"/>
        <Part Type="punktas" Nr="27" Abbr="27 p." DocPartId="afc1a0e0a6a14396b673da21e6ec800c" PartId="b667d58df9c441058ab2270a0def423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3c5fda610e39486b9265b780f4b6a676"/>
        </Part>
        <Part Type="punktas" Nr="28" Abbr="28 p." DocPartId="89c7f33c21fb4cfba7ce22d5b2b4779f" PartId="ae740cc285ea400fa3112028adb7f68c">
          <Part Type="punktas" Nr="28.1" Abbr="28.1 p." DocPartId="c91f9242cb7647aea6bab4b1a77c9c5e" PartId="58946922a4404fd886cfaebc7c4f16f7"/>
          <Part Type="punktas" Nr="28.2" Abbr="28.2 p." DocPartId="a3fc850132c441f1ae6475eb99a9f1d8" PartId="85c882cd38e24941b181e884368d4995"/>
        </Part>
        <Part Type="punktas" Nr="29" Abbr="29 p." DocPartId="cf942f76c70e468d93e76d6044c393c7" PartId="501616ec8ff648b0a6b3fd3abebe7ed1">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f6831ba918b466ab8d9e0a12d4c680b"/>
        </Part>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f431f5b7148342059eb9a1cc0f2c8303"/>
        </Part>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fdf65fd50ab1410ea642edb895d03e63"/>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2fc9d2fe933e4b2099557898dc5b1ae9"/>
          <Part Type="punktas" Nr="33.6" Abbr="33.6 p." DocPartId="cbba258fef504063832681dbc38c2b20" PartId="57589ad491734e1a889f5f1aa99414d8"/>
          <Part Type="punktas" Nr="33.7" Abbr="33.7 p." DocPartId="ed971f48eaa347de8b0a4ae0af4e6093" PartId="719d3032019548f88367a2e91a005bc1"/>
          <Part Type="punktas" Nr="33.8" Abbr="33.8 p." DocPartId="ccc596f725a24d7a810d09837e5a98c5" PartId="901564fb174a4ebea53f0f0cc8e4efe3"/>
          <Part Type="punktas" Nr="33.9" Abbr="33.9 p." DocPartId="b0e5b9aafa0644e8ab75fdff35758b3b" PartId="31ea2d1ce64540b09d194e1b823266fd"/>
          <Part Type="punktas" Nr="33.10" Abbr="33.10 p." DocPartId="2efabf9fe5a34d34bf73ccccbbd33bd3" PartId="fc96212be3334822a297ad0853d567ee"/>
          <Part Type="punktas" Nr="33.11" Abbr="33.11 p." DocPartId="22bd893f8da64b618f3d369c252aa915" PartId="343c8615f22b475ca2c560314c84c20d"/>
          <Part Type="punktas" Nr="33.12" Abbr="33.12 p." DocPartId="ceda84da762c490db360a4fea1abac1b" PartId="ad833366d1b44a0c9194f8dd97d441bb"/>
          <Part Type="punktas" Nr="33.13" Abbr="33.13 p." DocPartId="3048faf527c24a85982a6a5066837859" PartId="313f786a0f664b8a9973c69e43554b8a"/>
          <Part Type="punktas" Nr="33.14" Abbr="33.14 p." DocPartId="d22bc464f86440b7a6dc0a1445cb8851" PartId="528b67d38a1341eda79fd7ead17b10ad"/>
          <Part Type="punktas" Nr="33.15" Abbr="33.15 p." DocPartId="d85afd243c60446b88ddf2bcd186fe47" PartId="253404aba63e4742b4779d1c8a806f3d"/>
          <Part Type="punktas" Nr="33.16" Abbr="33.16 p." DocPartId="2388ac7932984dd1afa1a7c4395743da" PartId="a005f858e5cc4b91a80db424b10547f6"/>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ccf52b18a4074feea9f2fbb39e44204f"/>
        <Part Type="punktas" Nr="41" Abbr="41 p." DocPartId="b270eb1ceb2743cea62abaaaf3998738" PartId="ffbda122d0914e30aee219c03faeb01c"/>
      </Part>
      <Part Type="skirsnis" Nr="3" Title="PERDAVIMO PASLAUGOS AUKŠTOS ĮTAMPOS TINKLAIS KAINOS VIRŠUTINĖS RIBOS NUSTATYMAS" DocPartId="20ec3ccabf9644fe872c32709d448c33" PartId="876a24b65d6c47c188df368e2e822039">
        <Part Type="punktas" Nr="42" Abbr="42 p." DocPartId="0596523510e34cc9b6367a48faa17262" PartId="8856d7c770a748478da9c29d295af0e2"/>
        <Part Type="punktas" Nr="43" Abbr="43 p." DocPartId="b5f9997014b64739886c65c55f134798" PartId="7a6915c175de4855afb970d9ede41f68"/>
        <Part Type="punktas" Nr="44" Abbr="44 p." DocPartId="7fd35ba71ee94b2e95010dbfa9ec43af" PartId="a0046bc0458f4e7681e09d2803d21f94"/>
        <Part Type="punktas" Nr="45" Abbr="45 p." DocPartId="72eb0af75e9a4d41852137a93613d6db" PartId="d14bfb778fca4062a61cefadbad5af90"/>
        <Part Type="punktas" Nr="46" Abbr="46 p." DocPartId="233ed392209844b9993e18b7dd71288f" PartId="6d71b818d05d435d842387a0ed7aa415"/>
        <Part Type="punktas" Nr="47" Abbr="47 p." DocPartId="6217a358ace5453897567c286da2f3eb" PartId="bad7c6cb531c46e380869aeae2417508"/>
        <Part Type="punktas" Nr="47-1" Abbr="47-1 p." DocPartId="6d4acbfd36c7457a911d48eeac6bc78e" PartId="afe995655f2b4353b645b286a9373acb"/>
        <Part Type="punktas" Nr="48" Abbr="48 p." DocPartId="9cb1167cacd14996884b0e49f3770819" PartId="d6868eb89e02429286a98729bc6c8d36"/>
        <Part Type="punktas" Nr="49" Abbr="49 p." DocPartId="27868e2471ec47cba8c8fa977da9887c" PartId="6a28f2f4de394eec9abe1d74be652740"/>
        <Part Type="punktas" Nr="50" Abbr="50 p." DocPartId="31f3dfc3ed904a7c85f80c095ed7ed4f" PartId="012e8550d7fd49d8bacaeba87b353285"/>
        <Part Type="punktas" Nr="51" Abbr="51 p." DocPartId="43f884daebf547208f46b4e265e5c656" PartId="b0c6155da237432eaa82c076dc8ccc21"/>
        <Part Type="punktas" Nr="52" Abbr="52 p." DocPartId="330021a8c8b94aef919771b0e04a0121" PartId="cf612d596dfe49708bffc971bd113147"/>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c014890aac994b7e884545bdaf699bb1"/>
        <Part Type="punktas" Nr="63" Abbr="63 p." DocPartId="f6ecfd4444d04493a28b680aa399754d" PartId="d7dae9dd67c147c5a381c51ec83318a6">
          <Part Type="punktas" Nr="63.1" Abbr="63.1 p." DocPartId="224fbdf22877495ebcd9ecae14793cdc" PartId="9632aa0477b644e1bc651cb3b93c3312"/>
          <Part Type="punktas" Nr="63.2" Abbr="63.2 p." DocPartId="b0504313e6fa486185185177023c440b" PartId="2b3e8a0bd5554d869bcfc66ee0b98a65"/>
          <Part Type="punktas" Nr="63.3" Abbr="63.3 p." DocPartId="d64890a175e64d9c95b91472bae48ed0" PartId="52eb984914f6496aae5042954da44613"/>
          <Part Type="punktas" Nr="63.4" Abbr="63.4 p." DocPartId="69dbbb068926457cba92abeacea0ce81" PartId="cbea917812e54541ac51730e599c17ed"/>
        </Part>
        <Part Type="punktas" Nr="64" Abbr="64 p." DocPartId="c35aa5bd4b694d2fb0637d50070bcece" PartId="80b590c5a4454101beb0ce1c6c40ec99">
          <Part Type="punktas" Nr="64.1" Abbr="64.1 p." DocPartId="96cf3b7904cd47de93a53123f1230df1" PartId="ab45783f3cc8426e827e825fcd95fa73"/>
          <Part Type="punktas" Nr="64.2" Abbr="64.2 p." DocPartId="60e1916520654803b5ee13fa20a62620" PartId="521d6eec77894cb78b73d1f1299354f6"/>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78cfeb53fc394d67932a27ae410388ce"/>
          <Part Type="punktas" Nr="66.2" Abbr="66.2 p." DocPartId="2139a89ec01d415199cae6992d377eb6" PartId="2e2832dab3384b4f93f7b60fb8edb538"/>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49c96bcf2a4b46d79f03b1946f0590e0"/>
        <Part Type="punktas" Nr="69" Abbr="69 p." DocPartId="3714f8d94d7743d19eafa50a6edc7f36" PartId="1bc410e37124418494f3dbda37540edf"/>
        <Part Type="punktas" Nr="70" Abbr="70 p." DocPartId="0aa456e0c5204f28aecf35a1b64d82db" PartId="abd72c4291cc4ddc8a311bcb840bfb98"/>
        <Part Type="punktas" Nr="71" Abbr="71 p." DocPartId="161a026b794d409a85318972f3aa6583" PartId="fa095134e27c44188299149ac1f2669d"/>
      </Part>
      <Part Type="skirsnis" Nr="6" Title="SKIRSTYMO ŽEMOS IR VIDUTINĖS ĮTAMPOS TINKLAIS PASLAUGOS KAINOS VIRŠUTINĖS RIBOS NUSTATYMAS" DocPartId="4134896815ce437e9c633476e3db6448" PartId="850af818f2294ccea1581c4ec8e91044">
        <Part Type="punktas" Nr="72" Abbr="72 p." DocPartId="3f23de7b62e043a9804f4051fbbc1ba3" PartId="65c1a705b77a47f18efa82636173a9fb"/>
        <Part Type="punktas" Nr="73" Abbr="73 p." DocPartId="784d655024ad4285806aba15bf109af2" PartId="1a8ccd3d4c314c0e8fc9665b2338dcc2"/>
        <Part Type="punktas" Nr="74" Abbr="74 p." DocPartId="5edc86ba2959417aa6f80d0f83e6f14c" PartId="6df75e93952249f8acd4868b14fc8d7e">
          <Part Type="punktas" Nr="74.1" Abbr="74.1 p." DocPartId="b29b17434e984f93849a73ae083c89bf" PartId="ddc269f345f74d37998f1a869aa86d30"/>
          <Part Type="punktas" Nr="74.2" Abbr="74.2 p." DocPartId="c1e79afa0ced4a9b9f6c05757e4bbc48" PartId="6942e8acc0da4581ba52f3366fbcd8a9"/>
        </Part>
        <Part Type="punktas" Nr="75" Abbr="75 p." DocPartId="8e22743784564c48902e22f377d909f0" PartId="17046889d80846a7a53626507e176688"/>
        <Part Type="punktas" Nr="76" Abbr="76 p." DocPartId="3a443179329149ee837cdf8443d63474" PartId="93d81a33e7fc4e1892114906c256a7fb"/>
        <Part Type="punktas" Nr="77" Abbr="77 p." DocPartId="d0e53e274d004d9ab7fa76b4c211f0a5" PartId="56af83aa4895466493d82ca342959bcb"/>
        <Part Type="punktas" Nr="77-1" Abbr="77-1 p." DocPartId="6f7f4657a247473d94b68cb71b5958e4" PartId="29a18ffc699c4d5ca0e39f95c718d3b1"/>
        <Part Type="punktas" Nr="78" Abbr="78 p." DocPartId="3d13c6efe5154a98bc2101685ede269d" PartId="359a7efde680465984cbbe98ab8a9e24"/>
        <Part Type="punktas" Nr="79" Abbr="79 p." DocPartId="965d5c63862247edbbf3dae3eaedc2d7" PartId="7a3ef2ff2ada436abb5c9fc1b914548a"/>
        <Part Type="punktas" Nr="80" Abbr="80 p." DocPartId="ce53486ea5e544089cb35a7e509d7f51" PartId="5a0ac127708840babb47f454ec727ea1"/>
        <Part Type="punktas" Nr="81" Abbr="81 p." DocPartId="16b41b059ad645c99817eefdf703f800" PartId="19981fac0be34894b30ddb1cd322e5df"/>
        <Part Type="punktas" Nr="82" Abbr="82 p." DocPartId="62bcb4ae60c74a3f9fffe41e2fdf60bc" PartId="8eb7c14ffdbb48e08a90e683b9cc7c1c"/>
      </Part>
    </Part>
    <Part Type="skyrius" Nr="4" Title="ĮMONIŲ, BESIVERČIANČIŲ SKIRSTYMO VEIKLA, KURIŲ VEIKLOS TERITORIJOJE ESANČIŲ VARTOTOJŲ SKAIČIUS MAŽESNIS NEI 100 TŪKSTANČIŲ, KAINŲ VIRŠUTINIŲ RIBŲ NUSTATYMAS" DocPartId="ef0a5335388f49778279f1af72d98c34" PartId="313def3feb494688a26552b469cc0f12">
      <Part Type="punktas" Nr="83" Abbr="83 p." DocPartId="c4b4ab0e0698441c8c4398dbce796f82" PartId="8b11663ae4894d40b5f675ebe37ef006"/>
      <Part Type="punktas" Nr="84" Abbr="84 p." DocPartId="1b19e1bb5b724c4b97b37a120babca4a" PartId="ce0b6459968242d88642ef07e0b962c7"/>
      <Part Type="punktas" Nr="85" Abbr="85 p." DocPartId="2699098779674abfa2980100410e9f01" PartId="6a53d2a559be45bdb3de7362ebb33ba5"/>
      <Part Type="punktas" Nr="86" Abbr="86 p." DocPartId="fb50fb6a990d4a8bad35a181e94696ac" PartId="e2747f539d9a48bdab48dabe18e49a57"/>
      <Part Type="punktas" Nr="87" Abbr="87 p." DocPartId="a9177564def345b3be81451ca5889b82" PartId="7b31201e385b4a85ac363e495b4ca058"/>
      <Part Type="punktas" Nr="88" Abbr="88 p." DocPartId="39f177e8ab2c438e94c676a55e5df435" PartId="bf718c36da2b4221a17943a036206c3d"/>
      <Part Type="punktas" Nr="89" Abbr="89 p." DocPartId="ac50dec955fc438c81625f1344f87b12" PartId="2df4c9310ab948068159859d426a14ce"/>
      <Part Type="punktas" Nr="90" Abbr="90 p." DocPartId="eff548761f9547cba9d0d325dc49c4b6" PartId="d077c2f6b24a40e794ab58e9bdc2dad3"/>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67979e53eddf4871b9303f2a3bca7263"/>
      <Part Type="punktas" Nr="94" Abbr="94 p." DocPartId="fb32664327034c49b682001ff828f7a3" PartId="c0e71d89599c4dad9cf1235cabec012c"/>
      <Part Type="punktas" Nr="95" Abbr="95 p." DocPartId="5e84f53c10804340b54c768e34c06bfb" PartId="0ae1535c8af346f294eb2ae83a2a2b98"/>
      <Part Type="punktas" Nr="96" Abbr="96 p." DocPartId="dfcae0047d214ea39d81d518adbfd1dc" PartId="5ee05ad7515742e4a0c0f0ef32e506c8"/>
    </Part>
    <Part Type="skyrius" Nr="5" Title="VISUOMENINIO TIEKIMO PASLAUGOS KAINOS VIRŠUTINĖS RIBOS NUSTATYMAS IR PERSKAIČIAVIMAS" DocPartId="374117d552e04301a7ef33cd06648067" PartId="9cc5df168f294cb292569e5278e8d9d6">
      <Part Type="punktas" Nr="97" Abbr="97 p." DocPartId="eda5a4f268604cdfa9f105cda146835f" PartId="676a79e80da1409aa0a4b313ef7e808a"/>
      <Part Type="punktas" Nr="98" Abbr="98 p." DocPartId="c0eb451f49574849b40db47debfe7d7e" PartId="b92b64bf6e204df3853cfa474882af2c"/>
      <Part Type="punktas" Nr="99" Abbr="99 p." DocPartId="86c831b835994a619ff9c8c8ef4ac809" PartId="e1b70524c7f94aa68a1ddf271a559315"/>
      <Part Type="punktas" Nr="100" Abbr="100 p." DocPartId="d9632dd5bfc1457d870d75a7c3e47913" PartId="581679bca66547fd94e946b5bb47ae0a"/>
      <Part Type="punktas" Nr="101" Abbr="101 p." DocPartId="a8e9032c53ba4cfa8543309d6a98fb74" PartId="7383b381fb604543ab944c7989cec278"/>
      <Part Type="punktas" Nr="102" Abbr="102 p." DocPartId="3eba46311f484906a80077c1c00e0651" PartId="57ac2687aa4643ce9d702a56d58186d7"/>
      <Part Type="punktas" Nr="103" Abbr="103 p." DocPartId="2f528f19a1fd422d97e9a7bf78a94d03" PartId="816d91deb11a47ebb8750dd03081e421">
        <Part Type="punktas" Nr="103.1" Abbr="103.1 p." DocPartId="ddaf8f9cd04a4f2089c45b7a9c12184f" PartId="b7450492b2e8423688868537799be1ee"/>
        <Part Type="punktas" Nr="103.2" Abbr="103.2 p." DocPartId="4c89f9d2a16b41ebb005b0882d4d7b06" PartId="dc0f64c244004dad9fdb270088f9cb54"/>
      </Part>
      <Part Type="punktas" Nr="104" Abbr="104 p." DocPartId="ae5034b7c0bb497eab63ab41b59e7e53" PartId="ba2ae4d259a3428d8799bed6812f93f5"/>
      <Part Type="punktas" Nr="105" Abbr="105 p." DocPartId="ae735727e76a4daa8e1b1927e79d873d" PartId="319620b23fd443dfa4bc7b8e732f9660"/>
      <Part Type="punktas" Nr="106" Abbr="106 p." DocPartId="0a3cd77e2f2c447bac0bdaf65e5ad4b5" PartId="c1b82f975004487cb41eed3eb8803699"/>
    </Part>
    <Part Type="skyrius" Nr="6" Title="VISUOMENINIŲ KAINŲ VIRŠUTINIŲ RIBŲ NUSTATYMAS" DocPartId="2acda749ed904e0495f38b756a7afa82" PartId="8d0ecf0a66b14fc9891da7927436df7a">
      <Part Type="punktas" Nr="107" Abbr="107 p." DocPartId="bebc8da7e04d4cb8bb3867931ed39a0a" PartId="26fd07b9547f42a1b012a2b744a17b61"/>
      <Part Type="punktas" Nr="108" Abbr="108 p." DocPartId="ad0f671ed9ba4d08b84d3dc77144a939" PartId="5d22d755bd5b4ae89af41af36abc2135"/>
      <Part Type="punktas" Nr="109" Abbr="109 p." DocPartId="281fbb9b4e9b4f599b45dc0cfb316841" PartId="e469d7a4e97e467089144eca43b9279a"/>
      <Part Type="punktas" Nr="110" Abbr="110 p." DocPartId="47196821a71f41968764cc435cdf759f" PartId="dc233177956d47df8fee2c653947e98b"/>
      <Part Type="punktas" Nr="111" Abbr="111 p." DocPartId="4c0acaac22a04b7abda932efbc9718e9" PartId="ff5be40492364ee9af845701df951c7a"/>
      <Part Type="punktas" Nr="111-1" Abbr="111-1 p." DocPartId="5d9e1beb46574bfabe3a25f7ba2831f1" PartId="8affc7e6c50c46268cdeebea479eccaa"/>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8cb574810cdd4a2497c5d905f3f746f7"/>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11ca7ed632334a73adfb0647d98bdc6a"/>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9FC383E-F7D7-44FA-9812-18AD09B9F8BF}">
  <ds:schemaRefs>
    <ds:schemaRef ds:uri="http://lrs.lt/TAIS/DocParts"/>
  </ds:schemaRefs>
</ds:datastoreItem>
</file>

<file path=customXml/itemProps3.xml><?xml version="1.0" encoding="utf-8"?>
<ds:datastoreItem xmlns:ds="http://schemas.openxmlformats.org/officeDocument/2006/customXml" ds:itemID="{41C1A82E-1968-41D4-A4D0-227A2969AF0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78</TotalTime>
  <Pages>24</Pages>
  <Words>71442</Words>
  <Characters>40723</Characters>
  <Application>Microsoft Office Word</Application>
  <DocSecurity>0</DocSecurity>
  <Lines>339</Lines>
  <Paragraphs>223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111942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Renata Drukteinytė</lastModifiedBy>
  <lastPrinted>2015-01-13T09:12:00Z</lastPrinted>
  <dcterms:modified xsi:type="dcterms:W3CDTF">2016-09-08T10:49:00Z</dcterms:modified>
  <revision>14</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