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8da307120cc433b8c935cd72295379a"/>
        <w:lock w:val="sdtLocked"/>
        <w:richText/>
      </w:sdtPr>
      <w:sdtContent>
        <w:p>
          <w:pPr>
            <w:jc w:val="both"/>
            <w:rPr>
              <w:rFonts w:ascii="Times New Roman" w:hAnsi="Times New Roman"/>
            </w:rPr>
          </w:pPr>
          <w:r>
            <w:rPr>
              <w:rFonts w:ascii="Times New Roman" w:hAnsi="Times New Roman"/>
              <w:b/>
              <w:i/>
            </w:rPr>
            <w:t>Suvestinė redakcija nuo 2021-05-18 iki 2021-05-20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da8081b21a7649b3b56121becd194e08"/>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f5137753a9d84f7d9456f106f177652c"/>
        <w:lock w:val="sdtLocked"/>
        <w:richText/>
      </w:sdtPr>
      <w:sdtContent>
        <w:p>
          <w:pPr>
            <w:keepLines/>
            <w:tabs>
              <w:tab w:val="left" w:pos="1304"/>
              <w:tab w:val="left" w:pos="1457"/>
              <w:tab w:val="left" w:pos="1604"/>
              <w:tab w:val="left" w:pos="1757"/>
            </w:tabs>
            <w:suppressAutoHyphens/>
            <w:ind w:left="5953"/>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pgMar w:top="851" w:right="567" w:bottom="1134" w:left="1701" w:header="720" w:footer="720" w:gutter="0"/>
              <w:cols w:space="720"/>
              <w:noEndnote/>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w:t>
          </w:r>
        </w:p>
        <w:p>
          <w:pPr>
            <w:keepLines/>
            <w:tabs>
              <w:tab w:val="left" w:pos="1304"/>
              <w:tab w:val="left" w:pos="1457"/>
              <w:tab w:val="left" w:pos="1604"/>
              <w:tab w:val="left" w:pos="1757"/>
            </w:tabs>
            <w:suppressAutoHyphens/>
            <w:ind w:left="5954"/>
            <w:textAlignment w:val="center"/>
            <w:rPr>
              <w:szCs w:val="24"/>
            </w:rPr>
          </w:pPr>
          <w:r>
            <w:rPr>
              <w:szCs w:val="24"/>
            </w:rPr>
            <w:t>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f5137753a9d84f7d9456f106f177652c"/>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2a6aff355b0144f79a544d35c4c6550c"/>
                <w:lock w:val="sdtLocked"/>
                <w:richText/>
              </w:sdtPr>
              <w:sdtContent>
                <w:p>
                  <w:pPr>
                    <w:ind w:firstLine="709"/>
                    <w:jc w:val="both"/>
                    <w:rPr>
                      <w:color w:val="000000"/>
                      <w:szCs w:val="24"/>
                      <w:lang w:eastAsia="lt-LT"/>
                    </w:rPr>
                  </w:pPr>
                  <w:sdt>
                    <w:sdtPr>
                      <w:alias w:val="Numeris"/>
                      <w:tag w:val="nr_2a6aff355b0144f79a544d35c4c6550c"/>
                      <w:lock w:val="sdtLocked"/>
                      <w:richText/>
                    </w:sdtPr>
                    <w:sdtContent>
                      <w:r>
                        <w:rPr>
                          <w:color w:val="000000"/>
                          <w:szCs w:val="24"/>
                          <w:lang w:eastAsia="lt-LT"/>
                        </w:rPr>
                        <w:t>3</w:t>
                      </w:r>
                    </w:sdtContent>
                  </w:sdt>
                  <w:r>
                    <w:rPr>
                      <w:color w:val="000000"/>
                      <w:szCs w:val="24"/>
                      <w:lang w:eastAsia="lt-LT"/>
                    </w:rPr>
                    <w:t>.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 Komisija ar Reguliuojančioji institucija)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 Lietuvos Respublikos Vyriausybės nutarimais, kitais Lietuvos Respublikos ir Europos Sąjungos teisės aktų reikalavimais.</w:t>
                  </w:r>
                </w:p>
                <w:p>
                  <w:pPr>
                    <w:jc w:val="both"/>
                    <w:rPr>
                      <w:i/>
                      <w:sz w:val="20"/>
                    </w:rPr>
                  </w:pPr>
                  <w:r>
                    <w:rPr>
                      <w:b/>
                      <w:i/>
                      <w:color w:val="000000"/>
                      <w:sz w:val="20"/>
                      <w:lang w:eastAsia="lt-LT"/>
                    </w:rPr>
                    <w:t>TAR pastaba.</w:t>
                  </w:r>
                  <w:r>
                    <w:rPr>
                      <w:i/>
                      <w:color w:val="000000"/>
                      <w:sz w:val="20"/>
                      <w:lang w:eastAsia="lt-LT"/>
                    </w:rPr>
                    <w:t xml:space="preserve"> 3 punkto nuostatos </w:t>
                  </w:r>
                  <w:r>
                    <w:rPr>
                      <w:bCs/>
                      <w:i/>
                      <w:color w:val="000000"/>
                      <w:sz w:val="20"/>
                      <w:lang w:eastAsia="lt-LT"/>
                    </w:rPr>
                    <w:t>taikomos 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1-1 pp."/>
                            <w:tag w:val="part_69555f5d13104264b12eb3ab69dfc94a"/>
                            <w:lock w:val="sdtLocked"/>
                            <w:richText/>
                          </w:sdtPr>
                          <w:sdtContent>
                            <w:p>
                              <w:pPr>
                                <w:ind w:firstLine="720"/>
                                <w:jc w:val="both"/>
                              </w:pPr>
                              <w:sdt>
                                <w:sdtPr>
                                  <w:alias w:val="Numeris"/>
                                  <w:tag w:val="nr_69555f5d13104264b12eb3ab69dfc94a"/>
                                  <w:lock w:val="sdtLocked"/>
                                  <w:richText/>
                                </w:sdtPr>
                                <w:sdtContent>
                                  <w:r>
                                    <w:rPr>
                                      <w:color w:val="000000"/>
                                      <w:szCs w:val="24"/>
                                      <w:lang w:eastAsia="lt-LT"/>
                                    </w:rPr>
                                    <w:t>7.2.1</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7.2.1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įvertinus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1 pp."/>
                            <w:tag w:val="part_af982d8e64bd49b19db8b49620f36587"/>
                            <w:lock w:val="sdtLocked"/>
                            <w:richText/>
                          </w:sdtPr>
                          <w:sdtContent>
                            <w:p>
                              <w:pPr>
                                <w:ind w:firstLine="720"/>
                                <w:jc w:val="both"/>
                              </w:pPr>
                              <w:sdt>
                                <w:sdtPr>
                                  <w:alias w:val="Numeris"/>
                                  <w:tag w:val="nr_af982d8e64bd49b19db8b49620f36587"/>
                                  <w:lock w:val="sdtLocked"/>
                                  <w:richText/>
                                </w:sdtPr>
                                <w:sdtContent>
                                  <w:r>
                                    <w:rPr>
                                      <w:color w:val="000000"/>
                                      <w:szCs w:val="24"/>
                                      <w:lang w:eastAsia="lt-LT"/>
                                    </w:rPr>
                                    <w:t>7.2.2</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7.2.2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pratęsto laikotarpio pirmaisiais metais įvertinus nusidėvėjimą, nurašymus ir pardavimus </w:t>
                              </w:r>
                              <w:r>
                                <w:rPr>
                                  <w:i/>
                                  <w:iCs/>
                                  <w:color w:val="000000"/>
                                  <w:szCs w:val="24"/>
                                  <w:lang w:eastAsia="lt-LT"/>
                                </w:rPr>
                                <w:t>t-1</w:t>
                              </w:r>
                              <w:r>
                                <w:rPr>
                                  <w:color w:val="000000"/>
                                  <w:szCs w:val="24"/>
                                  <w:lang w:eastAsia="lt-LT"/>
                                </w:rPr>
                                <w:t xml:space="preserve"> laikotarpiu, visais kitais pratęsto laikotarpio metais papildomai įvertinus investicijas,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3 p."/>
                            <w:tag w:val="part_4c5a252d04184e41b92b795348a8f925"/>
                            <w:lock w:val="sdtLocked"/>
                            <w:richText/>
                          </w:sdtPr>
                          <w:sdtContent>
                            <w:p>
                              <w:pPr>
                                <w:tabs>
                                  <w:tab w:val="left" w:pos="993"/>
                                </w:tabs>
                                <w:ind w:firstLine="709"/>
                                <w:jc w:val="both"/>
                                <w:rPr>
                                  <w:szCs w:val="24"/>
                                </w:rPr>
                              </w:pPr>
                              <w:sdt>
                                <w:sdtPr>
                                  <w:alias w:val="Numeris"/>
                                  <w:tag w:val="nr_4c5a252d04184e41b92b795348a8f925"/>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3cb4b211fe6145e8a20f9ac579610300"/>
                            <w:lock w:val="sdtLocked"/>
                            <w:richText/>
                          </w:sdtPr>
                          <w:sdtContent>
                            <w:p>
                              <w:pPr>
                                <w:ind w:firstLine="709"/>
                                <w:jc w:val="both"/>
                              </w:pPr>
                              <w:sdt>
                                <w:sdtPr>
                                  <w:alias w:val="Numeris"/>
                                  <w:tag w:val="nr_3cb4b211fe6145e8a20f9ac579610300"/>
                                  <w:lock w:val="sdtLocked"/>
                                  <w:richText/>
                                </w:sdtPr>
                                <w:sdtContent>
                                  <w:r>
                                    <w:rPr>
                                      <w:color w:val="000000"/>
                                      <w:szCs w:val="24"/>
                                      <w:lang w:eastAsia="lt-LT"/>
                                    </w:rPr>
                                    <w:t>7.2.4</w:t>
                                  </w:r>
                                </w:sdtContent>
                              </w:sdt>
                              <w:r>
                                <w:rPr>
                                  <w:color w:val="000000"/>
                                  <w:szCs w:val="24"/>
                                  <w:lang w:eastAsia="lt-LT"/>
                                </w:rPr>
                                <w:t xml:space="preserve">. </w:t>
                              </w:r>
                              <w:r>
                                <w:t xml:space="preserve">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(išskyrus turtą, patvirtintą </w:t>
                              </w:r>
                              <w:r>
                                <w:rPr>
                                  <w:szCs w:val="24"/>
                                  <w:lang w:eastAsia="lt-LT"/>
                                </w:rPr>
                                <w:t xml:space="preserve">Investicijų projektų papildomų reguliacinių paskatų ir rizikų vertinimo metodikos nustatyta tvarka </w:t>
                              </w:r>
                              <w:r>
                                <w:rPr>
                                  <w:color w:val="000000"/>
                                  <w:szCs w:val="24"/>
                                </w:rPr>
                                <w:t>ir (ar)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turto vertę</w:t>
                              </w:r>
                              <w:r>
                                <w:t xml:space="preserve">), taip pat turtas (ar jo dalis), įsigytas už Europos Sąjungos struktūrinių fondų lėšas, gautas subsidijas, dotacijas ar joms prilygintas lėšas ir už elektros energijos gamintojų ir vartotojų įrenginių prijungimą prie tinklų sumokėtas įmokas;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2 p."/>
                            <w:tag w:val="part_bac9f4954e974acab25aac7b58872621"/>
                            <w:lock w:val="sdtLocked"/>
                            <w:richText/>
                          </w:sdtPr>
                          <w:sdtContent>
                            <w:p>
                              <w:pPr>
                                <w:tabs>
                                  <w:tab w:val="left" w:pos="758"/>
                                </w:tabs>
                                <w:ind w:firstLine="709"/>
                                <w:jc w:val="both"/>
                                <w:rPr>
                                  <w:szCs w:val="24"/>
                                </w:rPr>
                              </w:pPr>
                              <w:sdt>
                                <w:sdtPr>
                                  <w:alias w:val="Numeris"/>
                                  <w:tag w:val="nr_bac9f4954e974acab25aac7b58872621"/>
                                  <w:lock w:val="sdtLocked"/>
                                  <w:richText/>
                                </w:sdtPr>
                                <w:sdtContent>
                                  <w:r>
                                    <w:rPr>
                                      <w:szCs w:val="24"/>
                                    </w:rPr>
                                    <w:t>7.2.4</w:t>
                                  </w:r>
                                  <w:r>
                                    <w:rPr>
                                      <w:szCs w:val="24"/>
                                      <w:vertAlign w:val="superscript"/>
                                    </w:rPr>
                                    <w:t>2</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1bb8c790669e43b5848a4a5f76442a32"/>
                            <w:lock w:val="sdtLocked"/>
                            <w:richText/>
                          </w:sdtPr>
                          <w:sdtContent>
                            <w:p>
                              <w:pPr>
                                <w:ind w:firstLine="720"/>
                                <w:jc w:val="both"/>
                                <w:rPr>
                                  <w:szCs w:val="24"/>
                                </w:rPr>
                              </w:pPr>
                              <w:sdt>
                                <w:sdtPr>
                                  <w:alias w:val="Numeris"/>
                                  <w:tag w:val="nr_1bb8c790669e43b5848a4a5f76442a32"/>
                                  <w:lock w:val="sdtLocked"/>
                                  <w:richText/>
                                </w:sdtPr>
                                <w:sdtContent>
                                  <w:r>
                                    <w:rPr>
                                      <w:color w:val="000000"/>
                                      <w:szCs w:val="24"/>
                                      <w:lang w:eastAsia="lt-LT"/>
                                    </w:rPr>
                                    <w:t>7.3.2</w:t>
                                  </w:r>
                                </w:sdtContent>
                              </w:sdt>
                              <w:r>
                                <w:rPr>
                                  <w:color w:val="000000"/>
                                  <w:szCs w:val="24"/>
                                  <w:lang w:eastAsia="lt-LT"/>
                                </w:rPr>
                                <w:t>. protingumo kriterijų atitinkančios investicijų grąžos normą, nustatomą vadovaujantis Investicijų grąžos normos nustatymo metodika, patvirtinta Komisijos 2015 m. rugsėjo 22 d. nutarimu Nr. O3-510 „Dėl Investicijų grąžos normos nustatymo metodikos tvirtinimo“ (toliau – Investicijų grąžos normos nustatymo metodika),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ae22366bad4f4387984e4e69e3e4703d"/>
                            <w:lock w:val="sdtLocked"/>
                            <w:richText/>
                          </w:sdtPr>
                          <w:sdtContent>
                            <w:p>
                              <w:pPr>
                                <w:tabs>
                                  <w:tab w:val="left" w:pos="993"/>
                                  <w:tab w:val="left" w:pos="1134"/>
                                </w:tabs>
                                <w:ind w:firstLine="709"/>
                                <w:jc w:val="both"/>
                                <w:rPr>
                                  <w:szCs w:val="24"/>
                                </w:rPr>
                              </w:pPr>
                              <w:sdt>
                                <w:sdtPr>
                                  <w:alias w:val="Numeris"/>
                                  <w:tag w:val="nr_ae22366bad4f4387984e4e69e3e4703d"/>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46fb7a56866244409fffa51d6882de7e"/>
                            <w:lock w:val="sdtLocked"/>
                            <w:richText/>
                          </w:sdtPr>
                          <w:sdtContent>
                            <w:p>
                              <w:pPr>
                                <w:ind w:firstLine="720"/>
                                <w:jc w:val="both"/>
                                <w:rPr>
                                  <w:szCs w:val="24"/>
                                </w:rPr>
                              </w:pPr>
                              <w:sdt>
                                <w:sdtPr>
                                  <w:alias w:val="Numeris"/>
                                  <w:tag w:val="nr_46fb7a56866244409fffa51d6882de7e"/>
                                  <w:lock w:val="sdtLocked"/>
                                  <w:richText/>
                                </w:sdtPr>
                                <w:sdtContent>
                                  <w:r>
                                    <w:rPr>
                                      <w:color w:val="000000"/>
                                      <w:szCs w:val="24"/>
                                      <w:lang w:eastAsia="lt-LT"/>
                                    </w:rPr>
                                    <w:t>8.1.4</w:t>
                                  </w:r>
                                </w:sdtContent>
                              </w:sdt>
                              <w:r>
                                <w:rPr>
                                  <w:color w:val="000000"/>
                                  <w:szCs w:val="24"/>
                                  <w:lang w:eastAsia="lt-LT"/>
                                </w:rPr>
                                <w:t>. Visais kitais reguliavimo periodo (įskaitant ir reguliavimo periodo pratęsimą) metais, einančiais po pirmųjų naujojo reguliavimo periodo metų, šių kaštų apimtis kiekvieniems metams nustatoma įvertinus Finansų ministerijos prognozuojamos metinės infliacijos dydį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9bed508b90c24fab9d07709ce36f636f"/>
                            <w:lock w:val="sdtLocked"/>
                            <w:richText/>
                          </w:sdtPr>
                          <w:sdtContent>
                            <w:p>
                              <w:pPr>
                                <w:tabs>
                                  <w:tab w:val="left" w:pos="1134"/>
                                </w:tabs>
                                <w:ind w:firstLine="709"/>
                                <w:jc w:val="both"/>
                                <w:rPr>
                                  <w:szCs w:val="24"/>
                                </w:rPr>
                              </w:pPr>
                              <w:sdt>
                                <w:sdtPr>
                                  <w:alias w:val="Numeris"/>
                                  <w:tag w:val="nr_9bed508b90c24fab9d07709ce36f636f"/>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ab280e530e5a4415aadbf5187c1a980c"/>
                            <w:lock w:val="sdtLocked"/>
                            <w:richText/>
                          </w:sdtPr>
                          <w:sdtContent>
                            <w:p>
                              <w:pPr>
                                <w:ind w:firstLine="720"/>
                                <w:jc w:val="both"/>
                                <w:rPr>
                                  <w:szCs w:val="24"/>
                                </w:rPr>
                              </w:pPr>
                              <w:sdt>
                                <w:sdtPr>
                                  <w:alias w:val="Numeris"/>
                                  <w:tag w:val="nr_ab280e530e5a4415aadbf5187c1a980c"/>
                                  <w:lock w:val="sdtLocked"/>
                                  <w:richText/>
                                </w:sdtPr>
                                <w:sdtContent>
                                  <w:r>
                                    <w:rPr>
                                      <w:color w:val="000000"/>
                                      <w:szCs w:val="24"/>
                                      <w:lang w:eastAsia="lt-LT"/>
                                    </w:rPr>
                                    <w:t>8.2.6</w:t>
                                  </w:r>
                                </w:sdtContent>
                              </w:sdt>
                              <w:r>
                                <w:rPr>
                                  <w:color w:val="000000"/>
                                  <w:szCs w:val="24"/>
                                  <w:lang w:eastAsia="lt-LT"/>
                                </w:rPr>
                                <w:t>. Visais kitais reguliavimo periodo (įskaitant ir reguliavimo periodo pratęsimą) metais, einančiais po pirmųjų naujo reguliavimo periodo metų, šių kaštų apimtis kiekvieniems metams nustatoma įvertinus Finansų ministerijos skelbiamą darbo užmokesčio pokytį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6 pp."/>
                        <w:tag w:val="part_aaa58c275a4d415090165ad21a465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8.6</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5842de860ccf43739e4f55f6f8320af4"/>
                        <w:lock w:val="sdtLocked"/>
                        <w:richText/>
                      </w:sdtPr>
                      <w:sdtContent>
                        <w:p>
                          <w:pPr>
                            <w:tabs>
                              <w:tab w:val="left" w:pos="1276"/>
                            </w:tabs>
                            <w:ind w:firstLine="709"/>
                            <w:jc w:val="both"/>
                            <w:rPr>
                              <w:iCs/>
                              <w:szCs w:val="24"/>
                            </w:rPr>
                          </w:pPr>
                          <w:sdt>
                            <w:sdtPr>
                              <w:alias w:val="Numeris"/>
                              <w:tag w:val="nr_5842de860ccf43739e4f55f6f8320af4"/>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sąnaudų faktinių kiekių.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df54a4fe1640249a7803d57230d691"/>
                    <w:lock w:val="sdtLocked"/>
                    <w:richText/>
                  </w:sdtPr>
                  <w:sdtContent>
                    <w:p>
                      <w:pPr>
                        <w:ind w:firstLine="720"/>
                        <w:jc w:val="both"/>
                        <w:rPr>
                          <w:color w:val="000000"/>
                          <w:szCs w:val="24"/>
                          <w:lang w:eastAsia="lt-LT"/>
                        </w:rPr>
                      </w:pPr>
                      <w:sdt>
                        <w:sdtPr>
                          <w:alias w:val="Numeris"/>
                          <w:tag w:val="nr_6ddf54a4fe1640249a7803d57230d691"/>
                          <w:lock w:val="sdtLocked"/>
                          <w:richText/>
                        </w:sdtPr>
                        <w:sdtContent>
                          <w:r>
                            <w:rPr>
                              <w:color w:val="000000"/>
                              <w:szCs w:val="24"/>
                              <w:lang w:eastAsia="lt-LT"/>
                            </w:rPr>
                            <w:t>13</w:t>
                          </w:r>
                        </w:sdtContent>
                      </w:sdt>
                      <w:r>
                        <w:rPr>
                          <w:color w:val="000000"/>
                          <w:szCs w:val="24"/>
                          <w:lang w:eastAsia="lt-LT"/>
                        </w:rPr>
                        <w:t>. Jeigu dėl Įmonės veiklos efektyvumo, t. y. dėl OPEX suefektyvinimo vykdant reguliuojamą veiklą reguliuojamos veiklos pirmų dvejų reguliavimo periodo metų, o vėliau –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b/>
                          <w:bCs/>
                          <w:color w:val="000000"/>
                          <w:szCs w:val="24"/>
                          <w:lang w:eastAsia="lt-LT"/>
                        </w:rPr>
                        <w:t xml:space="preserve"> </w:t>
                      </w:r>
                      <w:r>
                        <w:rPr>
                          <w:color w:val="000000"/>
                          <w:szCs w:val="24"/>
                          <w:lang w:eastAsia="lt-LT"/>
                        </w:rPr>
                        <w:t>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Reguliuojančiajai institucijai, viršijančia suma, kuri apskaičiuojama pagal formulę:</w:t>
                      </w:r>
                    </w:p>
                    <w:p>
                      <w:pPr>
                        <w:ind w:firstLine="720"/>
                        <w:jc w:val="both"/>
                        <w:rPr>
                          <w:color w:val="000000"/>
                          <w:szCs w:val="24"/>
                          <w:lang w:eastAsia="lt-LT"/>
                        </w:rPr>
                      </w:pPr>
                    </w:p>
                    <w:p>
                      <w:pPr>
                        <w:ind w:firstLine="720"/>
                        <w:jc w:val="both"/>
                        <w:rPr>
                          <w:color w:val="000000"/>
                          <w:szCs w:val="24"/>
                          <w:lang w:eastAsia="lt-LT"/>
                        </w:rPr>
                      </w:pPr>
                      <w:r>
                        <w:rPr>
                          <w:color w:val="000000"/>
                          <w:szCs w:val="24"/>
                          <w:lang w:eastAsia="lt-LT"/>
                        </w:rPr>
                        <w:t>G</w:t>
                      </w:r>
                      <w:r>
                        <w:rPr>
                          <w:color w:val="000000"/>
                          <w:szCs w:val="24"/>
                          <w:vertAlign w:val="subscript"/>
                          <w:lang w:eastAsia="lt-LT"/>
                        </w:rPr>
                        <w:t>1,i</w:t>
                      </w:r>
                      <w:r>
                        <w:rPr>
                          <w:color w:val="000000"/>
                          <w:szCs w:val="24"/>
                          <w:lang w:eastAsia="lt-LT"/>
                        </w:rPr>
                        <w:t xml:space="preserve"> = </w:t>
                      </w:r>
                      <w:r>
                        <w:rPr>
                          <w:i/>
                          <w:iCs/>
                          <w:szCs w:val="24"/>
                        </w:rPr>
                        <w:t>OPEX</w:t>
                      </w:r>
                      <w:r>
                        <w:rPr>
                          <w:i/>
                          <w:iCs/>
                          <w:szCs w:val="24"/>
                          <w:vertAlign w:val="subscript"/>
                        </w:rPr>
                        <w:t>nustatytas,i</w:t>
                      </w:r>
                      <w:r>
                        <w:rPr>
                          <w:i/>
                          <w:iCs/>
                          <w:szCs w:val="24"/>
                        </w:rPr>
                        <w:t xml:space="preserve"> – OPEX</w:t>
                      </w:r>
                      <w:r>
                        <w:rPr>
                          <w:i/>
                          <w:iCs/>
                          <w:szCs w:val="24"/>
                          <w:vertAlign w:val="subscript"/>
                        </w:rPr>
                        <w:t>faktinis,i</w:t>
                      </w:r>
                      <w:r>
                        <w:rPr>
                          <w:color w:val="000000"/>
                          <w:szCs w:val="24"/>
                          <w:lang w:eastAsia="lt-LT"/>
                        </w:rPr>
                        <w:t xml:space="preserve">                                                                               (5)</w:t>
                      </w:r>
                    </w:p>
                    <w:p>
                      <w:pPr>
                        <w:ind w:firstLine="720"/>
                        <w:jc w:val="both"/>
                        <w:rPr>
                          <w:color w:val="000000"/>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xml:space="preserve">– faktinė OPEX apimtis per atitinkamus (pirmus dvejus ir penkerius, viso periodo / ketverius, viso periodo) reguliavimo periodo metus , priskirtina i-tajai paslaugai, 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 p."/>
                    <w:tag w:val="part_a0b81fb2822d4cd58c81ae796e7cb285"/>
                    <w:lock w:val="sdtLocked"/>
                    <w:richText/>
                  </w:sdtPr>
                  <w:sdtContent>
                    <w:p>
                      <w:pPr>
                        <w:tabs>
                          <w:tab w:val="left" w:pos="993"/>
                          <w:tab w:val="left" w:pos="9356"/>
                        </w:tabs>
                        <w:ind w:firstLine="709"/>
                        <w:jc w:val="both"/>
                        <w:rPr>
                          <w:szCs w:val="24"/>
                        </w:rPr>
                      </w:pPr>
                      <w:sdt>
                        <w:sdtPr>
                          <w:alias w:val="Numeris"/>
                          <w:tag w:val="nr_a0b81fb2822d4cd58c81ae796e7cb28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w:t>
                      </w:r>
                      <w:r>
                        <w:rPr>
                          <w:color w:val="000000"/>
                          <w:szCs w:val="24"/>
                          <w:lang w:eastAsia="lt-LT"/>
                        </w:rPr>
                        <w:t xml:space="preserve">–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 </w:t>
                      </w:r>
                      <w:r>
                        <w:rPr>
                          <w:szCs w:val="24"/>
                        </w:rPr>
                        <w:t>investicijų grąža, įvertinus taikytinų koregavimo koeficientų įtaką viršija Reguliuojančiosios institucijos</w:t>
                      </w:r>
                      <w:r>
                        <w:rPr>
                          <w:b/>
                          <w:bCs/>
                          <w:szCs w:val="24"/>
                        </w:rPr>
                        <w:t xml:space="preserve"> </w:t>
                      </w:r>
                      <w:r>
                        <w:rPr>
                          <w:szCs w:val="24"/>
                        </w:rPr>
                        <w:t>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356"/>
                        </w:tabs>
                        <w:jc w:val="both"/>
                        <w:rPr>
                          <w:szCs w:val="24"/>
                        </w:rPr>
                      </w:pPr>
                    </w:p>
                    <w:p>
                      <w:pPr>
                        <w:tabs>
                          <w:tab w:val="left" w:pos="993"/>
                          <w:tab w:val="left" w:pos="9356"/>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ind w:firstLine="709"/>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4b736f70ffa946349e07b5b9ad8e1451"/>
                        <w:lock w:val="sdtLocked"/>
                        <w:richText/>
                      </w:sdtPr>
                      <w:sdtContent>
                        <w:p>
                          <w:pPr>
                            <w:tabs>
                              <w:tab w:val="left" w:pos="1134"/>
                            </w:tabs>
                            <w:ind w:firstLine="709"/>
                            <w:jc w:val="both"/>
                          </w:pPr>
                          <w:sdt>
                            <w:sdtPr>
                              <w:alias w:val="Numeris"/>
                              <w:tag w:val="nr_4b736f70ffa946349e07b5b9ad8e1451"/>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14-2.4 p."/>
                        <w:tag w:val="part_22eae20d937c4c3fb4ee2e1edf90f311"/>
                        <w:lock w:val="sdtLocked"/>
                        <w:richText/>
                      </w:sdtPr>
                      <w:sdtContent>
                        <w:p>
                          <w:pPr>
                            <w:tabs>
                              <w:tab w:val="left" w:pos="758"/>
                            </w:tabs>
                            <w:ind w:firstLine="709"/>
                            <w:jc w:val="both"/>
                          </w:pPr>
                          <w:sdt>
                            <w:sdtPr>
                              <w:alias w:val="Numeris"/>
                              <w:tag w:val="nr_22eae20d937c4c3fb4ee2e1edf90f311"/>
                              <w:lock w:val="sdtLocked"/>
                              <w:richText/>
                            </w:sdtPr>
                            <w:sdtContent>
                              <w:r>
                                <w:rPr>
                                  <w:szCs w:val="24"/>
                                </w:rPr>
                                <w:t>14</w:t>
                              </w:r>
                              <w:r>
                                <w:rPr>
                                  <w:szCs w:val="24"/>
                                  <w:vertAlign w:val="superscript"/>
                                </w:rPr>
                                <w:t>2</w:t>
                              </w:r>
                              <w:r>
                                <w:rPr>
                                  <w:szCs w:val="24"/>
                                </w:rPr>
                                <w:t>.4</w:t>
                              </w:r>
                            </w:sdtContent>
                          </w:sdt>
                          <w:r>
                            <w:rPr>
                              <w:szCs w:val="24"/>
                            </w:rPr>
                            <w:t xml:space="preserve">. </w:t>
                          </w:r>
                          <w:r>
                            <w:rPr>
                              <w:bCs/>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2126e632785946178dfb7492964d09a6"/>
                    <w:lock w:val="sdtLocked"/>
                    <w:richText/>
                  </w:sdtPr>
                  <w:sdtContent>
                    <w:p>
                      <w:pPr>
                        <w:tabs>
                          <w:tab w:val="left" w:pos="758"/>
                        </w:tabs>
                        <w:ind w:firstLine="758"/>
                        <w:jc w:val="both"/>
                        <w:rPr>
                          <w:szCs w:val="24"/>
                        </w:rPr>
                      </w:pPr>
                      <w:sdt>
                        <w:sdtPr>
                          <w:alias w:val="Numeris"/>
                          <w:tag w:val="nr_2126e632785946178dfb7492964d09a6"/>
                          <w:lock w:val="sdtLocked"/>
                          <w:richText/>
                        </w:sdtPr>
                        <w:sdtContent>
                          <w:r>
                            <w:rPr>
                              <w:szCs w:val="24"/>
                            </w:rPr>
                            <w:t>15</w:t>
                          </w:r>
                        </w:sdtContent>
                      </w:sdt>
                      <w:r>
                        <w:rPr>
                          <w:szCs w:val="24"/>
                        </w:rPr>
                        <w:t xml:space="preserve">. Elektros energijos perdavimo ir skirstymo paslaugų leistina investicijų grąža po reguliuojamos veiklos pirmų dvejų reguliavimo periodo metų, o vėliau – </w:t>
                      </w:r>
                      <w:r>
                        <w:rPr>
                          <w:color w:val="000000"/>
                          <w:szCs w:val="24"/>
                          <w:lang w:eastAsia="lt-LT"/>
                        </w:rPr>
                        <w:t>po penkerių reguliavimo periodo metų ir, jeigu būtų pratęstas reguliavimo periodas, viso reguliavimo periodo (įskaitant pratęstą reguliavimo periodo laikotarpį),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15.1 pp."/>
                        <w:tag w:val="part_f8ec411d8d5542bea61eb91ff7621c02"/>
                        <w:lock w:val="sdtLocked"/>
                        <w:richText/>
                      </w:sdtPr>
                      <w:sdtContent>
                        <w:p>
                          <w:pPr>
                            <w:tabs>
                              <w:tab w:val="left" w:pos="758"/>
                            </w:tabs>
                            <w:ind w:firstLine="758"/>
                            <w:jc w:val="both"/>
                            <w:rPr>
                              <w:szCs w:val="24"/>
                            </w:rPr>
                          </w:pPr>
                          <w:sdt>
                            <w:sdtPr>
                              <w:alias w:val="Numeris"/>
                              <w:tag w:val="nr_f8ec411d8d5542bea61eb91ff7621c02"/>
                              <w:lock w:val="sdtLocked"/>
                              <w:richText/>
                            </w:sdtPr>
                            <w:sdtContent>
                              <w:r>
                                <w:rPr>
                                  <w:szCs w:val="24"/>
                                </w:rPr>
                                <w:t>15.1</w:t>
                              </w:r>
                            </w:sdtContent>
                          </w:sdt>
                          <w:r>
                            <w:rPr>
                              <w:szCs w:val="24"/>
                            </w:rPr>
                            <w:t>. 1 proc., jei persiuntimo patikimumo rodiklis, kuriam nustatytas minimalus lygis, pablogėjo nuo 5 iki 10 proc., palyginti su Komisijos nustatytu minimaliu lygiu;</w:t>
                          </w:r>
                        </w:p>
                      </w:sdtContent>
                    </w:sdt>
                    <w:sdt>
                      <w:sdtPr>
                        <w:alias w:val="15.2 pp."/>
                        <w:tag w:val="part_e26b17f768d3409db0aaa4ad1af7c7f1"/>
                        <w:lock w:val="sdtLocked"/>
                        <w:richText/>
                      </w:sdtPr>
                      <w:sdtContent>
                        <w:p>
                          <w:pPr>
                            <w:tabs>
                              <w:tab w:val="left" w:pos="758"/>
                            </w:tabs>
                            <w:ind w:firstLine="758"/>
                            <w:jc w:val="both"/>
                            <w:rPr>
                              <w:szCs w:val="24"/>
                            </w:rPr>
                          </w:pPr>
                          <w:sdt>
                            <w:sdtPr>
                              <w:alias w:val="Numeris"/>
                              <w:tag w:val="nr_e26b17f768d3409db0aaa4ad1af7c7f1"/>
                              <w:lock w:val="sdtLocked"/>
                              <w:richText/>
                            </w:sdtPr>
                            <w:sdtContent>
                              <w:r>
                                <w:rPr>
                                  <w:szCs w:val="24"/>
                                </w:rPr>
                                <w:t>15.2</w:t>
                              </w:r>
                            </w:sdtContent>
                          </w:sdt>
                          <w:r>
                            <w:rPr>
                              <w:szCs w:val="24"/>
                            </w:rPr>
                            <w:t>. 2 proc., jei persiuntimo patikimumo rodiklis, kuriam nustatytas minimalus lygis, pablogėjo daugiau nei 10 proc., palyginti su Komisijos nustatytu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6 p."/>
                    <w:tag w:val="part_83418c9b21044ecbb704429ee2d2a7c3"/>
                    <w:lock w:val="sdtLocked"/>
                    <w:richText/>
                  </w:sdtPr>
                  <w:sdtContent>
                    <w:p>
                      <w:pPr>
                        <w:tabs>
                          <w:tab w:val="left" w:pos="1080"/>
                          <w:tab w:val="left" w:pos="1260"/>
                        </w:tabs>
                        <w:ind w:firstLine="709"/>
                        <w:jc w:val="both"/>
                        <w:rPr>
                          <w:szCs w:val="24"/>
                        </w:rPr>
                      </w:pPr>
                      <w:sdt>
                        <w:sdtPr>
                          <w:alias w:val="Numeris"/>
                          <w:tag w:val="nr_83418c9b21044ecbb704429ee2d2a7c3"/>
                          <w:lock w:val="sdtLocked"/>
                          <w:richText/>
                        </w:sdtPr>
                        <w:sdtContent>
                          <w:r>
                            <w:rPr>
                              <w:szCs w:val="24"/>
                            </w:rPr>
                            <w:t>16</w:t>
                          </w:r>
                        </w:sdtContent>
                      </w:sdt>
                      <w:r>
                        <w:rPr>
                          <w:szCs w:val="24"/>
                        </w:rPr>
                        <w:t xml:space="preserve">.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w:t>
                      </w:r>
                      <w:r>
                        <w:rPr>
                          <w:color w:val="000000"/>
                        </w:rPr>
                        <w:t xml:space="preserve">po </w:t>
                      </w:r>
                      <w:r>
                        <w:rPr>
                          <w:color w:val="000000"/>
                          <w:szCs w:val="24"/>
                          <w:lang w:eastAsia="lt-LT"/>
                        </w:rPr>
                        <w:t>penkerių reguliavimo periodo metų 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sdt>
                      <w:sdtPr>
                        <w:alias w:val="16.1 pp."/>
                        <w:tag w:val="part_2e1e0235df57456293ff66b893cfb5da"/>
                        <w:lock w:val="sdtLocked"/>
                        <w:richText/>
                      </w:sdtPr>
                      <w:sdtContent>
                        <w:p>
                          <w:pPr>
                            <w:tabs>
                              <w:tab w:val="left" w:pos="0"/>
                              <w:tab w:val="left" w:pos="1276"/>
                              <w:tab w:val="left" w:pos="2268"/>
                            </w:tabs>
                            <w:ind w:firstLine="709"/>
                            <w:jc w:val="both"/>
                            <w:rPr>
                              <w:szCs w:val="24"/>
                            </w:rPr>
                          </w:pPr>
                          <w:sdt>
                            <w:sdtPr>
                              <w:alias w:val="Numeris"/>
                              <w:tag w:val="nr_2e1e0235df57456293ff66b893cfb5da"/>
                              <w:lock w:val="sdtLocked"/>
                              <w:richText/>
                            </w:sdtPr>
                            <w:sdtContent>
                              <w:r>
                                <w:rPr>
                                  <w:szCs w:val="24"/>
                                </w:rPr>
                                <w:t>16.1</w:t>
                              </w:r>
                            </w:sdtContent>
                          </w:sdt>
                          <w:r>
                            <w:rPr>
                              <w:szCs w:val="24"/>
                            </w:rPr>
                            <w:t>. Įmonės uždirbta faktinė grąža iš reguliuojamos veiklos;</w:t>
                          </w:r>
                        </w:p>
                      </w:sdtContent>
                    </w:sdt>
                    <w:sdt>
                      <w:sdtPr>
                        <w:alias w:val="16.2 pp."/>
                        <w:tag w:val="part_551da244879c4bae81de23b629e69458"/>
                        <w:lock w:val="sdtLocked"/>
                        <w:richText/>
                      </w:sdtPr>
                      <w:sdtContent>
                        <w:p>
                          <w:pPr>
                            <w:tabs>
                              <w:tab w:val="left" w:pos="0"/>
                              <w:tab w:val="left" w:pos="1276"/>
                              <w:tab w:val="left" w:pos="2268"/>
                            </w:tabs>
                            <w:ind w:firstLine="709"/>
                            <w:jc w:val="both"/>
                            <w:rPr>
                              <w:szCs w:val="24"/>
                            </w:rPr>
                          </w:pPr>
                          <w:sdt>
                            <w:sdtPr>
                              <w:alias w:val="Numeris"/>
                              <w:tag w:val="nr_551da244879c4bae81de23b629e69458"/>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p."/>
                        <w:tag w:val="part_99d569dd335d47edabfcab48479b854c"/>
                        <w:lock w:val="sdtLocked"/>
                        <w:richText/>
                      </w:sdtPr>
                      <w:sdtContent>
                        <w:p>
                          <w:pPr>
                            <w:tabs>
                              <w:tab w:val="left" w:pos="0"/>
                              <w:tab w:val="left" w:pos="1276"/>
                              <w:tab w:val="left" w:pos="2268"/>
                            </w:tabs>
                            <w:ind w:firstLine="709"/>
                            <w:jc w:val="both"/>
                            <w:rPr>
                              <w:szCs w:val="24"/>
                            </w:rPr>
                          </w:pPr>
                          <w:sdt>
                            <w:sdtPr>
                              <w:alias w:val="Numeris"/>
                              <w:tag w:val="nr_99d569dd335d47edabfcab48479b854c"/>
                              <w:lock w:val="sdtLocked"/>
                              <w:richText/>
                            </w:sdtPr>
                            <w:sdtContent>
                              <w:r>
                                <w:rPr>
                                  <w:szCs w:val="24"/>
                                </w:rPr>
                                <w:t>16.3</w:t>
                              </w:r>
                            </w:sdtContent>
                          </w:sdt>
                          <w:r>
                            <w:rPr>
                              <w:szCs w:val="24"/>
                            </w:rPr>
                            <w:t>. kaštų, kuriems Reguliuojančiosios institucijos nustatė atitinkamus normatyvus Metodikos 7–10 punktuose nurodytoms sąnaudų grupėms, viršijimo suma, kuri apskaičiuojama Metodikos nustatyta tvarka;</w:t>
                          </w:r>
                        </w:p>
                      </w:sdtContent>
                    </w:sdt>
                    <w:sdt>
                      <w:sdtPr>
                        <w:alias w:val="16.4 pp."/>
                        <w:tag w:val="part_faef8b5901754045abc7edbc3cfefaa9"/>
                        <w:lock w:val="sdtLocked"/>
                        <w:richText/>
                      </w:sdtPr>
                      <w:sdtContent>
                        <w:p>
                          <w:pPr>
                            <w:tabs>
                              <w:tab w:val="left" w:pos="0"/>
                              <w:tab w:val="left" w:pos="1276"/>
                              <w:tab w:val="left" w:pos="2268"/>
                            </w:tabs>
                            <w:ind w:firstLine="709"/>
                            <w:jc w:val="both"/>
                            <w:rPr>
                              <w:szCs w:val="24"/>
                            </w:rPr>
                          </w:pPr>
                          <w:sdt>
                            <w:sdtPr>
                              <w:alias w:val="Numeris"/>
                              <w:tag w:val="nr_faef8b5901754045abc7edbc3cfefaa9"/>
                              <w:lock w:val="sdtLocked"/>
                              <w:richText/>
                            </w:sdtPr>
                            <w:sdtContent>
                              <w:r>
                                <w:rPr>
                                  <w:szCs w:val="24"/>
                                </w:rPr>
                                <w:t>16.4</w:t>
                              </w:r>
                            </w:sdtContent>
                          </w:sdt>
                          <w:r>
                            <w:rPr>
                              <w:szCs w:val="24"/>
                            </w:rPr>
                            <w:t>. Įmonėms nukrypus nuo Reguliuojančiosios institucijos nustatytų rodiklių, priežastys, lemiančios jų veiklos efektyvumą;</w:t>
                          </w:r>
                        </w:p>
                      </w:sdtContent>
                    </w:sdt>
                    <w:sdt>
                      <w:sdtPr>
                        <w:alias w:val="16.5 pp."/>
                        <w:tag w:val="part_c2d6d6fbd43948cc94274a8af2034920"/>
                        <w:lock w:val="sdtLocked"/>
                        <w:richText/>
                      </w:sdtPr>
                      <w:sdtContent>
                        <w:p>
                          <w:pPr>
                            <w:tabs>
                              <w:tab w:val="left" w:pos="758"/>
                            </w:tabs>
                            <w:ind w:firstLine="758"/>
                            <w:jc w:val="both"/>
                            <w:rPr>
                              <w:szCs w:val="24"/>
                            </w:rPr>
                          </w:pPr>
                          <w:sdt>
                            <w:sdtPr>
                              <w:alias w:val="Numeris"/>
                              <w:tag w:val="nr_c2d6d6fbd43948cc94274a8af2034920"/>
                              <w:lock w:val="sdtLocked"/>
                              <w:richText/>
                            </w:sdtPr>
                            <w:sdtContent>
                              <w:r>
                                <w:rPr>
                                  <w:szCs w:val="24"/>
                                </w:rPr>
                                <w:t>16.5</w:t>
                              </w:r>
                            </w:sdtContent>
                          </w:sdt>
                          <w:r>
                            <w:rPr>
                              <w:szCs w:val="24"/>
                            </w:rPr>
                            <w:t>. praėjusių laikotarpių investicijų grąžos korekcijos, nustatytos Reguliuojančiosios institucijos sprendimu.</w:t>
                          </w:r>
                        </w:p>
                        <w:p>
                          <w:pPr>
                            <w:tabs>
                              <w:tab w:val="left" w:pos="758"/>
                            </w:tabs>
                            <w:ind w:firstLine="758"/>
                            <w:jc w:val="both"/>
                          </w:pPr>
                          <w:r>
                            <w:rPr>
                              <w:szCs w:val="24"/>
                            </w:rPr>
                            <w:t>Motyvuotu Įmonės prašymu kitais, nei šiame punkte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6-1 p."/>
                    <w:tag w:val="part_665becadb8644351aa1b872c64d829e0"/>
                    <w:lock w:val="sdtLocked"/>
                    <w:richText/>
                  </w:sdtPr>
                  <w:sdtContent>
                    <w:p>
                      <w:pPr>
                        <w:ind w:firstLine="709"/>
                        <w:jc w:val="both"/>
                        <w:rPr>
                          <w:szCs w:val="24"/>
                        </w:rPr>
                      </w:pPr>
                      <w:sdt>
                        <w:sdtPr>
                          <w:alias w:val="Numeris"/>
                          <w:tag w:val="nr_665becadb8644351aa1b872c64d829e0"/>
                          <w:lock w:val="sdtLocked"/>
                          <w:richText/>
                        </w:sdtPr>
                        <w:sdtContent>
                          <w:r>
                            <w:rPr>
                              <w:szCs w:val="24"/>
                            </w:rPr>
                            <w:t>16</w:t>
                          </w:r>
                          <w:r>
                            <w:rPr>
                              <w:szCs w:val="24"/>
                              <w:vertAlign w:val="superscript"/>
                            </w:rPr>
                            <w:t>1</w:t>
                          </w:r>
                        </w:sdtContent>
                      </w:sdt>
                      <w:r>
                        <w:rPr>
                          <w:szCs w:val="24"/>
                        </w:rPr>
                        <w:t xml:space="preserve">. Kai Metodikos 16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 1/2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0c72403eb6454e6faf3d5bc0be5effbf"/>
                        <w:lock w:val="sdtLocked"/>
                        <w:richText/>
                      </w:sdtPr>
                      <w:sdtContent>
                        <w:p>
                          <w:pPr>
                            <w:tabs>
                              <w:tab w:val="left" w:pos="0"/>
                              <w:tab w:val="left" w:pos="284"/>
                              <w:tab w:val="left" w:pos="851"/>
                              <w:tab w:val="left" w:pos="1276"/>
                              <w:tab w:val="left" w:pos="1843"/>
                              <w:tab w:val="left" w:pos="2268"/>
                            </w:tabs>
                            <w:ind w:firstLine="709"/>
                            <w:jc w:val="both"/>
                          </w:pPr>
                          <w:sdt>
                            <w:sdtPr>
                              <w:alias w:val="Numeris"/>
                              <w:tag w:val="nr_0c72403eb6454e6faf3d5bc0be5effbf"/>
                              <w:lock w:val="sdtLocked"/>
                              <w:richText/>
                            </w:sdtPr>
                            <w:sdtContent>
                              <w:r>
                                <w:rPr>
                                  <w:szCs w:val="24"/>
                                </w:rPr>
                                <w:t>18.4</w:t>
                              </w:r>
                            </w:sdtContent>
                          </w:sdt>
                          <w:r>
                            <w:rPr>
                              <w:szCs w:val="24"/>
                            </w:rPr>
                            <w:t>. kitų Įmonių, galinčių daryti įtaką prognozuojamam kiekiui, plėtrą ir teisės aktuose nustatytus įpareigojimus.</w:t>
                          </w:r>
                        </w:p>
                      </w:sdtContent>
                    </w:sdt>
                  </w:sdtContent>
                </w:sdt>
                <w:sdt>
                  <w:sdtPr>
                    <w:alias w:val="18-1 p."/>
                    <w:tag w:val="part_b560e4e74e404fb4be78ecaa230d38ce"/>
                    <w:lock w:val="sdtLocked"/>
                    <w:richText/>
                  </w:sdtPr>
                  <w:sdtContent>
                    <w:p>
                      <w:pPr>
                        <w:ind w:firstLine="720"/>
                        <w:jc w:val="both"/>
                      </w:pPr>
                      <w:sdt>
                        <w:sdtPr>
                          <w:alias w:val="Numeris"/>
                          <w:tag w:val="nr_b560e4e74e404fb4be78ecaa230d38ce"/>
                          <w:lock w:val="sdtLocked"/>
                          <w:richText/>
                        </w:sdtPr>
                        <w:sdtContent>
                          <w:r>
                            <w:rPr>
                              <w:bCs/>
                              <w:color w:val="000000"/>
                              <w:szCs w:val="24"/>
                              <w:lang w:eastAsia="lt-LT"/>
                            </w:rPr>
                            <w:t>18</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paslaugų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tiekimo paslaugos kaštai ir gaunamos garantinio tiekimo paslaugos pajamos.</w:t>
                      </w:r>
                      <w:r>
                        <w:t xml:space="preserve"> </w:t>
                      </w:r>
                    </w:p>
                    <w:p>
                      <w:pPr>
                        <w:jc w:val="both"/>
                        <w:rPr>
                          <w:szCs w:val="24"/>
                        </w:rPr>
                      </w:pPr>
                      <w:r>
                        <w:rPr>
                          <w:b/>
                          <w:i/>
                          <w:sz w:val="20"/>
                        </w:rPr>
                        <w:t>TAR pastaba.</w:t>
                      </w:r>
                      <w:r>
                        <w:rPr>
                          <w:i/>
                          <w:sz w:val="20"/>
                        </w:rPr>
                        <w:t xml:space="preserve"> 18</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f065980214c041928db5a873e535fa30"/>
                    <w:lock w:val="sdtLocked"/>
                    <w:richText/>
                  </w:sdtPr>
                  <w:sdtContent>
                    <w:p>
                      <w:pPr>
                        <w:widowControl w:val="0"/>
                        <w:tabs>
                          <w:tab w:val="left" w:pos="0"/>
                          <w:tab w:val="left" w:pos="1134"/>
                        </w:tabs>
                        <w:ind w:firstLine="709"/>
                        <w:jc w:val="both"/>
                        <w:rPr>
                          <w:szCs w:val="24"/>
                        </w:rPr>
                      </w:pPr>
                      <w:sdt>
                        <w:sdtPr>
                          <w:alias w:val="Numeris"/>
                          <w:tag w:val="nr_f065980214c041928db5a873e535fa30"/>
                          <w:lock w:val="sdtLocked"/>
                          <w:richText/>
                        </w:sdtPr>
                        <w:sdtContent>
                          <w:r>
                            <w:rPr>
                              <w:szCs w:val="24"/>
                            </w:rPr>
                            <w:t>19</w:t>
                          </w:r>
                        </w:sdtContent>
                      </w:sdt>
                      <w:r>
                        <w:rPr>
                          <w:szCs w:val="24"/>
                        </w:rPr>
                        <w:t>. Įmonių reguliuojamų paslaugų kainų viršutinės ribos nustatomos 5 metų reguliavimo periodui, išskyrus atvejus, kai Reguliuojančios institucijos motyvuotu sprendimu nustatytas kitas reguliavimo periodo laikotarpis.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96fba57266054e8caa7916a0d8fc75ac"/>
                            <w:lock w:val="sdtLocked"/>
                            <w:richText/>
                          </w:sdtPr>
                          <w:sdtContent>
                            <w:p>
                              <w:pPr>
                                <w:tabs>
                                  <w:tab w:val="left" w:pos="1134"/>
                                </w:tabs>
                                <w:ind w:firstLine="709"/>
                                <w:jc w:val="both"/>
                                <w:rPr>
                                  <w:szCs w:val="24"/>
                                </w:rPr>
                              </w:pPr>
                              <w:sdt>
                                <w:sdtPr>
                                  <w:alias w:val="Numeris"/>
                                  <w:tag w:val="nr_96fba57266054e8caa7916a0d8fc75ac"/>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m:t>
                                    </m:r>
                                    <m:r>
                                      <w:rPr>
                                        <w:rFonts w:ascii="Cambria Math" w:hAnsi="Cambria Math"/>
                                        <w:szCs w:val="24"/>
                                      </w:rPr>
                                      <m:t>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1-1 p."/>
                            <w:tag w:val="part_7691f0c4898f4ab998c24fbf4d787110"/>
                            <w:lock w:val="sdtLocked"/>
                            <w:richText/>
                          </w:sdtPr>
                          <w:sdtContent>
                            <w:p>
                              <w:pPr>
                                <w:tabs>
                                  <w:tab w:val="left" w:pos="758"/>
                                </w:tabs>
                                <w:ind w:firstLine="709"/>
                                <w:jc w:val="both"/>
                                <w:rPr>
                                  <w:szCs w:val="24"/>
                                </w:rPr>
                              </w:pPr>
                              <w:sdt>
                                <w:sdtPr>
                                  <w:alias w:val="Numeris"/>
                                  <w:tag w:val="nr_7691f0c4898f4ab998c24fbf4d787110"/>
                                  <w:lock w:val="sdtLocked"/>
                                  <w:richText/>
                                </w:sdtPr>
                                <w:sdtContent>
                                  <w:r>
                                    <w:rPr>
                                      <w:szCs w:val="24"/>
                                    </w:rPr>
                                    <w:t>20.2.1</w:t>
                                  </w:r>
                                  <w:r>
                                    <w:rPr>
                                      <w:szCs w:val="24"/>
                                      <w:vertAlign w:val="superscript"/>
                                    </w:rPr>
                                    <w:t>1</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20.2.2 p."/>
                            <w:tag w:val="part_374c285b8fe14957a597d25e3999c5de"/>
                            <w:lock w:val="sdtLocked"/>
                            <w:richText/>
                          </w:sdtPr>
                          <w:sdtContent>
                            <w:p>
                              <w:pPr>
                                <w:ind w:firstLine="720"/>
                                <w:jc w:val="both"/>
                                <w:rPr>
                                  <w:szCs w:val="24"/>
                                  <w:lang w:eastAsia="lt-LT"/>
                                </w:rPr>
                              </w:pPr>
                              <w:sdt>
                                <w:sdtPr>
                                  <w:alias w:val="Numeris"/>
                                  <w:tag w:val="nr_374c285b8fe14957a597d25e3999c5de"/>
                                  <w:lock w:val="sdtLocked"/>
                                  <w:richText/>
                                </w:sdtPr>
                                <w:sdtContent>
                                  <w:r>
                                    <w:rPr>
                                      <w:szCs w:val="24"/>
                                      <w:lang w:eastAsia="lt-LT"/>
                                    </w:rPr>
                                    <w:t>20.2.2</w:t>
                                  </w:r>
                                </w:sdtContent>
                              </w:sdt>
                              <w:r>
                                <w:rPr>
                                  <w:szCs w:val="24"/>
                                  <w:lang w:eastAsia="lt-LT"/>
                                </w:rPr>
                                <w:t>. visuomeninio tiekimo paslaugos teikimo atveju reguliuojamo turto bazę sudaro:</w:t>
                              </w:r>
                            </w:p>
                            <w:sdt>
                              <w:sdtPr>
                                <w:alias w:val="20.2.2.1 pp."/>
                                <w:tag w:val="part_e44a6229a0c544fd970fdc39f25f9448"/>
                                <w:lock w:val="sdtLocked"/>
                                <w:richText/>
                              </w:sdtPr>
                              <w:sdtContent>
                                <w:p>
                                  <w:pPr>
                                    <w:ind w:firstLine="720"/>
                                    <w:jc w:val="both"/>
                                    <w:rPr>
                                      <w:szCs w:val="24"/>
                                    </w:rPr>
                                  </w:pPr>
                                  <w:sdt>
                                    <w:sdtPr>
                                      <w:alias w:val="Numeris"/>
                                      <w:tag w:val="nr_e44a6229a0c544fd970fdc39f25f9448"/>
                                      <w:lock w:val="sdtLocked"/>
                                      <w:richText/>
                                    </w:sdtPr>
                                    <w:sdtContent>
                                      <w:r>
                                        <w:rPr>
                                          <w:szCs w:val="24"/>
                                          <w:lang w:eastAsia="lt-LT"/>
                                        </w:rPr>
                                        <w:t>20.2.2.1</w:t>
                                      </w:r>
                                    </w:sdtContent>
                                  </w:sdt>
                                  <w:r>
                                    <w:rPr>
                                      <w:szCs w:val="24"/>
                                      <w:lang w:eastAsia="lt-LT"/>
                                    </w:rPr>
                                    <w:t>. ilgalaikio turto vertė (RAB</w:t>
                                  </w:r>
                                  <w:r>
                                    <w:rPr>
                                      <w:szCs w:val="24"/>
                                      <w:vertAlign w:val="subscript"/>
                                      <w:lang w:eastAsia="lt-LT"/>
                                    </w:rPr>
                                    <w:t>t</w:t>
                                  </w:r>
                                  <w:r>
                                    <w:rPr>
                                      <w:szCs w:val="24"/>
                                      <w:lang w:eastAsia="lt-LT"/>
                                    </w:rPr>
                                    <w:t xml:space="preserve">), apskaičiuota Metodikos 20.2.1 papunktyje nustatyta tvarka, įvertinus visuomeninio tiekėjo pateiktus duomenis apie elektros energijos tiekimo rinkos liberalizavimo etapo įtaką </w:t>
                                  </w:r>
                                  <w:r>
                                    <w:rPr>
                                      <w:i/>
                                      <w:iCs/>
                                      <w:szCs w:val="24"/>
                                      <w:lang w:eastAsia="lt-LT"/>
                                    </w:rPr>
                                    <w:t>t</w:t>
                                  </w:r>
                                  <w:r>
                                    <w:rPr>
                                      <w:szCs w:val="24"/>
                                      <w:lang w:eastAsia="lt-LT"/>
                                    </w:rPr>
                                    <w:t xml:space="preserve"> metais šio turto vertei. </w:t>
                                  </w:r>
                                </w:p>
                              </w:sdtContent>
                            </w:sdt>
                            <w:sdt>
                              <w:sdtPr>
                                <w:alias w:val="20.2.2.2 pp."/>
                                <w:tag w:val="part_f9ab316028a64dd48deeed88c33c6ecf"/>
                                <w:lock w:val="sdtLocked"/>
                                <w:richText/>
                              </w:sdtPr>
                              <w:sdtContent>
                                <w:p>
                                  <w:pPr>
                                    <w:ind w:firstLine="720"/>
                                    <w:jc w:val="both"/>
                                    <w:rPr>
                                      <w:szCs w:val="24"/>
                                      <w:lang w:eastAsia="lt-LT"/>
                                    </w:rPr>
                                  </w:pPr>
                                  <w:sdt>
                                    <w:sdtPr>
                                      <w:alias w:val="Numeris"/>
                                      <w:tag w:val="nr_f9ab316028a64dd48deeed88c33c6ecf"/>
                                      <w:lock w:val="sdtLocked"/>
                                      <w:richText/>
                                    </w:sdtPr>
                                    <w:sdtContent>
                                      <w:r>
                                        <w:rPr>
                                          <w:szCs w:val="24"/>
                                          <w:lang w:eastAsia="lt-LT"/>
                                        </w:rPr>
                                        <w:t>20.2.2.2</w:t>
                                      </w:r>
                                    </w:sdtContent>
                                  </w:sdt>
                                  <w:r>
                                    <w:rPr>
                                      <w:szCs w:val="24"/>
                                      <w:lang w:eastAsia="lt-LT"/>
                                    </w:rPr>
                                    <w:t xml:space="preserve">. apyvartinio kapitalo, reikalingo visuomeninio tiekimo veiklai, apimtis, kuri apskaičiuojama pagal formulę: </w:t>
                                  </w:r>
                                </w:p>
                                <w:p>
                                  <w:pPr>
                                    <w:ind w:left="709" w:firstLine="3600"/>
                                    <w:jc w:val="both"/>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m:t>
                                    </m:r>
                                    <m:r>
                                      <w:rPr>
                                        <w:rFonts w:ascii="Cambria Math" w:hAnsi="Cambria Math"/>
                                        <w:szCs w:val="24"/>
                                      </w:rPr>
                                      <m:t>T</m:t>
                                    </m:r>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m:t>
                                            </m:r>
                                            <m: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r>
                                              <w:rPr>
                                                <w:rFonts w:ascii="Cambria Math" w:hAnsi="Cambria Math"/>
                                                <w:szCs w:val="24"/>
                                              </w:rPr>
                                              <m: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iCs/>
                                      <w:szCs w:val="24"/>
                                    </w:rPr>
                                    <w:t>(7</w:t>
                                  </w:r>
                                  <w:r>
                                    <w:rPr>
                                      <w:iCs/>
                                      <w:szCs w:val="24"/>
                                      <w:vertAlign w:val="superscript"/>
                                    </w:rPr>
                                    <w:t>1</w:t>
                                  </w:r>
                                  <w:r>
                                    <w:rPr>
                                      <w:iCs/>
                                      <w:szCs w:val="24"/>
                                    </w:rPr>
                                    <w:t>)</w:t>
                                  </w:r>
                                </w:p>
                                <w:p>
                                  <w:pPr>
                                    <w:ind w:left="709" w:firstLine="578"/>
                                    <w:jc w:val="both"/>
                                    <w:rPr>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i/>
                                      <w:iCs/>
                                      <w:szCs w:val="24"/>
                                    </w:rPr>
                                  </w:pPr>
                                  <w:r>
                                    <w:rPr>
                                      <w:i/>
                                      <w:iCs/>
                                      <w:szCs w:val="24"/>
                                    </w:rPr>
                                    <w:t>ApK</w:t>
                                  </w:r>
                                  <w:r>
                                    <w:rPr>
                                      <w:i/>
                                      <w:iCs/>
                                      <w:szCs w:val="24"/>
                                      <w:vertAlign w:val="subscript"/>
                                    </w:rPr>
                                    <w:t>t</w:t>
                                  </w:r>
                                  <w:r>
                                    <w:rPr>
                                      <w:i/>
                                      <w:iCs/>
                                      <w:szCs w:val="24"/>
                                    </w:rPr>
                                    <w:t xml:space="preserve"> – </w:t>
                                  </w:r>
                                  <w:r>
                                    <w:rPr>
                                      <w:szCs w:val="24"/>
                                      <w:lang w:eastAsia="lt-LT"/>
                                    </w:rPr>
                                    <w:t>apyvartinio kapitalo, reikalingo visuomeninio tiekimo veiklai, apimtis, EUR;</w:t>
                                  </w:r>
                                </w:p>
                                <w:p>
                                  <w:pPr>
                                    <w:tabs>
                                      <w:tab w:val="left" w:pos="993"/>
                                    </w:tabs>
                                    <w:ind w:firstLine="709"/>
                                    <w:jc w:val="both"/>
                                    <w:rPr>
                                      <w:szCs w:val="24"/>
                                    </w:rPr>
                                  </w:pPr>
                                  <w:r>
                                    <w:rPr>
                                      <w:i/>
                                      <w:iCs/>
                                      <w:szCs w:val="24"/>
                                    </w:rPr>
                                    <w:t>T</w:t>
                                  </w:r>
                                  <w:r>
                                    <w:rPr>
                                      <w:i/>
                                      <w:iCs/>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pPr>
                                    <w:tabs>
                                      <w:tab w:val="left" w:pos="993"/>
                                    </w:tabs>
                                    <w:ind w:firstLine="709"/>
                                    <w:jc w:val="both"/>
                                    <w:rPr>
                                      <w:szCs w:val="24"/>
                                    </w:rPr>
                                  </w:pPr>
                                  <w:r>
                                    <w:rPr>
                                      <w:i/>
                                      <w:iCs/>
                                      <w:szCs w:val="24"/>
                                    </w:rPr>
                                    <w:t>S</w:t>
                                  </w:r>
                                  <w:r>
                                    <w:rPr>
                                      <w:i/>
                                      <w:iCs/>
                                      <w:szCs w:val="24"/>
                                      <w:vertAlign w:val="subscript"/>
                                    </w:rPr>
                                    <w:t xml:space="preserve">t-2 </w:t>
                                  </w:r>
                                  <w:r>
                                    <w:rPr>
                                      <w:szCs w:val="24"/>
                                    </w:rPr>
                                    <w:t xml:space="preserve">– </w:t>
                                  </w:r>
                                  <w:r>
                                    <w:rPr>
                                      <w:i/>
                                      <w:iCs/>
                                      <w:szCs w:val="24"/>
                                      <w:lang w:eastAsia="lt-LT"/>
                                    </w:rPr>
                                    <w:t>t</w:t>
                                  </w:r>
                                  <w:r>
                                    <w:rPr>
                                      <w:szCs w:val="24"/>
                                      <w:lang w:eastAsia="lt-LT"/>
                                    </w:rPr>
                                    <w:t xml:space="preserve">-2 metų </w:t>
                                  </w:r>
                                  <w:r>
                                    <w:rPr>
                                      <w:color w:val="000000"/>
                                      <w:szCs w:val="24"/>
                                      <w:lang w:eastAsia="lt-LT"/>
                                    </w:rPr>
                                    <w:t>vidutinės vienos dienos visuomeninio tiekėjo paskirstomosios sąnaudos, kurios nustatomos atsižvelgiant</w:t>
                                  </w:r>
                                  <w:r>
                                    <w:rPr>
                                      <w:szCs w:val="24"/>
                                      <w:lang w:eastAsia="lt-LT"/>
                                    </w:rPr>
                                    <w:t xml:space="preserve"> į iš gamintojų, tiekėjų, biržoje, balansavimo rinkoje įsigytos elektros energijos ir persiuntimo paslaugų kaštų vertę (įskaitant VIAP ir sisteminių paslaugų kainą) bei visuomeninio tiekimo paslaugos kaštus</w:t>
                                  </w:r>
                                  <w:r>
                                    <w:rPr>
                                      <w:szCs w:val="24"/>
                                    </w:rPr>
                                    <w:t xml:space="preserve">, EUR; </w:t>
                                  </w:r>
                                </w:p>
                                <w:p>
                                  <w:pPr>
                                    <w:tabs>
                                      <w:tab w:val="left" w:pos="993"/>
                                    </w:tabs>
                                    <w:ind w:firstLine="709"/>
                                    <w:jc w:val="both"/>
                                    <w:rPr>
                                      <w:szCs w:val="24"/>
                                    </w:rPr>
                                  </w:pPr>
                                  <w:r>
                                    <w:rPr>
                                      <w:i/>
                                      <w:iCs/>
                                      <w:szCs w:val="24"/>
                                    </w:rPr>
                                    <w:t>Q</w:t>
                                  </w:r>
                                  <w:r>
                                    <w:rPr>
                                      <w:i/>
                                      <w:iCs/>
                                      <w:szCs w:val="24"/>
                                      <w:vertAlign w:val="subscript"/>
                                    </w:rPr>
                                    <w:t xml:space="preserve">t-2 </w:t>
                                  </w:r>
                                  <w:r>
                                    <w:rPr>
                                      <w:szCs w:val="24"/>
                                    </w:rPr>
                                    <w:t xml:space="preserve">– visuomeninio tiekėjo parduotas (patiektas) elektros energijos kiekis </w:t>
                                  </w:r>
                                  <w:r>
                                    <w:rPr>
                                      <w:i/>
                                      <w:iCs/>
                                      <w:szCs w:val="24"/>
                                    </w:rPr>
                                    <w:t>t-2</w:t>
                                  </w:r>
                                  <w:r>
                                    <w:rPr>
                                      <w:szCs w:val="24"/>
                                    </w:rPr>
                                    <w:t xml:space="preserve"> metais, kWh;</w:t>
                                  </w:r>
                                </w:p>
                                <w:p>
                                  <w:pPr>
                                    <w:ind w:firstLine="709"/>
                                    <w:jc w:val="both"/>
                                    <w:rPr>
                                      <w:szCs w:val="24"/>
                                    </w:rPr>
                                  </w:pPr>
                                  <w:r>
                                    <w:rPr>
                                      <w:i/>
                                      <w:iCs/>
                                      <w:szCs w:val="24"/>
                                    </w:rPr>
                                    <w:t>Q</w:t>
                                  </w:r>
                                  <w:r>
                                    <w:rPr>
                                      <w:i/>
                                      <w:iCs/>
                                      <w:szCs w:val="24"/>
                                      <w:vertAlign w:val="subscript"/>
                                    </w:rPr>
                                    <w:t xml:space="preserve">t </w:t>
                                  </w:r>
                                  <w:r>
                                    <w:rPr>
                                      <w:szCs w:val="24"/>
                                    </w:rPr>
                                    <w:t xml:space="preserve">– visuomeninio tiekėjo prognozuojamas parduoti (patiekti) elektros energijos kiekis </w:t>
                                  </w:r>
                                  <w:r>
                                    <w:rPr>
                                      <w:i/>
                                      <w:iCs/>
                                      <w:szCs w:val="24"/>
                                    </w:rPr>
                                    <w:t>t</w:t>
                                  </w:r>
                                  <w:r>
                                    <w:rPr>
                                      <w:szCs w:val="24"/>
                                    </w:rPr>
                                    <w:t xml:space="preserve"> metais, kWh.</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a8b62c94cf264e059255076705dd25e7"/>
                            <w:lock w:val="sdtLocked"/>
                            <w:richText/>
                          </w:sdtPr>
                          <w:sdtContent>
                            <w:p>
                              <w:pPr>
                                <w:tabs>
                                  <w:tab w:val="left" w:pos="993"/>
                                  <w:tab w:val="left" w:pos="1134"/>
                                </w:tabs>
                                <w:ind w:firstLine="709"/>
                                <w:jc w:val="both"/>
                                <w:rPr>
                                  <w:szCs w:val="24"/>
                                </w:rPr>
                              </w:pPr>
                              <w:sdt>
                                <w:sdtPr>
                                  <w:alias w:val="Numeris"/>
                                  <w:tag w:val="nr_a8b62c94cf264e059255076705dd25e7"/>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w:rPr>
                                            <w:rFonts w:ascii="Cambria Math" w:hAnsi="Cambria Math"/>
                                            <w:szCs w:val="24"/>
                                            <w:lang w:val="en-US"/>
                                          </w:rPr>
                                          <m:t>i</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8ee3478825f848eda55f6a8a075ad984"/>
                            <w:lock w:val="sdtLocked"/>
                            <w:richText/>
                          </w:sdtPr>
                          <w:sdtContent>
                            <w:p>
                              <w:pPr>
                                <w:tabs>
                                  <w:tab w:val="left" w:pos="1134"/>
                                </w:tabs>
                                <w:ind w:firstLine="709"/>
                                <w:jc w:val="both"/>
                                <w:rPr>
                                  <w:szCs w:val="24"/>
                                </w:rPr>
                              </w:pPr>
                              <w:sdt>
                                <w:sdtPr>
                                  <w:alias w:val="Numeris"/>
                                  <w:tag w:val="nr_8ee3478825f848eda55f6a8a075ad984"/>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m:t>
                                        </m:r>
                                        <m:r>
                                          <w:rPr>
                                            <w:rFonts w:ascii="Cambria Math" w:hAnsi="Cambria Math"/>
                                            <w:szCs w:val="24"/>
                                            <w:lang w:val="en-US"/>
                                          </w:rPr>
                                          <m:t>-1</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m:t>
                                    </m:r>
                                    <m:r>
                                      <w:rPr>
                                        <w:rFonts w:ascii="Cambria Math" w:hAnsi="Cambria Math"/>
                                        <w:szCs w:val="24"/>
                                        <w:lang w:val="en-US"/>
                                      </w:rPr>
                                      <m:t>e</m:t>
                                    </m:r>
                                    <m:r>
                                      <w:rPr>
                                        <w:rFonts w:ascii="Cambria Math" w:hAnsi="Cambria Math"/>
                                        <w:szCs w:val="24"/>
                                        <w:lang w:val="en-US"/>
                                      </w:rPr>
                                      <m:t xml:space="preserv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a2648faba8b54f3e80fd80555b0134c5"/>
                    <w:lock w:val="sdtLocked"/>
                    <w:richText/>
                  </w:sdtPr>
                  <w:sdtContent>
                    <w:p>
                      <w:pPr>
                        <w:tabs>
                          <w:tab w:val="left" w:pos="1276"/>
                        </w:tabs>
                        <w:ind w:firstLine="709"/>
                        <w:jc w:val="both"/>
                        <w:rPr>
                          <w:szCs w:val="24"/>
                        </w:rPr>
                      </w:pPr>
                      <w:sdt>
                        <w:sdtPr>
                          <w:alias w:val="Numeris"/>
                          <w:tag w:val="nr_a2648faba8b54f3e80fd80555b0134c5"/>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xml:space="preserve">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Reguliuojančiajai institucijai, viršijančia suma, apskaičiuojama pagal formulę:</w:t>
                      </w:r>
                    </w:p>
                    <w:p>
                      <w:pPr>
                        <w:tabs>
                          <w:tab w:val="left" w:pos="993"/>
                        </w:tabs>
                        <w:ind w:firstLine="709"/>
                        <w:jc w:val="both"/>
                        <w:rPr>
                          <w:szCs w:val="24"/>
                        </w:rPr>
                      </w:pPr>
                    </w:p>
                    <w:p>
                      <w:pPr>
                        <w:tabs>
                          <w:tab w:val="left" w:pos="993"/>
                          <w:tab w:val="left" w:pos="9214"/>
                        </w:tabs>
                        <w:ind w:firstLine="709"/>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 p."/>
                    <w:tag w:val="part_ba518fd60316491fb3d30ba2ac5948a1"/>
                    <w:lock w:val="sdtLocked"/>
                    <w:richText/>
                  </w:sdtPr>
                  <w:sdtContent>
                    <w:p>
                      <w:pPr>
                        <w:tabs>
                          <w:tab w:val="left" w:pos="993"/>
                          <w:tab w:val="left" w:pos="9214"/>
                        </w:tabs>
                        <w:ind w:firstLine="709"/>
                        <w:jc w:val="both"/>
                        <w:rPr>
                          <w:szCs w:val="24"/>
                        </w:rPr>
                      </w:pPr>
                      <w:sdt>
                        <w:sdtPr>
                          <w:alias w:val="Numeris"/>
                          <w:tag w:val="nr_ba518fd60316491fb3d30ba2ac5948a1"/>
                          <w:lock w:val="sdtLocked"/>
                          <w:richText/>
                        </w:sdtPr>
                        <w:sdtContent>
                          <w:r>
                            <w:rPr>
                              <w:szCs w:val="24"/>
                            </w:rPr>
                            <w:t>27</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investicijų grąža, įvertinus taikytinų koregavimo koeficientų įtaką viršija Reguliuojančiosios institucijos 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c8aee767536d4a06996cff45bdd6d471"/>
                        <w:lock w:val="sdtLocked"/>
                        <w:richText/>
                      </w:sdtPr>
                      <w:sdtContent>
                        <w:p>
                          <w:pPr>
                            <w:tabs>
                              <w:tab w:val="left" w:pos="1134"/>
                            </w:tabs>
                            <w:ind w:firstLine="709"/>
                            <w:jc w:val="both"/>
                          </w:pPr>
                          <w:sdt>
                            <w:sdtPr>
                              <w:alias w:val="Numeris"/>
                              <w:tag w:val="nr_c8aee767536d4a06996cff45bdd6d471"/>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27-2.4 p."/>
                        <w:tag w:val="part_49cea0971b9b46428853308ee18eb7f1"/>
                        <w:lock w:val="sdtLocked"/>
                        <w:richText/>
                      </w:sdtPr>
                      <w:sdtContent>
                        <w:p>
                          <w:pPr>
                            <w:tabs>
                              <w:tab w:val="left" w:pos="758"/>
                            </w:tabs>
                            <w:ind w:firstLine="709"/>
                            <w:jc w:val="both"/>
                            <w:rPr>
                              <w:szCs w:val="24"/>
                            </w:rPr>
                          </w:pPr>
                          <w:sdt>
                            <w:sdtPr>
                              <w:alias w:val="Numeris"/>
                              <w:tag w:val="nr_49cea0971b9b46428853308ee18eb7f1"/>
                              <w:lock w:val="sdtLocked"/>
                              <w:richText/>
                            </w:sdtPr>
                            <w:sdtContent>
                              <w:r>
                                <w:rPr>
                                  <w:szCs w:val="24"/>
                                </w:rPr>
                                <w:t>27</w:t>
                              </w:r>
                              <w:r>
                                <w:rPr>
                                  <w:szCs w:val="24"/>
                                  <w:vertAlign w:val="superscript"/>
                                </w:rPr>
                                <w:t>2</w:t>
                              </w:r>
                              <w:r>
                                <w:rPr>
                                  <w:szCs w:val="24"/>
                                </w:rPr>
                                <w:t>.4</w:t>
                              </w:r>
                            </w:sdtContent>
                          </w:sdt>
                          <w:r>
                            <w:rPr>
                              <w:szCs w:val="24"/>
                            </w:rPr>
                            <w:t xml:space="preserve">. </w:t>
                          </w:r>
                          <w:r>
                            <w:rPr>
                              <w:bCs/>
                              <w:kern w:val="32"/>
                              <w:szCs w:val="24"/>
                            </w:rPr>
                            <w:t xml:space="preserve">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7ebcf4d2e8ef4ba681e6ebe6dfad0a52"/>
                    <w:lock w:val="sdtLocked"/>
                    <w:richText/>
                  </w:sdtPr>
                  <w:sdtContent>
                    <w:p>
                      <w:pPr>
                        <w:tabs>
                          <w:tab w:val="left" w:pos="758"/>
                        </w:tabs>
                        <w:ind w:firstLine="758"/>
                        <w:jc w:val="both"/>
                        <w:rPr>
                          <w:szCs w:val="24"/>
                        </w:rPr>
                      </w:pPr>
                      <w:sdt>
                        <w:sdtPr>
                          <w:alias w:val="Numeris"/>
                          <w:tag w:val="nr_7ebcf4d2e8ef4ba681e6ebe6dfad0a52"/>
                          <w:lock w:val="sdtLocked"/>
                          <w:richText/>
                        </w:sdtPr>
                        <w:sdtContent>
                          <w:r>
                            <w:rPr>
                              <w:szCs w:val="24"/>
                            </w:rPr>
                            <w:t>28</w:t>
                          </w:r>
                        </w:sdtContent>
                      </w:sdt>
                      <w:r>
                        <w:rPr>
                          <w:szCs w:val="24"/>
                        </w:rPr>
                        <w:t xml:space="preserve">. Elektros energijos skirstymo paslaugų leistina investicijų grąža po reguliuojamos veiklos pirmų dvejų reguliavimo periodo metų, o vėliau – 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ar padidinama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8.1 pp."/>
                        <w:tag w:val="part_21f0506564da4056a21f60629dced752"/>
                        <w:lock w:val="sdtLocked"/>
                        <w:richText/>
                      </w:sdtPr>
                      <w:sdtContent>
                        <w:p>
                          <w:pPr>
                            <w:tabs>
                              <w:tab w:val="left" w:pos="758"/>
                            </w:tabs>
                            <w:ind w:firstLine="758"/>
                            <w:jc w:val="both"/>
                            <w:rPr>
                              <w:szCs w:val="24"/>
                            </w:rPr>
                          </w:pPr>
                          <w:sdt>
                            <w:sdtPr>
                              <w:alias w:val="Numeris"/>
                              <w:tag w:val="nr_21f0506564da4056a21f60629dced752"/>
                              <w:lock w:val="sdtLocked"/>
                              <w:richText/>
                            </w:sdtPr>
                            <w:sdtContent>
                              <w:r>
                                <w:rPr>
                                  <w:szCs w:val="24"/>
                                </w:rPr>
                                <w:t>28.1</w:t>
                              </w:r>
                            </w:sdtContent>
                          </w:sdt>
                          <w:r>
                            <w:rPr>
                              <w:szCs w:val="24"/>
                            </w:rPr>
                            <w:t>. 1 proc., jei persiuntimo patikimumo rodiklis, kuriam nustatytas minimalus lygis, pablogėjo ar pagerėjo nuo 5 iki 10 proc., palyginti su minimaliu lygiu;</w:t>
                          </w:r>
                        </w:p>
                      </w:sdtContent>
                    </w:sdt>
                    <w:sdt>
                      <w:sdtPr>
                        <w:alias w:val="28.2 pp."/>
                        <w:tag w:val="part_79f275d98fb14eabb0f0776109be814d"/>
                        <w:lock w:val="sdtLocked"/>
                        <w:richText/>
                      </w:sdtPr>
                      <w:sdtContent>
                        <w:p>
                          <w:pPr>
                            <w:tabs>
                              <w:tab w:val="left" w:pos="758"/>
                            </w:tabs>
                            <w:ind w:firstLine="758"/>
                            <w:jc w:val="both"/>
                            <w:rPr>
                              <w:szCs w:val="24"/>
                            </w:rPr>
                          </w:pPr>
                          <w:sdt>
                            <w:sdtPr>
                              <w:alias w:val="Numeris"/>
                              <w:tag w:val="nr_79f275d98fb14eabb0f0776109be814d"/>
                              <w:lock w:val="sdtLocked"/>
                              <w:richText/>
                            </w:sdtPr>
                            <w:sdtContent>
                              <w:r>
                                <w:rPr>
                                  <w:szCs w:val="24"/>
                                </w:rPr>
                                <w:t>28.2</w:t>
                              </w:r>
                            </w:sdtContent>
                          </w:sdt>
                          <w:r>
                            <w:rPr>
                              <w:szCs w:val="24"/>
                            </w:rPr>
                            <w:t>. 2 proc., jei persiuntimo patikimumo rodiklis, kuriam nustatytas minimalus lygis, pablogėjo ar pagerėjo daugiau nei 10 proc., palyginti su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29 p."/>
                    <w:tag w:val="part_4cb25da9c9d34685b3a6bad16c6e196c"/>
                    <w:lock w:val="sdtLocked"/>
                    <w:richText/>
                  </w:sdtPr>
                  <w:sdtContent>
                    <w:p>
                      <w:pPr>
                        <w:tabs>
                          <w:tab w:val="left" w:pos="1134"/>
                        </w:tabs>
                        <w:ind w:firstLine="709"/>
                        <w:jc w:val="both"/>
                        <w:rPr>
                          <w:szCs w:val="24"/>
                        </w:rPr>
                      </w:pPr>
                      <w:sdt>
                        <w:sdtPr>
                          <w:alias w:val="Numeris"/>
                          <w:tag w:val="nr_4cb25da9c9d34685b3a6bad16c6e196c"/>
                          <w:lock w:val="sdtLocked"/>
                          <w:richText/>
                        </w:sdtPr>
                        <w:sdtContent>
                          <w:r>
                            <w:rPr>
                              <w:szCs w:val="24"/>
                            </w:rPr>
                            <w:t>29</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periodo metų, o vėliau </w:t>
                      </w:r>
                      <w:r>
                        <w:rPr>
                          <w:color w:val="000000"/>
                        </w:rPr>
                        <w:t xml:space="preserve">– </w:t>
                      </w:r>
                      <w:r>
                        <w:rPr>
                          <w:szCs w:val="24"/>
                        </w:rPr>
                        <w:t xml:space="preserve">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7e2f6bd121b402bb88a80255f3dc008"/>
                        <w:lock w:val="sdtLocked"/>
                        <w:richText/>
                      </w:sdtPr>
                      <w:sdtContent>
                        <w:p>
                          <w:pPr>
                            <w:ind w:firstLine="720"/>
                            <w:jc w:val="both"/>
                          </w:pPr>
                          <w:sdt>
                            <w:sdtPr>
                              <w:alias w:val="Numeris"/>
                              <w:tag w:val="nr_a7e2f6bd121b402bb88a80255f3dc008"/>
                              <w:lock w:val="sdtLocked"/>
                              <w:richText/>
                            </w:sdtPr>
                            <w:sdtContent>
                              <w:r>
                                <w:rPr>
                                  <w:szCs w:val="24"/>
                                </w:rPr>
                                <w:t>29.5</w:t>
                              </w:r>
                            </w:sdtContent>
                          </w:sdt>
                          <w:r>
                            <w:rPr>
                              <w:szCs w:val="24"/>
                            </w:rPr>
                            <w:t>. praėjusių laikotarpių investicijų grąžos korekcijos, nustatytos Komisijos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29-1 p."/>
                    <w:tag w:val="part_9c7b2c38709241a29df9ea3d11f5bc28"/>
                    <w:lock w:val="sdtLocked"/>
                    <w:richText/>
                  </w:sdtPr>
                  <w:sdtContent>
                    <w:p>
                      <w:pPr>
                        <w:tabs>
                          <w:tab w:val="left" w:pos="758"/>
                        </w:tabs>
                        <w:ind w:firstLine="758"/>
                        <w:jc w:val="both"/>
                        <w:rPr>
                          <w:szCs w:val="24"/>
                        </w:rPr>
                      </w:pPr>
                      <w:sdt>
                        <w:sdtPr>
                          <w:alias w:val="Numeris"/>
                          <w:tag w:val="nr_9c7b2c38709241a29df9ea3d11f5bc28"/>
                          <w:lock w:val="sdtLocked"/>
                          <w:richText/>
                        </w:sdtPr>
                        <w:sdtContent>
                          <w:r>
                            <w:rPr>
                              <w:szCs w:val="24"/>
                            </w:rPr>
                            <w:t>29</w:t>
                          </w:r>
                          <w:r>
                            <w:rPr>
                              <w:szCs w:val="24"/>
                              <w:vertAlign w:val="superscript"/>
                            </w:rPr>
                            <w:t>1</w:t>
                          </w:r>
                        </w:sdtContent>
                      </w:sdt>
                      <w:r>
                        <w:rPr>
                          <w:szCs w:val="24"/>
                        </w:rPr>
                        <w:t xml:space="preserve">. Kai Metodikos 29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taikomas ½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df5518129592483d9d40246fa9f7bf45"/>
                        <w:lock w:val="sdtLocked"/>
                        <w:richText/>
                      </w:sdtPr>
                      <w:sdtContent>
                        <w:p>
                          <w:pPr>
                            <w:tabs>
                              <w:tab w:val="left" w:pos="1276"/>
                            </w:tabs>
                            <w:ind w:firstLine="709"/>
                            <w:jc w:val="both"/>
                          </w:pPr>
                          <w:sdt>
                            <w:sdtPr>
                              <w:alias w:val="Numeris"/>
                              <w:tag w:val="nr_df5518129592483d9d40246fa9f7bf45"/>
                              <w:lock w:val="sdtLocked"/>
                              <w:richText/>
                            </w:sdtPr>
                            <w:sdtContent>
                              <w:r>
                                <w:rPr>
                                  <w:szCs w:val="24"/>
                                </w:rPr>
                                <w:t>31.4</w:t>
                              </w:r>
                            </w:sdtContent>
                          </w:sdt>
                          <w:r>
                            <w:rPr>
                              <w:szCs w:val="24"/>
                            </w:rPr>
                            <w:t>. kitų Įmonių, galinčių daryti įtaką prognozuojamam kiekiui, plėtrą ir teisės aktuose nustatytus įpareigojimus.</w:t>
                          </w:r>
                        </w:p>
                      </w:sdtContent>
                    </w:sdt>
                    <w:sdt>
                      <w:sdtPr>
                        <w:alias w:val="31.5 pp."/>
                        <w:tag w:val="part_638184c85f004b72b3a20f383d5b5d01"/>
                        <w:lock w:val="sdtLocked"/>
                        <w:richText/>
                      </w:sdtPr>
                      <w:sdtContent>
                        <w:p>
                          <w:pPr>
                            <w:tabs>
                              <w:tab w:val="left" w:pos="1276"/>
                            </w:tabs>
                            <w:ind w:firstLine="709"/>
                            <w:jc w:val="both"/>
                          </w:pPr>
                          <w:sdt>
                            <w:sdtPr>
                              <w:alias w:val="Numeris"/>
                              <w:tag w:val="nr_638184c85f004b72b3a20f383d5b5d01"/>
                              <w:lock w:val="sdtLocked"/>
                              <w:richText/>
                            </w:sdtPr>
                            <w:sdtContent>
                              <w:r>
                                <w:rPr>
                                  <w:szCs w:val="24"/>
                                </w:rPr>
                                <w:t>31.5</w:t>
                              </w:r>
                            </w:sdtContent>
                          </w:sdt>
                          <w:r>
                            <w:rPr>
                              <w:szCs w:val="24"/>
                            </w:rPr>
                            <w:t>. elektros energijos rinkos tiekimo liberalizavimo įtaką visuomeninio tiekimo paslaugos poreikiui (tik visuomeninio tiekimo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31-1 p."/>
                    <w:tag w:val="part_3bc7b9fbf96b403c9fe7b863af93e9b2"/>
                    <w:lock w:val="sdtLocked"/>
                    <w:richText/>
                  </w:sdtPr>
                  <w:sdtContent>
                    <w:p>
                      <w:pPr>
                        <w:ind w:firstLine="720"/>
                        <w:jc w:val="both"/>
                      </w:pPr>
                      <w:sdt>
                        <w:sdtPr>
                          <w:alias w:val="Numeris"/>
                          <w:tag w:val="nr_3bc7b9fbf96b403c9fe7b863af93e9b2"/>
                          <w:lock w:val="sdtLocked"/>
                          <w:richText/>
                        </w:sdtPr>
                        <w:sdtContent>
                          <w:r>
                            <w:rPr>
                              <w:bCs/>
                              <w:color w:val="000000"/>
                              <w:szCs w:val="24"/>
                              <w:lang w:eastAsia="lt-LT"/>
                            </w:rPr>
                            <w:t>31</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paslaugos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elektros energijos tiekimo paslaugos kaštai ir gaunamos garantinio elektros energijos tiekimo paslaugos pajamos.</w:t>
                      </w:r>
                      <w:r>
                        <w:t xml:space="preserve"> </w:t>
                      </w:r>
                    </w:p>
                    <w:p>
                      <w:pPr>
                        <w:jc w:val="both"/>
                        <w:rPr>
                          <w:szCs w:val="24"/>
                        </w:rPr>
                      </w:pPr>
                      <w:r>
                        <w:rPr>
                          <w:b/>
                          <w:i/>
                          <w:sz w:val="20"/>
                        </w:rPr>
                        <w:t>TAR pastaba.</w:t>
                      </w:r>
                      <w:r>
                        <w:rPr>
                          <w:i/>
                          <w:sz w:val="20"/>
                        </w:rPr>
                        <w:t xml:space="preserve"> 31</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dacf653e81004660b37069d2fad4c680"/>
                            <w:lock w:val="sdtLocked"/>
                            <w:richText/>
                          </w:sdtPr>
                          <w:sdtContent>
                            <w:p>
                              <w:pPr>
                                <w:ind w:firstLine="720"/>
                                <w:jc w:val="both"/>
                                <w:rPr>
                                  <w:szCs w:val="24"/>
                                </w:rPr>
                              </w:pPr>
                              <w:sdt>
                                <w:sdtPr>
                                  <w:alias w:val="Numeris"/>
                                  <w:tag w:val="nr_dacf653e81004660b37069d2fad4c680"/>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 (kapitalo kaštus skaičiuojant neatėmus dotacijomis, subsidijomis, Europos Sąjungos struktūrinių fondų lėšomis, elektros energijos vartotojų ir gamintojų lėšomis finansuojamo turto vertės);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fa0d36174aeb48babff4a69062fc9833"/>
                        <w:lock w:val="sdtLocked"/>
                        <w:richText/>
                      </w:sdtPr>
                      <w:sdtContent>
                        <w:p>
                          <w:pPr>
                            <w:pStyle w:val="PlainText"/>
                            <w:ind w:firstLine="567"/>
                            <w:jc w:val="both"/>
                            <w:rPr>
                              <w:rFonts w:ascii="Times New Roman" w:hAnsi="Times New Roman"/>
                              <w:b/>
                              <w:bCs/>
                              <w:sz w:val="22"/>
                            </w:rPr>
                          </w:pPr>
                          <w:r>
                            <w:rPr>
                              <w:rFonts w:ascii="Times New Roman" w:hAnsi="Times New Roman"/>
                              <w:sz w:val="22"/>
                            </w:rPr>
                            <w:t>33.5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d5997ea059b64a2dacef8ff410bbc5a3"/>
                        <w:lock w:val="sdtLocked"/>
                        <w:richText/>
                      </w:sdtPr>
                      <w:sdtContent>
                        <w:p>
                          <w:pPr>
                            <w:tabs>
                              <w:tab w:val="left" w:pos="1276"/>
                              <w:tab w:val="left" w:pos="1843"/>
                              <w:tab w:val="left" w:pos="2268"/>
                            </w:tabs>
                            <w:ind w:firstLine="709"/>
                            <w:jc w:val="both"/>
                          </w:pPr>
                          <w:sdt>
                            <w:sdtPr>
                              <w:alias w:val="Numeris"/>
                              <w:tag w:val="nr_d5997ea059b64a2dacef8ff410bbc5a3"/>
                              <w:lock w:val="sdtLocked"/>
                              <w:richText/>
                            </w:sdtPr>
                            <w:sdtContent>
                              <w:r>
                                <w:rPr>
                                  <w:szCs w:val="24"/>
                                </w:rPr>
                                <w:t>33.6</w:t>
                              </w:r>
                            </w:sdtContent>
                          </w:sdt>
                          <w:r>
                            <w:rPr>
                              <w:szCs w:val="24"/>
                            </w:rPr>
                            <w:t>. dėl mokesčių dydžio pokyčių ir (ar) atsiradus (panaikinus) naujiems mokesčiams;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7 p."/>
                        <w:tag w:val="part_ea8bab7caacf49a098122e57546e0317"/>
                        <w:lock w:val="sdtLocked"/>
                        <w:richText/>
                      </w:sdtPr>
                      <w:sdtContent>
                        <w:p>
                          <w:pPr>
                            <w:ind w:firstLine="720"/>
                            <w:jc w:val="both"/>
                          </w:pPr>
                          <w:sdt>
                            <w:sdtPr>
                              <w:alias w:val="Numeris"/>
                              <w:tag w:val="nr_ea8bab7caacf49a098122e57546e0317"/>
                              <w:lock w:val="sdtLocked"/>
                              <w:richText/>
                            </w:sdtPr>
                            <w:sdtContent>
                              <w:r>
                                <w:rPr>
                                  <w:szCs w:val="24"/>
                                </w:rPr>
                                <w:t>33.7</w:t>
                              </w:r>
                            </w:sdtContent>
                          </w:sdt>
                          <w:r>
                            <w:rPr>
                              <w:szCs w:val="24"/>
                            </w:rPr>
                            <w:t>. dėl kaštų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a851d312b29458a9961e931076c5149"/>
                        <w:lock w:val="sdtLocked"/>
                        <w:richText/>
                      </w:sdtPr>
                      <w:sdtContent>
                        <w:p>
                          <w:pPr>
                            <w:ind w:firstLine="720"/>
                            <w:jc w:val="both"/>
                          </w:pPr>
                          <w:sdt>
                            <w:sdtPr>
                              <w:alias w:val="Numeris"/>
                              <w:tag w:val="nr_3a851d312b29458a9961e931076c5149"/>
                              <w:lock w:val="sdtLocked"/>
                              <w:richText/>
                            </w:sdtPr>
                            <w:sdtContent>
                              <w:r>
                                <w:rPr>
                                  <w:szCs w:val="24"/>
                                </w:rPr>
                                <w:t>33.9</w:t>
                              </w:r>
                            </w:sdtContent>
                          </w:sdt>
                          <w:r>
                            <w:rPr>
                              <w:szCs w:val="24"/>
                            </w:rPr>
                            <w:t>. dėl nurašomo, perleidžiamo, išimamo iš eksploatacijos, bet į Modelį įtraukto neoptimizuotino turto, kaštų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0 p."/>
                        <w:tag w:val="part_66591517dc6b49eea428145f43cfd76d"/>
                        <w:lock w:val="sdtLocked"/>
                        <w:richText/>
                      </w:sdtPr>
                      <w:sdtContent>
                        <w:p>
                          <w:pPr>
                            <w:ind w:firstLine="720"/>
                            <w:jc w:val="both"/>
                          </w:pPr>
                          <w:sdt>
                            <w:sdtPr>
                              <w:alias w:val="Numeris"/>
                              <w:tag w:val="nr_66591517dc6b49eea428145f43cfd76d"/>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1 p."/>
                        <w:tag w:val="part_1e8a39d226eb44d48d81d807b3d162ca"/>
                        <w:lock w:val="sdtLocked"/>
                        <w:richText/>
                      </w:sdtPr>
                      <w:sdtContent>
                        <w:p>
                          <w:pPr>
                            <w:ind w:firstLine="720"/>
                            <w:jc w:val="both"/>
                          </w:pPr>
                          <w:sdt>
                            <w:sdtPr>
                              <w:alias w:val="Numeris"/>
                              <w:tag w:val="nr_1e8a39d226eb44d48d81d807b3d162ca"/>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d1f202d99ebd4f01a3cec3ad9a7591e4"/>
                        <w:lock w:val="sdtLocked"/>
                        <w:richText/>
                      </w:sdtPr>
                      <w:sdtContent>
                        <w:p>
                          <w:pPr>
                            <w:ind w:firstLine="720"/>
                            <w:jc w:val="both"/>
                          </w:pPr>
                          <w:sdt>
                            <w:sdtPr>
                              <w:alias w:val="Numeris"/>
                              <w:tag w:val="nr_d1f202d99ebd4f01a3cec3ad9a7591e4"/>
                              <w:lock w:val="sdtLocked"/>
                              <w:richText/>
                            </w:sdtPr>
                            <w:sdtContent>
                              <w:r>
                                <w:rPr>
                                  <w:szCs w:val="24"/>
                                </w:rPr>
                                <w:t>33.13</w:t>
                              </w:r>
                            </w:sdtContent>
                          </w:sdt>
                          <w:r>
                            <w:rPr>
                              <w:szCs w:val="24"/>
                            </w:rPr>
                            <w:t>. dėl pajamų iš elektros energijos tarptautinio tranzito ir įėjimo į Lietuvos Respublikos elektros energijos rinką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4 p."/>
                        <w:tag w:val="part_82e6df68dc3a46cbb740862b33633436"/>
                        <w:lock w:val="sdtLocked"/>
                        <w:richText/>
                      </w:sdtPr>
                      <w:sdtContent>
                        <w:p>
                          <w:pPr>
                            <w:ind w:firstLine="720"/>
                            <w:jc w:val="both"/>
                          </w:pPr>
                          <w:sdt>
                            <w:sdtPr>
                              <w:alias w:val="Numeris"/>
                              <w:tag w:val="nr_82e6df68dc3a46cbb740862b33633436"/>
                              <w:lock w:val="sdtLocked"/>
                              <w:richText/>
                            </w:sdtPr>
                            <w:sdtContent>
                              <w:r>
                                <w:rPr>
                                  <w:szCs w:val="24"/>
                                </w:rPr>
                                <w:t>33.14</w:t>
                              </w:r>
                            </w:sdtContent>
                          </w:sdt>
                          <w:r>
                            <w:rPr>
                              <w:szCs w:val="24"/>
                            </w:rPr>
                            <w:t>. dėl PSO nacionalinės balansavimo funkcijos veiklos rezultato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797371b043b24e43a82a3b30cf58d3ec"/>
                        <w:lock w:val="sdtLocked"/>
                        <w:richText/>
                      </w:sdtPr>
                      <w:sdtContent>
                        <w:p>
                          <w:pPr>
                            <w:pStyle w:val="PlainText"/>
                            <w:ind w:firstLine="567"/>
                            <w:jc w:val="both"/>
                            <w:rPr>
                              <w:rFonts w:ascii="Times New Roman" w:hAnsi="Times New Roman"/>
                              <w:b/>
                              <w:bCs/>
                              <w:sz w:val="22"/>
                            </w:rPr>
                          </w:pPr>
                          <w:r>
                            <w:rPr>
                              <w:rFonts w:ascii="Times New Roman" w:hAnsi="Times New Roman"/>
                              <w:sz w:val="22"/>
                            </w:rPr>
                            <w:t>33.16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0f6fee6e1c634f4ebf1973248b3a220e"/>
                    <w:lock w:val="sdtLocked"/>
                    <w:richText/>
                  </w:sdtPr>
                  <w:sdtContent>
                    <w:p>
                      <w:pPr>
                        <w:tabs>
                          <w:tab w:val="left" w:pos="1080"/>
                          <w:tab w:val="left" w:pos="1843"/>
                          <w:tab w:val="left" w:pos="2268"/>
                        </w:tabs>
                        <w:ind w:firstLine="720"/>
                        <w:jc w:val="both"/>
                        <w:rPr>
                          <w:szCs w:val="24"/>
                        </w:rPr>
                      </w:pPr>
                      <w:sdt>
                        <w:sdtPr>
                          <w:alias w:val="Numeris"/>
                          <w:tag w:val="nr_0f6fee6e1c634f4ebf1973248b3a220e"/>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b7cec5ccb5a44882bbaf0c068ab10583"/>
                    <w:lock w:val="sdtLocked"/>
                    <w:richText/>
                  </w:sdtPr>
                  <w:sdtContent>
                    <w:p>
                      <w:pPr>
                        <w:tabs>
                          <w:tab w:val="left" w:pos="1080"/>
                          <w:tab w:val="left" w:pos="1843"/>
                          <w:tab w:val="left" w:pos="2268"/>
                        </w:tabs>
                        <w:ind w:firstLine="720"/>
                        <w:jc w:val="both"/>
                        <w:rPr>
                          <w:szCs w:val="24"/>
                        </w:rPr>
                      </w:pPr>
                      <w:sdt>
                        <w:sdtPr>
                          <w:alias w:val="Numeris"/>
                          <w:tag w:val="nr_b7cec5ccb5a44882bbaf0c068ab10583"/>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110,</m:t>
                            </m:r>
                            <m:r>
                              <w:rPr>
                                <w:rFonts w:ascii="Cambria Math" w:hAnsi="Cambria Math"/>
                              </w:rPr>
                              <m:t>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04664794c85b41648553cb16f642d0e5"/>
                    <w:lock w:val="sdtLocked"/>
                    <w:richText/>
                  </w:sdtPr>
                  <w:sdtContent>
                    <w:p>
                      <w:pPr>
                        <w:tabs>
                          <w:tab w:val="right" w:pos="9639"/>
                        </w:tabs>
                        <w:ind w:firstLine="709"/>
                        <w:jc w:val="both"/>
                        <w:rPr>
                          <w:szCs w:val="22"/>
                        </w:rPr>
                      </w:pPr>
                      <w:sdt>
                        <w:sdtPr>
                          <w:alias w:val="Numeris"/>
                          <w:tag w:val="nr_04664794c85b41648553cb16f642d0e5"/>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m:t>
                            </m:r>
                            <m:r>
                              <w:rPr>
                                <w:rFonts w:ascii="Cambria Math" w:hAnsi="Cambria Math"/>
                                <w:vertAlign w:val="subscript"/>
                              </w:rPr>
                              <m:t>110,</m:t>
                            </m:r>
                            <m:r>
                              <w:rPr>
                                <w:rFonts w:ascii="Cambria Math" w:hAnsi="Cambria Math"/>
                                <w:vertAlign w:val="subscript"/>
                              </w:rPr>
                              <m:t>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3c6c65ae595041d0a49e01afd9f06a7c"/>
                    <w:lock w:val="sdtLocked"/>
                    <w:richText/>
                  </w:sdtPr>
                  <w:sdtContent>
                    <w:p>
                      <w:pPr>
                        <w:tabs>
                          <w:tab w:val="left" w:pos="709"/>
                        </w:tabs>
                        <w:ind w:firstLine="709"/>
                        <w:jc w:val="both"/>
                        <w:rPr>
                          <w:szCs w:val="24"/>
                        </w:rPr>
                      </w:pPr>
                      <w:sdt>
                        <w:sdtPr>
                          <w:alias w:val="Numeris"/>
                          <w:tag w:val="nr_3c6c65ae595041d0a49e01afd9f06a7c"/>
                          <w:lock w:val="sdtLocked"/>
                          <w:richText/>
                        </w:sdtPr>
                        <w:sdtContent>
                          <w:r>
                            <w:rPr>
                              <w:szCs w:val="24"/>
                            </w:rPr>
                            <w:t>41</w:t>
                          </w:r>
                          <w:r>
                            <w:rPr>
                              <w:szCs w:val="24"/>
                              <w:vertAlign w:val="superscript"/>
                            </w:rPr>
                            <w:t>2</w:t>
                          </w:r>
                        </w:sdtContent>
                      </w:sdt>
                      <w:r>
                        <w:rPr>
                          <w:szCs w:val="24"/>
                        </w:rPr>
                        <w:t>. Naudojimosi jungiamosiomis linijomis paslaugų kaina t metais apskaičiuojama pagal formulę:</w:t>
                      </w:r>
                    </w:p>
                    <w:p>
                      <w:pPr>
                        <w:tabs>
                          <w:tab w:val="left" w:pos="6237"/>
                          <w:tab w:val="left" w:pos="8505"/>
                        </w:tabs>
                        <w:jc w:val="cente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m:t>
                            </m:r>
                            <m:r>
                              <w:rPr>
                                <w:rFonts w:ascii="Cambria Math" w:hAnsi="Cambria Math"/>
                              </w:rPr>
                              <m:t>110,</m:t>
                            </m:r>
                            <m:r>
                              <w:rPr>
                                <w:rFonts w:ascii="Cambria Math" w:hAnsi="Cambria Math"/>
                              </w:rPr>
                              <m:t>t</m:t>
                            </m:r>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NJL110,t-2</m:t>
                            </m:r>
                            <m:r>
                              <m:rPr>
                                <m:sty m:val="p"/>
                              </m:rPr>
                              <w:rPr>
                                <w:rFonts w:ascii="Cambria Math" w:hAnsi="Cambria Math"/>
                              </w:rPr>
                              <m:t xml:space="preserve"> </m:t>
                            </m:r>
                          </m:sub>
                        </m:sSub>
                      </m:oMath>
                      <w:r>
                        <w:tab/>
                        <w:tab/>
                        <w:t>(17</w:t>
                      </w:r>
                      <w:r>
                        <w:rPr>
                          <w:vertAlign w:val="superscript"/>
                        </w:rPr>
                        <w:t>2</w:t>
                      </w:r>
                      <w:r>
                        <w:t>)</w:t>
                      </w:r>
                    </w:p>
                    <w:p>
                      <w:pPr>
                        <w:tabs>
                          <w:tab w:val="right" w:pos="9639"/>
                        </w:tabs>
                        <w:ind w:firstLine="709"/>
                        <w:jc w:val="both"/>
                      </w:pPr>
                    </w:p>
                    <w:p>
                      <w:pPr>
                        <w:tabs>
                          <w:tab w:val="right" w:pos="9639"/>
                        </w:tabs>
                        <w:ind w:firstLine="709"/>
                        <w:jc w:val="both"/>
                      </w:pPr>
                      <w:r>
                        <w:t>čia:</w:t>
                      </w:r>
                    </w:p>
                    <w:p>
                      <w:pPr>
                        <w:tabs>
                          <w:tab w:val="right" w:pos="9639"/>
                        </w:tabs>
                        <w:ind w:firstLine="709"/>
                        <w:jc w:val="both"/>
                      </w:pPr>
                      <w:r>
                        <w:t>NJL</w:t>
                      </w:r>
                      <w:r>
                        <w:rPr>
                          <w:vertAlign w:val="subscript"/>
                        </w:rPr>
                        <w:t>s</w:t>
                      </w:r>
                      <w:r>
                        <w:rPr>
                          <w:i/>
                          <w:vertAlign w:val="subscript"/>
                        </w:rPr>
                        <w:t>110</w:t>
                      </w:r>
                      <w:r>
                        <w:rPr>
                          <w:vertAlign w:val="subscript"/>
                        </w:rPr>
                        <w:t>,</w:t>
                      </w:r>
                      <w:r>
                        <w:rPr>
                          <w:i/>
                          <w:vertAlign w:val="subscript"/>
                        </w:rPr>
                        <w:t>t</w:t>
                      </w:r>
                      <w:r>
                        <w:t xml:space="preserve"> – naudojimosi jungiamųjų linijų paslaugomis sąnaudos t-2 metais, Eur.</w:t>
                      </w:r>
                    </w:p>
                    <w:p>
                      <w:pPr>
                        <w:tabs>
                          <w:tab w:val="right" w:pos="9639"/>
                        </w:tabs>
                        <w:ind w:firstLine="709"/>
                        <w:jc w:val="both"/>
                      </w:pPr>
                    </w:p>
                    <w:p>
                      <w:pPr>
                        <w:tabs>
                          <w:tab w:val="right" w:pos="9639"/>
                        </w:tabs>
                        <w:ind w:firstLine="709"/>
                        <w:jc w:val="both"/>
                      </w:pPr>
                      <w:r>
                        <w:t>Naudojimosi jungiamųjų linijų paslaugomis sąnaudos t-2 metais apskaičiuojamos vadovaujantis Aprašu pagal PSO pateiktus t-2 metų duomenis.</w:t>
                      </w:r>
                    </w:p>
                    <w:p>
                      <w:pPr>
                        <w:tabs>
                          <w:tab w:val="right" w:pos="9639"/>
                        </w:tabs>
                        <w:ind w:firstLine="709"/>
                        <w:jc w:val="both"/>
                        <w:rPr>
                          <w:szCs w:val="24"/>
                        </w:rPr>
                      </w:pPr>
                      <w:r>
                        <w:rPr>
                          <w:szCs w:val="24"/>
                        </w:rPr>
                        <w:t xml:space="preserve">Į naudojimosi jungiamųjų linijų paslaugomis sąnaudas neįtraukiami patiriami kaštai pagal </w:t>
                      </w:r>
                      <w:r>
                        <w:rPr>
                          <w:iCs/>
                          <w:szCs w:val="24"/>
                        </w:rPr>
                        <w:t>ITC</w:t>
                      </w:r>
                      <w:r>
                        <w:rPr>
                          <w:szCs w:val="24"/>
                        </w:rPr>
                        <w:t xml:space="preserve"> mechanizmą.</w:t>
                      </w:r>
                    </w:p>
                    <w:p>
                      <w:pPr>
                        <w:tabs>
                          <w:tab w:val="right" w:pos="9639"/>
                        </w:tabs>
                        <w:ind w:firstLine="709"/>
                        <w:jc w:val="both"/>
                      </w:pPr>
                      <w:r>
                        <w:t>Kai naudojimosi jungiamųjų linijų paslaugomis (elektros energijos eksporto į trečiąsias šalis) apimtis t-2 metais yra lygi nuliui, t metais naudojimosi jungiamosiomis linijomis paslaugų kaina nustatoma pagal Metodikos 41</w:t>
                      </w:r>
                      <w:r>
                        <w:rPr>
                          <w:vertAlign w:val="superscript"/>
                        </w:rPr>
                        <w:t>3</w:t>
                      </w:r>
                      <w:r>
                        <w:t xml:space="preserve"> punkte apibrėžtus principus.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1-3 p."/>
                    <w:tag w:val="part_381fa72013c54620bb790389fe61cd37"/>
                    <w:lock w:val="sdtLocked"/>
                    <w:richText/>
                  </w:sdtPr>
                  <w:sdtContent>
                    <w:p>
                      <w:pPr>
                        <w:tabs>
                          <w:tab w:val="right" w:pos="9639"/>
                        </w:tabs>
                        <w:ind w:firstLine="709"/>
                        <w:jc w:val="both"/>
                        <w:rPr>
                          <w:szCs w:val="24"/>
                        </w:rPr>
                      </w:pPr>
                      <w:sdt>
                        <w:sdtPr>
                          <w:alias w:val="Numeris"/>
                          <w:tag w:val="nr_381fa72013c54620bb790389fe61cd37"/>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m:t>
                                </m:r>
                                <m:r>
                                  <w:rPr>
                                    <w:rFonts w:ascii="Cambria Math" w:hAnsi="Cambria Math"/>
                                  </w:rPr>
                                  <m:t>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m:t>
                                </m:r>
                                <m:r>
                                  <w:rPr>
                                    <w:rFonts w:ascii="Cambria Math" w:hAnsi="Cambria Math"/>
                                  </w:rPr>
                                  <m:t xml:space="preserve"> 110,</m:t>
                                </m:r>
                                <m:r>
                                  <w:rPr>
                                    <w:rFonts w:ascii="Cambria Math" w:hAnsi="Cambria Math"/>
                                  </w:rPr>
                                  <m:t>t</m:t>
                                </m:r>
                              </m:sub>
                            </m:sSub>
                          </m:num>
                          <m:den>
                            <m:sSub>
                              <m:sSubPr>
                                <m:ctrlPr>
                                  <w:rPr>
                                    <w:rFonts w:ascii="Cambria Math" w:hAnsi="Cambria Math"/>
                                    <w:i/>
                                  </w:rPr>
                                </m:ctrlPr>
                              </m:sSubPr>
                              <m:e>
                                <m:r>
                                  <w:rPr>
                                    <w:rFonts w:ascii="Cambria Math" w:hAnsi="Cambria Math"/>
                                  </w:rPr>
                                  <m:t>EE</m:t>
                                </m:r>
                              </m:e>
                              <m:sub>
                                <m:r>
                                  <w:rPr>
                                    <w:rFonts w:ascii="Cambria Math" w:hAnsi="Cambria Math"/>
                                  </w:rPr>
                                  <m:t>NJL</m:t>
                                </m:r>
                                <m:r>
                                  <w:rPr>
                                    <w:rFonts w:ascii="Cambria Math" w:hAnsi="Cambria Math"/>
                                  </w:rPr>
                                  <m:t>110,</m:t>
                                </m:r>
                                <m:r>
                                  <w:rPr>
                                    <w:rFonts w:ascii="Cambria Math" w:hAnsi="Cambria Math"/>
                                  </w:rPr>
                                  <m:t>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13182d181ffe4a759299e9803af06085"/>
                <w:lock w:val="sdtLocked"/>
                <w:richText/>
              </w:sdtPr>
              <w:sdtContent>
                <w:p>
                  <w:pPr>
                    <w:keepNext/>
                    <w:keepLines/>
                    <w:tabs>
                      <w:tab w:val="left" w:pos="1134"/>
                      <w:tab w:val="left" w:pos="1843"/>
                      <w:tab w:val="left" w:pos="2268"/>
                    </w:tabs>
                    <w:jc w:val="center"/>
                    <w:outlineLvl w:val="1"/>
                    <w:rPr>
                      <w:b/>
                      <w:bCs/>
                      <w:szCs w:val="24"/>
                    </w:rPr>
                  </w:pPr>
                  <w:sdt>
                    <w:sdtPr>
                      <w:alias w:val="Numeris"/>
                      <w:tag w:val="nr_13182d181ffe4a759299e9803af06085"/>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13182d181ffe4a759299e9803af06085"/>
                      <w:lock w:val="sdtLocked"/>
                      <w:richText/>
                    </w:sdtPr>
                    <w:sdtContent>
                      <w:r>
                        <w:rPr>
                          <w:b/>
                          <w:bCs/>
                          <w:szCs w:val="24"/>
                        </w:rPr>
                        <w:t>PERDAVIMO PASLAUGOS AUKŠTOS ĮTAMPOS TINKLAIS KAINOS VIRŠUTINĖS RIBOS NUSTATYMAS IR KOREGAVIMAS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42 p."/>
                    <w:tag w:val="part_864be8c0cd0944e0a219cbd1b58e82d6"/>
                    <w:lock w:val="sdtLocked"/>
                    <w:richText/>
                  </w:sdtPr>
                  <w:sdtContent>
                    <w:p>
                      <w:pPr>
                        <w:tabs>
                          <w:tab w:val="left" w:pos="1134"/>
                        </w:tabs>
                        <w:ind w:firstLine="709"/>
                        <w:jc w:val="both"/>
                        <w:rPr>
                          <w:szCs w:val="24"/>
                        </w:rPr>
                      </w:pPr>
                      <w:sdt>
                        <w:sdtPr>
                          <w:alias w:val="Numeris"/>
                          <w:tag w:val="nr_864be8c0cd0944e0a219cbd1b58e82d6"/>
                          <w:lock w:val="sdtLocked"/>
                          <w:richText/>
                        </w:sdtPr>
                        <w:sdtContent>
                          <w:r>
                            <w:rPr>
                              <w:szCs w:val="24"/>
                            </w:rPr>
                            <w:t>42</w:t>
                          </w:r>
                        </w:sdtContent>
                      </w:sdt>
                      <w:r>
                        <w:rPr>
                          <w:szCs w:val="24"/>
                        </w:rPr>
                        <w:t>. Elektros energijos perdavimo aukštos įtampos tinklais paslaugos kainos viršutinė riba visam reguliavimo periodui (įskaitant reguliavimo periodo pratęsimą)</w:t>
                      </w:r>
                      <w:r>
                        <w:rPr>
                          <w:b/>
                          <w:bCs/>
                          <w:szCs w:val="24"/>
                        </w:rPr>
                        <w:t xml:space="preserve"> </w:t>
                      </w:r>
                      <w:r>
                        <w:rPr>
                          <w:szCs w:val="24"/>
                        </w:rPr>
                        <w:t>apskaičiuojama galutines pirmiems reguliavimo periodo metams PSO leidžiamas pajamas padalijus iš planuojamo perduoti elektros energijos kiekio šalies poreikiams ir apskaičiuojama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3 p."/>
                    <w:tag w:val="part_c19ec538559349e686b00869e1b8be60"/>
                    <w:lock w:val="sdtLocked"/>
                    <w:richText/>
                  </w:sdtPr>
                  <w:sdtContent>
                    <w:p>
                      <w:pPr>
                        <w:tabs>
                          <w:tab w:val="left" w:pos="1134"/>
                        </w:tabs>
                        <w:ind w:firstLine="709"/>
                        <w:jc w:val="both"/>
                        <w:rPr>
                          <w:szCs w:val="24"/>
                        </w:rPr>
                      </w:pPr>
                      <w:sdt>
                        <w:sdtPr>
                          <w:alias w:val="Numeris"/>
                          <w:tag w:val="nr_c19ec538559349e686b00869e1b8be60"/>
                          <w:lock w:val="sdtLocked"/>
                          <w:richText/>
                        </w:sdt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ir kapitalo kaštų pokyčių bei prognozuojamo perduoti elektros energijos kiekio. Bazinės PSO leidžiamos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tačiau ne mažesniu dydžiu mažinančių kitus kaštus, ir šiems sprendimams yra pritarusi Reguliuojančioji institucija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4 p."/>
                    <w:tag w:val="part_e3484599d7e14f868b2553b1d5e44b29"/>
                    <w:lock w:val="sdtLocked"/>
                    <w:richText/>
                  </w:sdtPr>
                  <w:sdtContent>
                    <w:p>
                      <w:pPr>
                        <w:tabs>
                          <w:tab w:val="left" w:pos="1080"/>
                          <w:tab w:val="left" w:pos="1843"/>
                          <w:tab w:val="left" w:pos="2268"/>
                        </w:tabs>
                        <w:ind w:firstLine="720"/>
                        <w:jc w:val="both"/>
                        <w:rPr>
                          <w:szCs w:val="24"/>
                        </w:rPr>
                      </w:pPr>
                      <w:sdt>
                        <w:sdtPr>
                          <w:alias w:val="Numeris"/>
                          <w:tag w:val="nr_e3484599d7e14f868b2553b1d5e44b29"/>
                          <w:lock w:val="sdtLocked"/>
                          <w:richText/>
                        </w:sdtPr>
                        <w:sdtContent>
                          <w:r>
                            <w:rPr>
                              <w:szCs w:val="24"/>
                            </w:rPr>
                            <w:t>44</w:t>
                          </w:r>
                        </w:sdtContent>
                      </w:sdt>
                      <w:r>
                        <w:rPr>
                          <w:szCs w:val="24"/>
                        </w:rPr>
                        <w:t xml:space="preserve">. Koreguotos </w:t>
                      </w:r>
                      <w:r>
                        <w:rPr>
                          <w:i/>
                          <w:szCs w:val="24"/>
                        </w:rPr>
                        <w:t>t</w:t>
                      </w:r>
                      <w:r>
                        <w:rPr>
                          <w:szCs w:val="24"/>
                        </w:rPr>
                        <w:t xml:space="preserve"> metų PSO leidžiamos pajamos apskaičiuojamos pagal formulę:</w:t>
                      </w:r>
                    </w:p>
                    <w:p>
                      <w:pPr>
                        <w:tabs>
                          <w:tab w:val="left" w:pos="1080"/>
                          <w:tab w:val="left" w:pos="1843"/>
                          <w:tab w:val="left" w:pos="2268"/>
                        </w:tabs>
                        <w:ind w:firstLine="720"/>
                        <w:jc w:val="both"/>
                        <w:rPr>
                          <w:szCs w:val="24"/>
                        </w:rPr>
                      </w:pPr>
                    </w:p>
                    <w:p>
                      <w:pPr>
                        <w:tabs>
                          <w:tab w:val="left" w:pos="142"/>
                          <w:tab w:val="left" w:pos="8789"/>
                          <w:tab w:val="left" w:pos="8931"/>
                        </w:tabs>
                        <w:ind w:right="-143" w:firstLine="142"/>
                        <w:jc w:val="both"/>
                        <w:rPr>
                          <w:sz w:val="22"/>
                          <w:szCs w:val="22"/>
                        </w:rPr>
                      </w:pPr>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r>
                              <w:rPr>
                                <w:rFonts w:ascii="Cambria Math" w:hAnsi="Cambria Math"/>
                              </w:rPr>
                              <m:t>'</m:t>
                            </m:r>
                          </m:e>
                          <m:sub>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r>
                              <w:rPr>
                                <w:rFonts w:ascii="Cambria Math" w:hAnsi="Cambria Math"/>
                              </w:rPr>
                              <m:t>'</m:t>
                            </m:r>
                          </m:e>
                          <m:sub>
                            <m:d>
                              <m:dPr>
                                <m:ctrlPr>
                                  <w:rPr>
                                    <w:rFonts w:ascii="Cambria Math" w:hAnsi="Cambria Math"/>
                                    <w:i/>
                                  </w:rPr>
                                </m:ctrlPr>
                              </m:dPr>
                              <m:e>
                                <m:r>
                                  <w:rPr>
                                    <w:rFonts w:ascii="Cambria Math" w:hAnsi="Cambria Math"/>
                                  </w:rPr>
                                  <m:t>DU</m:t>
                                </m:r>
                              </m:e>
                            </m:d>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110,</m:t>
                                </m:r>
                                <m:r>
                                  <w:rPr>
                                    <w:rFonts w:ascii="Cambria Math" w:hAnsi="Cambria Math"/>
                                  </w:rPr>
                                  <m:t>t</m:t>
                                </m:r>
                              </m:sub>
                            </m:sSub>
                            <m:r>
                              <w:rPr>
                                <w:rFonts w:ascii="Cambria Math" w:hAnsi="Cambria Math"/>
                              </w:rPr>
                              <m:t xml:space="preserve">+ </m:t>
                            </m:r>
                            <m:r>
                              <w:rPr>
                                <w:rFonts w:ascii="Cambria Math" w:hAnsi="Cambria Math"/>
                              </w:rPr>
                              <m:t>ROI</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110,</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 xml:space="preserve"> </m:t>
                        </m:r>
                      </m:oMath>
                      <w:r>
                        <w:rPr>
                          <w:sz w:val="22"/>
                          <w:szCs w:val="22"/>
                        </w:rPr>
                        <w:t>(18)</w:t>
                      </w:r>
                    </w:p>
                    <w:p>
                      <w:pPr>
                        <w:tabs>
                          <w:tab w:val="left" w:pos="1080"/>
                          <w:tab w:val="left" w:pos="1843"/>
                          <w:tab w:val="left" w:pos="2268"/>
                        </w:tabs>
                        <w:ind w:firstLine="720"/>
                        <w:jc w:val="both"/>
                        <w:rPr>
                          <w:szCs w:val="24"/>
                        </w:rPr>
                      </w:pPr>
                    </w:p>
                    <w:p>
                      <w:pPr>
                        <w:tabs>
                          <w:tab w:val="left" w:pos="1080"/>
                          <w:tab w:val="left" w:pos="1843"/>
                          <w:tab w:val="left" w:pos="2268"/>
                        </w:tabs>
                        <w:ind w:firstLine="720"/>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metų PSO leidžiamos pajamos, EUR;</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(be DU)110,t</w:t>
                      </w:r>
                      <w:r>
                        <w:rPr>
                          <w:szCs w:val="24"/>
                          <w:lang w:eastAsia="lt-LT"/>
                        </w:rPr>
                        <w:t xml:space="preserve"> – koreguoti </w:t>
                      </w:r>
                      <w:r>
                        <w:rPr>
                          <w:i/>
                          <w:szCs w:val="24"/>
                          <w:lang w:eastAsia="lt-LT"/>
                        </w:rPr>
                        <w:t>t</w:t>
                      </w:r>
                      <w:r>
                        <w:rPr>
                          <w:szCs w:val="24"/>
                          <w:lang w:eastAsia="lt-LT"/>
                        </w:rPr>
                        <w:t xml:space="preserve"> metų OPEX (be DU) kaštai;</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 reikmėms padengti;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w:t>
                      </w:r>
                    </w:p>
                    <w:p>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Reguliuojančiosios institucijos</w:t>
                      </w:r>
                      <w:r>
                        <w:rPr>
                          <w:b/>
                          <w:bCs/>
                          <w:szCs w:val="24"/>
                          <w:lang w:eastAsia="lt-LT"/>
                        </w:rPr>
                        <w:t xml:space="preserve"> </w:t>
                      </w:r>
                      <w:r>
                        <w:rPr>
                          <w:i/>
                          <w:szCs w:val="24"/>
                          <w:lang w:eastAsia="lt-LT"/>
                        </w:rPr>
                        <w:t>t</w:t>
                      </w:r>
                      <w:r>
                        <w:rPr>
                          <w:szCs w:val="24"/>
                          <w:lang w:eastAsia="lt-LT"/>
                        </w:rPr>
                        <w:t xml:space="preserve"> metų nustatytą investicijų grąžos normą nuo reguliuojamos turto bazės metų pradžiai;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mažinančių kitus kaštus, ir šiems sprendimas yra pritarusi Reguliuojančioji institucija;</w:t>
                      </w:r>
                    </w:p>
                    <w:p>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kitos pajamos;</w:t>
                      </w:r>
                    </w:p>
                    <w:p>
                      <w:pPr>
                        <w:ind w:firstLine="720"/>
                        <w:rPr>
                          <w:szCs w:val="24"/>
                        </w:rPr>
                      </w:pPr>
                      <w:r>
                        <w:rPr>
                          <w:szCs w:val="24"/>
                          <w:lang w:eastAsia="lt-LT"/>
                        </w:rPr>
                        <w:t>K</w:t>
                      </w:r>
                      <w:r>
                        <w:rPr>
                          <w:szCs w:val="24"/>
                          <w:vertAlign w:val="subscript"/>
                          <w:lang w:eastAsia="lt-LT"/>
                        </w:rPr>
                        <w:t xml:space="preserve">110,t </w:t>
                      </w:r>
                      <w:r>
                        <w:rPr>
                          <w:szCs w:val="24"/>
                          <w:lang w:eastAsia="lt-LT"/>
                        </w:rPr>
                        <w:t>– Reguliuojančiosios institucijos</w:t>
                      </w:r>
                      <w:r>
                        <w:rPr>
                          <w:b/>
                          <w:bCs/>
                          <w:szCs w:val="24"/>
                          <w:lang w:eastAsia="lt-LT"/>
                        </w:rPr>
                        <w:t xml:space="preserve"> </w:t>
                      </w:r>
                      <w:r>
                        <w:rPr>
                          <w:szCs w:val="24"/>
                          <w:lang w:eastAsia="lt-LT"/>
                        </w:rPr>
                        <w:t>nustatyta praėjusių laikotarpių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5 p."/>
                    <w:tag w:val="part_d137b6feb14249fb9ff39730c72841e6"/>
                    <w:lock w:val="sdtLocked"/>
                    <w:richText/>
                  </w:sdtPr>
                  <w:sdtContent>
                    <w:p>
                      <w:pPr>
                        <w:tabs>
                          <w:tab w:val="left" w:pos="1134"/>
                        </w:tabs>
                        <w:ind w:firstLine="709"/>
                        <w:jc w:val="both"/>
                        <w:rPr>
                          <w:szCs w:val="24"/>
                        </w:rPr>
                      </w:pPr>
                      <w:sdt>
                        <w:sdtPr>
                          <w:alias w:val="Numeris"/>
                          <w:tag w:val="nr_d137b6feb14249fb9ff39730c72841e6"/>
                          <w:lock w:val="sdtLocked"/>
                          <w:richText/>
                        </w:sdtPr>
                        <w:sdtContent>
                          <w:r>
                            <w:rPr>
                              <w:szCs w:val="24"/>
                            </w:rPr>
                            <w:t>45</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OPEX (be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m:t>
                                </m:r>
                                <m:r>
                                  <w:rPr>
                                    <w:rFonts w:ascii="Cambria Math" w:hAnsi="Cambria Math"/>
                                    <w:szCs w:val="24"/>
                                  </w:rPr>
                                  <m:t>U</m:t>
                                </m:r>
                              </m:e>
                            </m:d>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(18</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left="709"/>
                        <w:jc w:val="both"/>
                        <w:rPr>
                          <w:i/>
                          <w:szCs w:val="24"/>
                        </w:rPr>
                      </w:pPr>
                      <w:r>
                        <w:rPr>
                          <w:i/>
                          <w:szCs w:val="24"/>
                        </w:rPr>
                        <w:t>čia:</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 </w:t>
                      </w:r>
                      <w:r>
                        <w:rPr>
                          <w:szCs w:val="24"/>
                          <w:lang w:eastAsia="lt-LT"/>
                        </w:rPr>
                        <w:t>– reguliavimo periodo baziniai OPEX(be DU) kaštai;</w:t>
                      </w:r>
                    </w:p>
                    <w:p>
                      <w:pPr>
                        <w:tabs>
                          <w:tab w:val="left" w:pos="1134"/>
                          <w:tab w:val="left" w:pos="1843"/>
                          <w:tab w:val="left" w:pos="2268"/>
                        </w:tabs>
                        <w:ind w:left="709"/>
                        <w:jc w:val="both"/>
                        <w:rPr>
                          <w:szCs w:val="24"/>
                          <w:lang w:eastAsia="lt-LT"/>
                        </w:rPr>
                      </w:pPr>
                      <w:r>
                        <w:rPr>
                          <w:szCs w:val="24"/>
                          <w:lang w:eastAsia="lt-LT"/>
                        </w:rPr>
                        <w:t>IK</w:t>
                      </w:r>
                      <w:r>
                        <w:rPr>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m:t>
                            </m:r>
                            <m:r>
                              <w:rPr>
                                <w:rFonts w:ascii="Cambria Math" w:hAnsi="Cambria Math"/>
                                <w:szCs w:val="24"/>
                              </w:rPr>
                              <m:t>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(18</w:t>
                      </w:r>
                      <w:r>
                        <w:rPr>
                          <w:szCs w:val="24"/>
                          <w:vertAlign w:val="superscript"/>
                        </w:rPr>
                        <w:t>2</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left="709"/>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t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080"/>
                          <w:tab w:val="left" w:pos="1843"/>
                          <w:tab w:val="left" w:pos="2268"/>
                        </w:tabs>
                        <w:ind w:firstLine="720"/>
                        <w:jc w:val="both"/>
                        <w:rPr>
                          <w:szCs w:val="24"/>
                          <w:lang w:eastAsia="lt-LT"/>
                        </w:rPr>
                      </w:pPr>
                      <w:r>
                        <w:rPr>
                          <w:szCs w:val="24"/>
                          <w:lang w:eastAsia="lt-LT"/>
                        </w:rPr>
                        <w:t>e – efektyvumo koeficientas, %;</w:t>
                      </w:r>
                    </w:p>
                    <w:p>
                      <w:pPr>
                        <w:ind w:firstLine="720"/>
                        <w:jc w:val="both"/>
                        <w:rPr>
                          <w:szCs w:val="24"/>
                        </w:rPr>
                      </w:pPr>
                      <w:r>
                        <w:rPr>
                          <w:szCs w:val="24"/>
                          <w:lang w:eastAsia="lt-LT"/>
                        </w:rPr>
                        <w:t>IK</w:t>
                      </w:r>
                      <w:r>
                        <w:rPr>
                          <w:szCs w:val="24"/>
                          <w:vertAlign w:val="subscript"/>
                          <w:lang w:eastAsia="lt-LT"/>
                        </w:rPr>
                        <w:t>t-1</w:t>
                      </w:r>
                      <w:r>
                        <w:rPr>
                          <w:szCs w:val="24"/>
                          <w:lang w:eastAsia="lt-LT"/>
                        </w:rPr>
                        <w:t xml:space="preserve"> – </w:t>
                      </w:r>
                      <w:r>
                        <w:rPr>
                          <w:i/>
                          <w:szCs w:val="24"/>
                          <w:lang w:eastAsia="lt-LT"/>
                        </w:rPr>
                        <w:t>t-1</w:t>
                      </w:r>
                      <w:r>
                        <w:rPr>
                          <w:szCs w:val="24"/>
                          <w:lang w:eastAsia="lt-LT"/>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 p."/>
                    <w:tag w:val="part_e7de60edc9b9400091f9e21409300fee"/>
                    <w:lock w:val="sdtLocked"/>
                    <w:richText/>
                  </w:sdtPr>
                  <w:sdtContent>
                    <w:p>
                      <w:pPr>
                        <w:tabs>
                          <w:tab w:val="left" w:pos="1134"/>
                        </w:tabs>
                        <w:ind w:firstLine="709"/>
                        <w:jc w:val="both"/>
                        <w:rPr>
                          <w:szCs w:val="24"/>
                        </w:rPr>
                      </w:pPr>
                      <w:sdt>
                        <w:sdtPr>
                          <w:alias w:val="Numeris"/>
                          <w:tag w:val="nr_e7de60edc9b9400091f9e21409300fee"/>
                          <w:lock w:val="sdtLocked"/>
                          <w:richText/>
                        </w:sdtPr>
                        <w:sdtContent>
                          <w:r>
                            <w:rPr>
                              <w:szCs w:val="24"/>
                            </w:rPr>
                            <w:t>46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yra apskaičiuojami pagal formulę:</w:t>
                      </w:r>
                    </w:p>
                    <w:p>
                      <w:pPr>
                        <w:tabs>
                          <w:tab w:val="left" w:pos="1134"/>
                        </w:tabs>
                        <w:ind w:firstLine="709"/>
                        <w:jc w:val="both"/>
                        <w:rPr>
                          <w:szCs w:val="24"/>
                        </w:rPr>
                      </w:pPr>
                    </w:p>
                    <w:p>
                      <w:pPr>
                        <w:tabs>
                          <w:tab w:val="left" w:pos="567"/>
                          <w:tab w:val="left" w:pos="1843"/>
                          <w:tab w:val="left" w:pos="2268"/>
                        </w:tabs>
                        <w:ind w:firstLine="360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(18</w:t>
                      </w:r>
                      <w:r>
                        <w:rPr>
                          <w:szCs w:val="24"/>
                          <w:vertAlign w:val="superscript"/>
                        </w:rPr>
                        <w:t>3</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lang w:eastAsia="lt-LT"/>
                        </w:rPr>
                      </w:pPr>
                      <w:r>
                        <w:rPr>
                          <w:i/>
                          <w:szCs w:val="24"/>
                          <w:lang w:eastAsia="lt-LT"/>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(DU)110,t </w:t>
                      </w:r>
                      <w:r>
                        <w:rPr>
                          <w:szCs w:val="24"/>
                          <w:lang w:eastAsia="lt-LT"/>
                        </w:rPr>
                        <w:t>– koreguoti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lang w:eastAsia="lt-LT"/>
                        </w:rPr>
                        <w:t>DK</w:t>
                      </w:r>
                      <w:r>
                        <w:rPr>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(18</w:t>
                      </w:r>
                      <w:r>
                        <w:rPr>
                          <w:szCs w:val="24"/>
                          <w:vertAlign w:val="superscript"/>
                        </w:rPr>
                        <w:t>4</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firstLine="709"/>
                        <w:jc w:val="both"/>
                        <w:rPr>
                          <w:i/>
                          <w:szCs w:val="24"/>
                          <w:lang w:eastAsia="lt-LT"/>
                        </w:rPr>
                      </w:pPr>
                      <w:r>
                        <w:rPr>
                          <w:i/>
                          <w:szCs w:val="24"/>
                          <w:lang w:eastAsia="lt-LT"/>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20"/>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1 p."/>
                    <w:tag w:val="part_1805658f45064da6ae578533bab526a1"/>
                    <w:lock w:val="sdtLocked"/>
                    <w:richText/>
                  </w:sdtPr>
                  <w:sdtContent>
                    <w:p>
                      <w:pPr>
                        <w:ind w:firstLine="709"/>
                        <w:jc w:val="both"/>
                        <w:rPr>
                          <w:szCs w:val="24"/>
                        </w:rPr>
                      </w:pPr>
                      <w:sdt>
                        <w:sdtPr>
                          <w:alias w:val="Numeris"/>
                          <w:tag w:val="nr_1805658f45064da6ae578533bab526a1"/>
                          <w:lock w:val="sdtLocked"/>
                          <w:richText/>
                        </w:sdtPr>
                        <w:sdtContent>
                          <w:r>
                            <w:t>46</w:t>
                          </w:r>
                          <w:r>
                            <w:rPr>
                              <w:vertAlign w:val="superscript"/>
                            </w:rPr>
                            <w:t>1</w:t>
                          </w:r>
                        </w:sdtContent>
                      </w:sdt>
                      <w:r>
                        <w:t xml:space="preserve">. Tuo atveju, jeigu yra priimtas Reguliuojančiosios institucijos sprendimas pratęsti reguliavimo periodą, esant PSO prašymui ir pagrindimui, kad PSO reikia aukštos kvalifikacijos specialistų ir konkuruojant dėl jų darbo rinkoje ir (ar) juos išlaikant faktiškai patiriamos ir (ar) planuojamos patirti didesnės DU sąnaudos nei Reguliuojančiosios institucijos nustatytos,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7 p."/>
                    <w:tag w:val="part_abaa7b2727394ee8816af5ec04646c02"/>
                    <w:lock w:val="sdtLocked"/>
                    <w:richText/>
                  </w:sdtPr>
                  <w:sdtContent>
                    <w:p>
                      <w:pPr>
                        <w:tabs>
                          <w:tab w:val="left" w:pos="1080"/>
                          <w:tab w:val="left" w:pos="1843"/>
                          <w:tab w:val="left" w:pos="2268"/>
                        </w:tabs>
                        <w:ind w:firstLine="720"/>
                        <w:jc w:val="both"/>
                        <w:rPr>
                          <w:szCs w:val="24"/>
                        </w:rPr>
                      </w:pPr>
                      <w:sdt>
                        <w:sdtPr>
                          <w:alias w:val="Numeris"/>
                          <w:tag w:val="nr_abaa7b2727394ee8816af5ec04646c02"/>
                          <w:lock w:val="sdtLocked"/>
                          <w:richText/>
                        </w:sdtPr>
                        <w:sdtContent>
                          <w:r>
                            <w:rPr>
                              <w:szCs w:val="24"/>
                            </w:rPr>
                            <w:t>47</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
                      <w:pPr>
                        <w:tabs>
                          <w:tab w:val="left" w:pos="1134"/>
                        </w:tabs>
                        <w:ind w:firstLine="4320"/>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×100</m:t>
                        </m:r>
                      </m:oMath>
                      <w:r>
                        <w:tab/>
                        <w:tab/>
                        <w:t>(19)</w:t>
                      </w:r>
                    </w:p>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110,t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110,t</w:t>
                      </w:r>
                      <w:r>
                        <w:rPr>
                          <w:szCs w:val="24"/>
                        </w:rPr>
                        <w:t xml:space="preserve"> – koreguotos </w:t>
                      </w:r>
                      <w:r>
                        <w:rPr>
                          <w:i/>
                          <w:szCs w:val="24"/>
                        </w:rPr>
                        <w:t>t</w:t>
                      </w:r>
                      <w:r>
                        <w:rPr>
                          <w:szCs w:val="24"/>
                        </w:rPr>
                        <w:t xml:space="preserve"> metų PSO leidžiamos pajamos, EUR;</w:t>
                      </w:r>
                    </w:p>
                    <w:p>
                      <w:pPr>
                        <w:ind w:firstLine="720"/>
                        <w:jc w:val="both"/>
                        <w:rPr>
                          <w:szCs w:val="24"/>
                        </w:rPr>
                      </w:pPr>
                      <w:r>
                        <w:rPr>
                          <w:szCs w:val="24"/>
                        </w:rPr>
                        <w:t>E</w:t>
                      </w:r>
                      <w:r>
                        <w:rPr>
                          <w:szCs w:val="24"/>
                          <w:vertAlign w:val="subscript"/>
                        </w:rPr>
                        <w:t xml:space="preserve">110,t </w:t>
                      </w:r>
                      <w:r>
                        <w:rPr>
                          <w:szCs w:val="24"/>
                        </w:rPr>
                        <w:t xml:space="preserve">– PSO prognozuojamas perduoti elektros energijos kiekis AĮ tinklais šalies poreikiams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7-1 p."/>
                    <w:tag w:val="part_8c35e16dca8b41cb9f83dcdb385cd1f2"/>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57eb349d03194ad3ae57942343605479"/>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9274f37809a949e887539fbf882b13d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0 p."/>
                    <w:tag w:val="part_a790959cac8342fdb17a306578b7e572"/>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1 p."/>
                    <w:tag w:val="part_c4ead16cd4db4574b6b19d13d6228c25"/>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2 p."/>
                    <w:tag w:val="part_7b93a8d7787d4b52bfdbcb75db2047c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b54230c74ce44f5ea74b605a9760971d"/>
                    <w:lock w:val="sdtLocked"/>
                    <w:richText/>
                  </w:sdtPr>
                  <w:sdtContent>
                    <w:p>
                      <w:pPr>
                        <w:tabs>
                          <w:tab w:val="left" w:pos="1080"/>
                          <w:tab w:val="left" w:pos="1843"/>
                          <w:tab w:val="left" w:pos="2268"/>
                        </w:tabs>
                        <w:ind w:firstLine="720"/>
                        <w:jc w:val="both"/>
                        <w:rPr>
                          <w:szCs w:val="24"/>
                        </w:rPr>
                      </w:pPr>
                      <w:sdt>
                        <w:sdtPr>
                          <w:alias w:val="Numeris"/>
                          <w:tag w:val="nr_b54230c74ce44f5ea74b605a9760971d"/>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m:t>
                            </m:r>
                            <m:r>
                              <w:rPr>
                                <w:rFonts w:ascii="Cambria Math" w:hAnsi="Cambria Math"/>
                              </w:rPr>
                              <m:t>arba</m:t>
                            </m:r>
                            <m:r>
                              <w:rPr>
                                <w:rFonts w:ascii="Cambria Math" w:hAnsi="Cambria Math"/>
                              </w:rPr>
                              <m:t xml:space="preserve">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c3c3e904a05a42ada1409569b537c438"/>
                        <w:lock w:val="sdtLocked"/>
                        <w:richText/>
                      </w:sdtPr>
                      <w:sdtContent>
                        <w:p>
                          <w:pPr>
                            <w:tabs>
                              <w:tab w:val="left" w:pos="1260"/>
                              <w:tab w:val="left" w:pos="1843"/>
                              <w:tab w:val="left" w:pos="2268"/>
                            </w:tabs>
                            <w:ind w:firstLine="720"/>
                            <w:jc w:val="both"/>
                            <w:rPr>
                              <w:szCs w:val="24"/>
                            </w:rPr>
                          </w:pPr>
                          <w:sdt>
                            <w:sdtPr>
                              <w:alias w:val="Numeris"/>
                              <w:tag w:val="nr_c3c3e904a05a42ada1409569b537c438"/>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7b4fe49815774337a2fe0b64179f56c7"/>
                        <w:lock w:val="sdtLocked"/>
                        <w:richText/>
                      </w:sdtPr>
                      <w:sdtContent>
                        <w:p>
                          <w:pPr>
                            <w:tabs>
                              <w:tab w:val="left" w:pos="1260"/>
                              <w:tab w:val="left" w:pos="1843"/>
                              <w:tab w:val="left" w:pos="2268"/>
                            </w:tabs>
                            <w:ind w:firstLine="720"/>
                            <w:jc w:val="both"/>
                            <w:rPr>
                              <w:szCs w:val="24"/>
                            </w:rPr>
                          </w:pPr>
                          <w:sdt>
                            <w:sdtPr>
                              <w:alias w:val="Numeris"/>
                              <w:tag w:val="nr_7b4fe49815774337a2fe0b64179f56c7"/>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6d2b580ca24142b6bdcab9f084c2e6d2"/>
                        <w:lock w:val="sdtLocked"/>
                        <w:richText/>
                      </w:sdtPr>
                      <w:sdtContent>
                        <w:p>
                          <w:pPr>
                            <w:tabs>
                              <w:tab w:val="left" w:pos="1260"/>
                              <w:tab w:val="left" w:pos="1843"/>
                              <w:tab w:val="left" w:pos="2268"/>
                            </w:tabs>
                            <w:ind w:firstLine="720"/>
                            <w:jc w:val="both"/>
                            <w:rPr>
                              <w:szCs w:val="24"/>
                            </w:rPr>
                          </w:pPr>
                          <w:sdt>
                            <w:sdtPr>
                              <w:alias w:val="Numeris"/>
                              <w:tag w:val="nr_6d2b580ca24142b6bdcab9f084c2e6d2"/>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f3fdb2dbf17d48a488d763fa79f82323"/>
                        <w:lock w:val="sdtLocked"/>
                        <w:richText/>
                      </w:sdtPr>
                      <w:sdtContent>
                        <w:p>
                          <w:pPr>
                            <w:tabs>
                              <w:tab w:val="left" w:pos="1276"/>
                              <w:tab w:val="left" w:pos="1843"/>
                              <w:tab w:val="left" w:pos="2268"/>
                            </w:tabs>
                            <w:ind w:firstLine="709"/>
                            <w:jc w:val="both"/>
                            <w:rPr>
                              <w:szCs w:val="24"/>
                            </w:rPr>
                          </w:pPr>
                          <w:sdt>
                            <w:sdtPr>
                              <w:alias w:val="Numeris"/>
                              <w:tag w:val="nr_f3fdb2dbf17d48a488d763fa79f82323"/>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d534e9305cb4407a949ea93724f9fa5a"/>
                        <w:lock w:val="sdtLocked"/>
                        <w:richText/>
                      </w:sdtPr>
                      <w:sdtContent>
                        <w:p>
                          <w:pPr>
                            <w:tabs>
                              <w:tab w:val="left" w:pos="1134"/>
                              <w:tab w:val="left" w:pos="1276"/>
                              <w:tab w:val="left" w:pos="9214"/>
                            </w:tabs>
                            <w:ind w:firstLine="709"/>
                            <w:jc w:val="both"/>
                            <w:rPr>
                              <w:szCs w:val="24"/>
                            </w:rPr>
                          </w:pPr>
                          <w:sdt>
                            <w:sdtPr>
                              <w:alias w:val="Numeris"/>
                              <w:tag w:val="nr_d534e9305cb4407a949ea93724f9fa5a"/>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0446b5c5d7cb4b078e7cc9f8a4da1571"/>
                        <w:lock w:val="sdtLocked"/>
                        <w:richText/>
                      </w:sdtPr>
                      <w:sdtContent>
                        <w:p>
                          <w:pPr>
                            <w:tabs>
                              <w:tab w:val="left" w:pos="1276"/>
                              <w:tab w:val="left" w:pos="1843"/>
                              <w:tab w:val="left" w:pos="2268"/>
                            </w:tabs>
                            <w:ind w:firstLine="709"/>
                            <w:jc w:val="both"/>
                            <w:rPr>
                              <w:szCs w:val="24"/>
                            </w:rPr>
                          </w:pPr>
                          <w:sdt>
                            <w:sdtPr>
                              <w:alias w:val="Numeris"/>
                              <w:tag w:val="nr_0446b5c5d7cb4b078e7cc9f8a4da1571"/>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6f92364f0b724779afcb037aba14a975"/>
                        <w:lock w:val="sdtLocked"/>
                        <w:richText/>
                      </w:sdtPr>
                      <w:sdtContent>
                        <w:p>
                          <w:pPr>
                            <w:tabs>
                              <w:tab w:val="left" w:pos="1276"/>
                              <w:tab w:val="left" w:pos="1843"/>
                              <w:tab w:val="left" w:pos="2268"/>
                            </w:tabs>
                            <w:ind w:firstLine="709"/>
                            <w:contextualSpacing/>
                            <w:jc w:val="both"/>
                            <w:rPr>
                              <w:szCs w:val="24"/>
                            </w:rPr>
                          </w:pPr>
                          <w:sdt>
                            <w:sdtPr>
                              <w:alias w:val="Numeris"/>
                              <w:tag w:val="nr_6f92364f0b724779afcb037aba14a975"/>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m:t>
                                        </m:r>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t>
                                        </m:r>
                                        <m:r>
                                          <w:rPr>
                                            <w:rFonts w:ascii="Cambria Math" w:hAnsi="Cambria Math"/>
                                          </w:rPr>
                                          <m:t>,</m:t>
                                        </m:r>
                                        <m:r>
                                          <w:rPr>
                                            <w:rFonts w:ascii="Cambria Math" w:hAnsi="Cambria Math"/>
                                          </w:rPr>
                                          <m:t>m</m:t>
                                        </m:r>
                                      </m:sub>
                                    </m:sSub>
                                  </m:num>
                                  <m:den>
                                    <m:r>
                                      <w:rPr>
                                        <w:rFonts w:ascii="Cambria Math" w:hAnsi="Cambria Math"/>
                                      </w:rPr>
                                      <m:t>T</m:t>
                                    </m:r>
                                  </m:den>
                                </m:f>
                              </m:e>
                            </m:d>
                            <m:r>
                              <w:rPr>
                                <w:rFonts w:ascii="Cambria Math" w:hAnsi="Cambria Math"/>
                              </w:rPr>
                              <m:t>×</m:t>
                            </m:r>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5f7ea2964dc0492a923c376176f8bfb6"/>
                    <w:lock w:val="sdtLocked"/>
                    <w:richText/>
                  </w:sdtPr>
                  <w:sdtContent>
                    <w:p>
                      <w:pPr>
                        <w:tabs>
                          <w:tab w:val="left" w:pos="1134"/>
                          <w:tab w:val="left" w:pos="1843"/>
                          <w:tab w:val="left" w:pos="2268"/>
                        </w:tabs>
                        <w:ind w:firstLine="709"/>
                        <w:jc w:val="both"/>
                        <w:rPr>
                          <w:szCs w:val="24"/>
                        </w:rPr>
                      </w:pPr>
                      <w:sdt>
                        <w:sdtPr>
                          <w:alias w:val="Numeris"/>
                          <w:tag w:val="nr_5f7ea2964dc0492a923c376176f8bfb6"/>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6789c4eb7026404ca82194db777bf448"/>
                    <w:lock w:val="sdtLocked"/>
                    <w:richText/>
                  </w:sdtPr>
                  <w:sdtContent>
                    <w:p>
                      <w:pPr>
                        <w:tabs>
                          <w:tab w:val="left" w:pos="1134"/>
                          <w:tab w:val="left" w:pos="1843"/>
                          <w:tab w:val="left" w:pos="2268"/>
                        </w:tabs>
                        <w:ind w:firstLine="709"/>
                        <w:jc w:val="both"/>
                        <w:rPr>
                          <w:szCs w:val="24"/>
                        </w:rPr>
                      </w:pPr>
                      <w:sdt>
                        <w:sdtPr>
                          <w:alias w:val="Numeris"/>
                          <w:tag w:val="nr_6789c4eb7026404ca82194db777bf448"/>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f351396db0154e25af23af8473491601"/>
                    <w:lock w:val="sdtLocked"/>
                    <w:richText/>
                  </w:sdtPr>
                  <w:sdtContent>
                    <w:p>
                      <w:pPr>
                        <w:tabs>
                          <w:tab w:val="left" w:pos="1134"/>
                          <w:tab w:val="left" w:pos="1843"/>
                          <w:tab w:val="left" w:pos="2268"/>
                        </w:tabs>
                        <w:ind w:firstLine="709"/>
                        <w:jc w:val="both"/>
                        <w:rPr>
                          <w:szCs w:val="24"/>
                        </w:rPr>
                      </w:pPr>
                      <w:sdt>
                        <w:sdtPr>
                          <w:alias w:val="Numeris"/>
                          <w:tag w:val="nr_f351396db0154e25af23af8473491601"/>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066c81e7f7f946f9984459599957c72f"/>
                    <w:lock w:val="sdtLocked"/>
                    <w:richText/>
                  </w:sdtPr>
                  <w:sdtContent>
                    <w:p>
                      <w:pPr>
                        <w:tabs>
                          <w:tab w:val="left" w:pos="1134"/>
                          <w:tab w:val="left" w:pos="1843"/>
                          <w:tab w:val="left" w:pos="2268"/>
                        </w:tabs>
                        <w:ind w:firstLine="709"/>
                        <w:jc w:val="both"/>
                        <w:rPr>
                          <w:szCs w:val="24"/>
                        </w:rPr>
                      </w:pPr>
                      <w:sdt>
                        <w:sdtPr>
                          <w:alias w:val="Numeris"/>
                          <w:tag w:val="nr_066c81e7f7f946f9984459599957c72f"/>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4c3b49c5d6004535876b251115b2f576"/>
                <w:lock w:val="sdtLocked"/>
                <w:richText/>
              </w:sdtPr>
              <w:sdtContent>
                <w:p>
                  <w:pPr>
                    <w:tabs>
                      <w:tab w:val="left" w:pos="1134"/>
                      <w:tab w:val="left" w:pos="1843"/>
                      <w:tab w:val="left" w:pos="2268"/>
                    </w:tabs>
                    <w:jc w:val="center"/>
                    <w:rPr>
                      <w:b/>
                      <w:szCs w:val="24"/>
                    </w:rPr>
                  </w:pPr>
                  <w:sdt>
                    <w:sdtPr>
                      <w:alias w:val="Numeris"/>
                      <w:tag w:val="nr_4c3b49c5d6004535876b251115b2f576"/>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4c3b49c5d6004535876b251115b2f576"/>
                      <w:lock w:val="sdtLocked"/>
                      <w:richText/>
                    </w:sdtPr>
                    <w:sdtContent>
                      <w:r>
                        <w:rPr>
                          <w:b/>
                          <w:szCs w:val="24"/>
                        </w:rPr>
                        <w:t>SKIRSTYMO ŽEMOS IR VIDUTINĖS ĮTAMPOS TINKLAIS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72 p."/>
                    <w:tag w:val="part_d9e56271ec5c4c60ac7294f16e52100a"/>
                    <w:lock w:val="sdtLocked"/>
                    <w:richText/>
                  </w:sdtPr>
                  <w:sdtContent>
                    <w:p>
                      <w:pPr>
                        <w:tabs>
                          <w:tab w:val="left" w:pos="1134"/>
                        </w:tabs>
                        <w:ind w:firstLine="709"/>
                        <w:jc w:val="both"/>
                        <w:rPr>
                          <w:szCs w:val="24"/>
                        </w:rPr>
                      </w:pPr>
                      <w:sdt>
                        <w:sdtPr>
                          <w:alias w:val="Numeris"/>
                          <w:tag w:val="nr_d9e56271ec5c4c60ac7294f16e52100a"/>
                          <w:lock w:val="sdtLocked"/>
                          <w:richText/>
                        </w:sdtPr>
                        <w:sdtContent>
                          <w:r>
                            <w:rPr>
                              <w:szCs w:val="24"/>
                            </w:rPr>
                            <w:t>72</w:t>
                          </w:r>
                        </w:sdtContent>
                      </w:sdt>
                      <w:r>
                        <w:rPr>
                          <w:szCs w:val="24"/>
                        </w:rPr>
                        <w:t>. Elektros energijos skirstymo paslaugos žemos įtampos ir vidutinės įtampos tinklais kainos viršutinė riba visam reguliavimo periodui (įskaitant reguliavimo periodo pratęsimą) apskaičiuojama galutines pirmiesiems reguliavimo periodo metams STO atitinkamos įtampos tinkluose leidžiamas pajamas padalijus išplanuojamo paskirstyti atitinkamos įtampos tinklais elektros energijos kiekio ir apskaičiuojama pagal formules:</w:t>
                      </w:r>
                    </w:p>
                    <w:p>
                      <w:pPr>
                        <w:tabs>
                          <w:tab w:val="left" w:pos="1134"/>
                        </w:tabs>
                        <w:ind w:firstLine="709"/>
                        <w:jc w:val="both"/>
                        <w:rPr>
                          <w:szCs w:val="24"/>
                        </w:rPr>
                      </w:pPr>
                    </w:p>
                    <w:p>
                      <w:pPr>
                        <w:tabs>
                          <w:tab w:val="left" w:pos="1134"/>
                        </w:tabs>
                        <w:ind w:firstLine="4320"/>
                        <w:jc w:val="both"/>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(41</w:t>
                      </w:r>
                      <w:r>
                        <w:rPr>
                          <w:vertAlign w:val="superscript"/>
                        </w:rPr>
                        <w:t>1</w:t>
                      </w:r>
                      <w:r>
                        <w:t>)</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ind w:firstLine="4320"/>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(41</w:t>
                      </w:r>
                      <w:r>
                        <w:rPr>
                          <w:vertAlign w:val="superscript"/>
                        </w:rPr>
                        <w:t>2</w:t>
                      </w:r>
                      <w:r>
                        <w:t>)</w:t>
                      </w:r>
                    </w:p>
                    <w:p>
                      <w:pPr>
                        <w:tabs>
                          <w:tab w:val="left" w:pos="1134"/>
                        </w:tabs>
                        <w:ind w:firstLine="771"/>
                        <w:jc w:val="both"/>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09"/>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 p."/>
                    <w:tag w:val="part_730a20633e5046dd839889c13217977e"/>
                    <w:lock w:val="sdtLocked"/>
                    <w:richText/>
                  </w:sdtPr>
                  <w:sdtContent>
                    <w:p>
                      <w:pPr>
                        <w:ind w:firstLine="709"/>
                        <w:jc w:val="both"/>
                        <w:rPr>
                          <w:szCs w:val="24"/>
                        </w:rPr>
                      </w:pPr>
                      <w:sdt>
                        <w:sdtPr>
                          <w:alias w:val="Numeris"/>
                          <w:tag w:val="nr_730a20633e5046dd839889c13217977e"/>
                          <w:lock w:val="sdtLocked"/>
                          <w:richText/>
                        </w:sdtPr>
                        <w:sdtContent>
                          <w:r>
                            <w:rPr>
                              <w:szCs w:val="24"/>
                            </w:rPr>
                            <w:t>73</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4 p."/>
                    <w:tag w:val="part_24aebd264ebf405b950b62074726c990"/>
                    <w:lock w:val="sdtLocked"/>
                    <w:richText/>
                  </w:sdtPr>
                  <w:sdtContent>
                    <w:p>
                      <w:pPr>
                        <w:tabs>
                          <w:tab w:val="left" w:pos="1080"/>
                          <w:tab w:val="left" w:pos="1843"/>
                          <w:tab w:val="left" w:pos="2268"/>
                        </w:tabs>
                        <w:ind w:firstLine="720"/>
                        <w:jc w:val="both"/>
                        <w:rPr>
                          <w:szCs w:val="24"/>
                        </w:rPr>
                      </w:pPr>
                      <w:sdt>
                        <w:sdtPr>
                          <w:alias w:val="Numeris"/>
                          <w:tag w:val="nr_24aebd264ebf405b950b62074726c990"/>
                          <w:lock w:val="sdtLocked"/>
                          <w:richText/>
                        </w:sdt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204"/>
                        <w:jc w:val="both"/>
                        <w:rPr>
                          <w:szCs w:val="24"/>
                        </w:rPr>
                      </w:pPr>
                      <m:oMathPara>
                        <m:oMath>
                          <m:sSub>
                            <m:sSubPr>
                              <m:ctrlPr>
                                <w:rPr>
                                  <w:rFonts w:ascii="Cambria Math" w:hAnsi="Cambria Math"/>
                                  <w:i/>
                                  <w:szCs w:val="24"/>
                                </w:rPr>
                              </m:ctrlPr>
                            </m:sSubPr>
                            <m:e>
                              <m:sSup>
                                <m:sSupPr>
                                  <m:ctrlPr>
                                    <w:rPr>
                                      <w:rFonts w:ascii="Cambria Math" w:hAnsi="Cambria Math"/>
                                      <w:i/>
                                      <w:szCs w:val="24"/>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m:oMathPara>
                    </w:p>
                    <w:p>
                      <w:pPr>
                        <w:tabs>
                          <w:tab w:val="left" w:pos="1134"/>
                          <w:tab w:val="left" w:pos="1843"/>
                          <w:tab w:val="left" w:pos="2268"/>
                        </w:tabs>
                        <w:jc w:val="both"/>
                        <w:rPr>
                          <w:szCs w:val="24"/>
                        </w:rPr>
                      </w:pPr>
                    </w:p>
                    <w:p>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oMath>
                      <w:r>
                        <w:rPr>
                          <w:szCs w:val="24"/>
                        </w:rPr>
                        <w:t>(42)</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b/>
                          <w:bCs/>
                          <w:szCs w:val="24"/>
                          <w:lang w:eastAsia="lt-LT"/>
                        </w:rPr>
                        <w:t xml:space="preserve">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rPr>
                          <w:szCs w:val="24"/>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5 p."/>
                    <w:tag w:val="part_ad6ee1976e5f41498cf65b415452ce4c"/>
                    <w:lock w:val="sdtLocked"/>
                    <w:richText/>
                  </w:sdtPr>
                  <w:sdtContent>
                    <w:p>
                      <w:pPr>
                        <w:tabs>
                          <w:tab w:val="left" w:pos="1134"/>
                        </w:tabs>
                        <w:ind w:firstLine="709"/>
                        <w:jc w:val="both"/>
                        <w:rPr>
                          <w:szCs w:val="24"/>
                        </w:rPr>
                      </w:pPr>
                      <w:sdt>
                        <w:sdtPr>
                          <w:alias w:val="Numeris"/>
                          <w:tag w:val="nr_ad6ee1976e5f41498cf65b415452ce4c"/>
                          <w:lock w:val="sdtLocked"/>
                          <w:richText/>
                        </w:sdtPr>
                        <w:sdtContent>
                          <w:r>
                            <w:rPr>
                              <w:szCs w:val="24"/>
                            </w:rPr>
                            <w:t>75</w:t>
                          </w:r>
                        </w:sdtContent>
                      </w:sdt>
                      <w:r>
                        <w:rPr>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center"/>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(43)</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(43</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(43</w:t>
                      </w:r>
                      <w:r>
                        <w:rPr>
                          <w:szCs w:val="24"/>
                          <w:vertAlign w:val="superscript"/>
                        </w:rPr>
                        <w:t>2</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09"/>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 p."/>
                    <w:tag w:val="part_f853f8918ada45028d05adf8282526a8"/>
                    <w:lock w:val="sdtLocked"/>
                    <w:richText/>
                  </w:sdtPr>
                  <w:sdtContent>
                    <w:p>
                      <w:pPr>
                        <w:tabs>
                          <w:tab w:val="left" w:pos="1134"/>
                        </w:tabs>
                        <w:ind w:firstLine="709"/>
                        <w:jc w:val="both"/>
                        <w:rPr>
                          <w:szCs w:val="24"/>
                        </w:rPr>
                      </w:pPr>
                      <w:sdt>
                        <w:sdtPr>
                          <w:alias w:val="Numeris"/>
                          <w:tag w:val="nr_f853f8918ada45028d05adf8282526a8"/>
                          <w:lock w:val="sdtLocked"/>
                          <w:richText/>
                        </w:sdtPr>
                        <w:sdtContent>
                          <w:r>
                            <w:rPr>
                              <w:szCs w:val="24"/>
                            </w:rPr>
                            <w:t>76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(43</w:t>
                      </w:r>
                      <w:r>
                        <w:rPr>
                          <w:szCs w:val="24"/>
                          <w:vertAlign w:val="superscript"/>
                        </w:rPr>
                        <w:t>3</w:t>
                      </w:r>
                      <w:r>
                        <w:rPr>
                          <w:szCs w:val="24"/>
                        </w:rPr>
                        <w:t>)</w:t>
                      </w:r>
                    </w:p>
                    <w:p>
                      <w:pPr>
                        <w:tabs>
                          <w:tab w:val="left" w:pos="567"/>
                          <w:tab w:val="left" w:pos="1843"/>
                          <w:tab w:val="left" w:pos="2268"/>
                        </w:tabs>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(43</w:t>
                      </w:r>
                      <w:r>
                        <w:rPr>
                          <w:szCs w:val="24"/>
                          <w:vertAlign w:val="superscript"/>
                        </w:rPr>
                        <w:t>4</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(43</w:t>
                      </w:r>
                      <w:r>
                        <w:rPr>
                          <w:szCs w:val="24"/>
                          <w:vertAlign w:val="superscript"/>
                        </w:rPr>
                        <w:t>5</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s>
                        <w:ind w:firstLine="709"/>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1 p."/>
                    <w:tag w:val="part_e0622a6b3c8a473d9675bc670ced79f7"/>
                    <w:lock w:val="sdtLocked"/>
                    <w:richText/>
                  </w:sdtPr>
                  <w:sdtContent>
                    <w:p>
                      <w:pPr>
                        <w:ind w:firstLine="709"/>
                        <w:jc w:val="both"/>
                        <w:rPr>
                          <w:szCs w:val="24"/>
                        </w:rPr>
                      </w:pPr>
                      <w:sdt>
                        <w:sdtPr>
                          <w:alias w:val="Numeris"/>
                          <w:tag w:val="nr_e0622a6b3c8a473d9675bc670ced79f7"/>
                          <w:lock w:val="sdtLocked"/>
                          <w:richText/>
                        </w:sdtPr>
                        <w:sdtContent>
                          <w:r>
                            <w:t>76</w:t>
                          </w:r>
                          <w:r>
                            <w:rPr>
                              <w:vertAlign w:val="superscript"/>
                            </w:rPr>
                            <w:t>1</w:t>
                          </w:r>
                        </w:sdtContent>
                      </w:sdt>
                      <w:r>
                        <w:t>. Tuo atveju, jeigu yra priimtas Reguliuojančiosios institucijos sprendimas pratęsti reguliavimo periodą, tai</w:t>
                      </w:r>
                      <w:r>
                        <w:rPr>
                          <w:szCs w:val="24"/>
                        </w:rPr>
                        <w:t>, esant STO prašymui ir pagrindimui, kad STO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7 p."/>
                    <w:tag w:val="part_4fb7e3de795f4f50b49a309f4436a372"/>
                    <w:lock w:val="sdtLocked"/>
                    <w:richText/>
                  </w:sdtPr>
                  <w:sdtContent>
                    <w:p>
                      <w:pPr>
                        <w:tabs>
                          <w:tab w:val="left" w:pos="1134"/>
                          <w:tab w:val="left" w:pos="1843"/>
                          <w:tab w:val="left" w:pos="2268"/>
                        </w:tabs>
                        <w:ind w:firstLine="720"/>
                        <w:jc w:val="both"/>
                        <w:rPr>
                          <w:szCs w:val="24"/>
                        </w:rPr>
                      </w:pPr>
                      <w:sdt>
                        <w:sdtPr>
                          <w:alias w:val="Numeris"/>
                          <w:tag w:val="nr_4fb7e3de795f4f50b49a309f4436a372"/>
                          <w:lock w:val="sdtLocked"/>
                          <w:richText/>
                        </w:sdtPr>
                        <w:sdtContent>
                          <w:r>
                            <w:rPr>
                              <w:szCs w:val="24"/>
                            </w:rPr>
                            <w:t>77</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r>
                          <w:rPr>
                            <w:rFonts w:ascii="Cambria Math" w:hAnsi="Cambria Math"/>
                          </w:rPr>
                          <m:t>×100</m:t>
                        </m:r>
                      </m:oMath>
                      <w:r>
                        <w:tab/>
                        <w:tab/>
                        <w:tab/>
                        <w:t>(44)</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r>
                          <w:rPr>
                            <w:rFonts w:ascii="Cambria Math" w:hAnsi="Cambria Math"/>
                          </w:rPr>
                          <m:t>×100</m:t>
                        </m:r>
                      </m:oMath>
                      <w:r>
                        <w:tab/>
                        <w:tab/>
                        <w:tab/>
                        <w:t>(45)</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7-1 p."/>
                    <w:tag w:val="part_66458081e7a64334adcf508c4efdeb08"/>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18fb695b7f474088968159b4f52bed5e"/>
                    <w:lock w:val="sdtLocked"/>
                    <w:richText/>
                  </w:sdtPr>
                  <w:sdtContent>
                    <w:p>
                      <w:pPr>
                        <w:pStyle w:val="PlainText"/>
                        <w:ind w:firstLine="567"/>
                        <w:jc w:val="both"/>
                        <w:rPr>
                          <w:rFonts w:ascii="Times New Roman" w:hAnsi="Times New Roman"/>
                          <w:b/>
                          <w:bCs/>
                          <w:sz w:val="22"/>
                        </w:rPr>
                      </w:pPr>
                      <w:r>
                        <w:rPr>
                          <w:rFonts w:ascii="Times New Roman" w:hAnsi="Times New Roman"/>
                          <w:sz w:val="22"/>
                        </w:rPr>
                        <w:t>78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1bd0b22cf83c4fb49ebd1fc455e78e09"/>
                    <w:lock w:val="sdtLocked"/>
                    <w:richText/>
                  </w:sdtPr>
                  <w:sdtContent>
                    <w:p>
                      <w:pPr>
                        <w:pStyle w:val="PlainText"/>
                        <w:ind w:firstLine="567"/>
                        <w:jc w:val="both"/>
                        <w:rPr>
                          <w:rFonts w:ascii="Times New Roman" w:hAnsi="Times New Roman"/>
                          <w:b/>
                          <w:bCs/>
                          <w:sz w:val="22"/>
                        </w:rPr>
                      </w:pPr>
                      <w:r>
                        <w:rPr>
                          <w:rFonts w:ascii="Times New Roman" w:hAnsi="Times New Roman"/>
                          <w:sz w:val="22"/>
                        </w:rPr>
                        <w:t>79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0 p."/>
                    <w:tag w:val="part_9a8aac153f454bcf8feff75b31e5a099"/>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1 p."/>
                    <w:tag w:val="part_1d0b0e608478432f8aebd8ee5fa157ee"/>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2 p."/>
                    <w:tag w:val="part_4f898f2ff51342d1ac68f14ab6824599"/>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7d668372387b4d80933ceb9892c81718"/>
            <w:lock w:val="sdtLocked"/>
            <w:richText/>
          </w:sdtPr>
          <w:sdtContent>
            <w:p>
              <w:pPr>
                <w:tabs>
                  <w:tab w:val="left" w:pos="1134"/>
                  <w:tab w:val="left" w:pos="1843"/>
                  <w:tab w:val="left" w:pos="2268"/>
                </w:tabs>
                <w:jc w:val="center"/>
                <w:rPr>
                  <w:b/>
                  <w:szCs w:val="24"/>
                </w:rPr>
              </w:pPr>
              <w:sdt>
                <w:sdtPr>
                  <w:alias w:val="Numeris"/>
                  <w:tag w:val="nr_7d668372387b4d80933ceb9892c81718"/>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7d668372387b4d80933ceb9892c81718"/>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83 p."/>
                <w:tag w:val="part_d2f43d752fad4c99867c52fd77e7dc5b"/>
                <w:lock w:val="sdtLocked"/>
                <w:richText/>
              </w:sdtPr>
              <w:sdtContent>
                <w:p>
                  <w:pPr>
                    <w:tabs>
                      <w:tab w:val="left" w:pos="1134"/>
                    </w:tabs>
                    <w:ind w:firstLine="709"/>
                    <w:jc w:val="both"/>
                    <w:rPr>
                      <w:szCs w:val="24"/>
                    </w:rPr>
                  </w:pPr>
                  <w:sdt>
                    <w:sdtPr>
                      <w:alias w:val="Numeris"/>
                      <w:tag w:val="nr_d2f43d752fad4c99867c52fd77e7dc5b"/>
                      <w:lock w:val="sdtLocked"/>
                      <w:richText/>
                    </w:sdtPr>
                    <w:sdtContent>
                      <w:r>
                        <w:rPr>
                          <w:szCs w:val="24"/>
                        </w:rPr>
                        <w:t>83</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periodui apskaičiuojama galutines pirmiesiems reguliavimo periodo metams STO atitinkamos įtampos tinkluose leidžiamas pajamas padalijus iš planuojamo paskirstyti atitinkamos įtampos tinklais elektros energijos kiekio ir apskaičiuojama pagal formules:</w:t>
                  </w:r>
                </w:p>
                <w:p>
                  <w:pPr>
                    <w:tabs>
                      <w:tab w:val="left" w:pos="1134"/>
                    </w:tabs>
                    <w:ind w:firstLine="709"/>
                    <w:jc w:val="both"/>
                    <w:rPr>
                      <w:szCs w:val="24"/>
                    </w:rPr>
                  </w:pPr>
                </w:p>
                <w:p>
                  <w:pPr>
                    <w:tabs>
                      <w:tab w:val="left" w:pos="1134"/>
                    </w:tabs>
                    <w:jc w:val="cente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(52)</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(53)</w:t>
                  </w:r>
                </w:p>
                <w:p>
                  <w:pPr>
                    <w:tabs>
                      <w:tab w:val="left" w:pos="1134"/>
                    </w:tabs>
                    <w:ind w:firstLine="709"/>
                    <w:jc w:val="both"/>
                  </w:pPr>
                </w:p>
                <w:p>
                  <w:pPr>
                    <w:tabs>
                      <w:tab w:val="left" w:pos="1134"/>
                    </w:tabs>
                    <w:ind w:firstLine="709"/>
                    <w:jc w:val="both"/>
                    <w:rPr>
                      <w:i/>
                    </w:rPr>
                  </w:pPr>
                  <w:r>
                    <w:rPr>
                      <w:i/>
                    </w:rPr>
                    <w:t xml:space="preserve">čia: </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20"/>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jc w:val="both"/>
                    <w:rPr>
                      <w:i/>
                      <w:sz w:val="20"/>
                    </w:rPr>
                  </w:pPr>
                  <w:r>
                    <w:rPr>
                      <w:b/>
                      <w:i/>
                      <w:sz w:val="20"/>
                    </w:rPr>
                    <w:t>TAR pastaba.</w:t>
                  </w:r>
                  <w:r>
                    <w:rPr>
                      <w:i/>
                      <w:sz w:val="20"/>
                    </w:rPr>
                    <w:t xml:space="preserve"> 83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4 p."/>
                <w:tag w:val="part_450a4abce8b447ec83d86050a2f96ec4"/>
                <w:lock w:val="sdtLocked"/>
                <w:richText/>
              </w:sdtPr>
              <w:sdtContent>
                <w:p>
                  <w:pPr>
                    <w:tabs>
                      <w:tab w:val="left" w:pos="1134"/>
                      <w:tab w:val="left" w:pos="1843"/>
                      <w:tab w:val="left" w:pos="2268"/>
                    </w:tabs>
                    <w:ind w:firstLine="720"/>
                    <w:jc w:val="both"/>
                    <w:rPr>
                      <w:sz w:val="20"/>
                    </w:rPr>
                  </w:pPr>
                  <w:sdt>
                    <w:sdtPr>
                      <w:alias w:val="Numeris"/>
                      <w:tag w:val="nr_450a4abce8b447ec83d86050a2f96ec4"/>
                      <w:lock w:val="sdtLocked"/>
                      <w:richText/>
                    </w:sdt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r>
                    <w:rPr>
                      <w:szCs w:val="24"/>
                      <w:lang w:eastAsia="lt-LT"/>
                    </w:rPr>
                    <w:t xml:space="preserve"> arba STO priimti sprendimai, didinantys OPEX, tačiau ne mažesniu dydžiu mažinantys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5 p."/>
                <w:tag w:val="part_cde4af07b7df4092b5779d11ff32ddfc"/>
                <w:lock w:val="sdtLocked"/>
                <w:richText/>
              </w:sdtPr>
              <w:sdtContent>
                <w:p>
                  <w:pPr>
                    <w:tabs>
                      <w:tab w:val="left" w:pos="1080"/>
                      <w:tab w:val="left" w:pos="1843"/>
                      <w:tab w:val="left" w:pos="2268"/>
                    </w:tabs>
                    <w:ind w:firstLine="720"/>
                    <w:jc w:val="both"/>
                    <w:rPr>
                      <w:szCs w:val="24"/>
                    </w:rPr>
                  </w:pPr>
                  <w:sdt>
                    <w:sdtPr>
                      <w:alias w:val="Numeris"/>
                      <w:tag w:val="nr_cde4af07b7df4092b5779d11ff32ddfc"/>
                      <w:lock w:val="sdtLocked"/>
                      <w:richText/>
                    </w:sdt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360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w:r>
                    <w:rPr>
                      <w:szCs w:val="24"/>
                    </w:rPr>
                    <w:t>(54)</w:t>
                  </w:r>
                </w:p>
                <w:p>
                  <w:pPr>
                    <w:tabs>
                      <w:tab w:val="left" w:pos="1134"/>
                      <w:tab w:val="left" w:pos="1843"/>
                      <w:tab w:val="left" w:pos="2268"/>
                    </w:tabs>
                    <w:jc w:val="both"/>
                    <w:rPr>
                      <w:szCs w:val="24"/>
                    </w:rPr>
                  </w:pPr>
                </w:p>
                <w:p>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m:t>
                            </m:r>
                            <m:r>
                              <w:rPr>
                                <w:rFonts w:ascii="Cambria Math" w:hAnsi="Cambria Math"/>
                                <w:szCs w:val="24"/>
                              </w:rPr>
                              <m:t>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oMath>
                  <w:r>
                    <w:rPr>
                      <w:szCs w:val="24"/>
                    </w:rPr>
                    <w:t>(55)</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 (sumažėjimas), sąlygotas teisės aktų pasikeitimų </w:t>
                  </w:r>
                  <w:r>
                    <w:rPr>
                      <w:szCs w:val="24"/>
                    </w:rPr>
                    <w:t>ir (ar)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 (sumažėjimas), sąlygotas teisės aktų pasikeitimų </w:t>
                  </w:r>
                  <w:r>
                    <w:rPr>
                      <w:szCs w:val="24"/>
                    </w:rPr>
                    <w:t>ir (ar)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rPr>
                      <w:sz w:val="20"/>
                      <w:lang w:eastAsia="lt-LT"/>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6 p."/>
                <w:tag w:val="part_dafab0cfbda74119a19f0848b65cf283"/>
                <w:lock w:val="sdtLocked"/>
                <w:richText/>
              </w:sdtPr>
              <w:sdtContent>
                <w:p>
                  <w:pPr>
                    <w:tabs>
                      <w:tab w:val="left" w:pos="1080"/>
                      <w:tab w:val="left" w:pos="1843"/>
                      <w:tab w:val="left" w:pos="2268"/>
                    </w:tabs>
                    <w:ind w:firstLine="720"/>
                    <w:jc w:val="both"/>
                    <w:rPr>
                      <w:szCs w:val="24"/>
                    </w:rPr>
                  </w:pPr>
                  <w:sdt>
                    <w:sdtPr>
                      <w:alias w:val="Numeris"/>
                      <w:tag w:val="nr_dafab0cfbda74119a19f0848b65cf283"/>
                      <w:lock w:val="sdtLocked"/>
                      <w:richText/>
                    </w:sdtPr>
                    <w:sdtContent>
                      <w:r>
                        <w:rPr>
                          <w:bCs/>
                          <w:kern w:val="32"/>
                          <w:szCs w:val="24"/>
                        </w:rPr>
                        <w:t>86</w:t>
                      </w:r>
                    </w:sdtContent>
                  </w:sdt>
                  <w:r>
                    <w:rPr>
                      <w:bCs/>
                      <w:kern w:val="32"/>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ab/>
                    <w:t>(56)</w:t>
                  </w:r>
                </w:p>
                <w:p>
                  <w:pPr>
                    <w:tabs>
                      <w:tab w:val="left" w:pos="1134"/>
                    </w:tabs>
                    <w:jc w:val="center"/>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ab/>
                    <w:t>(57)</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(58)</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20"/>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 w:val="20"/>
                    </w:rPr>
                  </w:pPr>
                  <w:r>
                    <w:rPr>
                      <w:b/>
                      <w:i/>
                      <w:sz w:val="20"/>
                    </w:rPr>
                    <w:t>TAR pastaba.</w:t>
                  </w:r>
                  <w:r>
                    <w:rPr>
                      <w:i/>
                      <w:sz w:val="20"/>
                    </w:rPr>
                    <w:t xml:space="preserve"> 86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 p."/>
                <w:tag w:val="part_58352c1d108a4d85b2db68dafcd3876a"/>
                <w:lock w:val="sdtLocked"/>
                <w:richText/>
              </w:sdtPr>
              <w:sdtContent>
                <w:p>
                  <w:pPr>
                    <w:tabs>
                      <w:tab w:val="left" w:pos="1080"/>
                      <w:tab w:val="left" w:pos="1843"/>
                      <w:tab w:val="left" w:pos="2268"/>
                    </w:tabs>
                    <w:ind w:firstLine="720"/>
                    <w:jc w:val="both"/>
                    <w:rPr>
                      <w:szCs w:val="24"/>
                    </w:rPr>
                  </w:pPr>
                  <w:sdt>
                    <w:sdtPr>
                      <w:alias w:val="Numeris"/>
                      <w:tag w:val="nr_58352c1d108a4d85b2db68dafcd3876a"/>
                      <w:lock w:val="sdtLocked"/>
                      <w:richText/>
                    </w:sdtPr>
                    <w:sdtContent>
                      <w:r>
                        <w:rPr>
                          <w:szCs w:val="24"/>
                        </w:rPr>
                        <w:t>87</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(58</w:t>
                  </w:r>
                  <w:r>
                    <w:rPr>
                      <w:szCs w:val="24"/>
                      <w:vertAlign w:val="superscript"/>
                    </w:rPr>
                    <w:t>1</w:t>
                  </w:r>
                  <w:r>
                    <w:rPr>
                      <w:szCs w:val="24"/>
                    </w:rPr>
                    <w:t>)</w:t>
                  </w:r>
                </w:p>
                <w:p>
                  <w:pPr>
                    <w:tabs>
                      <w:tab w:val="left" w:pos="567"/>
                      <w:tab w:val="left" w:pos="1843"/>
                      <w:tab w:val="left" w:pos="2268"/>
                    </w:tabs>
                    <w:jc w:val="center"/>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(58</w:t>
                  </w:r>
                  <w:r>
                    <w:rPr>
                      <w:szCs w:val="24"/>
                      <w:vertAlign w:val="superscript"/>
                    </w:rPr>
                    <w:t>2</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hanging="142"/>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(58</w:t>
                  </w:r>
                  <w:r>
                    <w:rPr>
                      <w:szCs w:val="24"/>
                      <w:vertAlign w:val="superscript"/>
                    </w:rPr>
                    <w:t>3</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09"/>
                    <w:jc w:val="both"/>
                    <w:rPr>
                      <w:szCs w:val="24"/>
                      <w:lang w:eastAsia="lt-LT"/>
                    </w:rPr>
                  </w:pPr>
                  <w:r>
                    <w:rPr>
                      <w:szCs w:val="24"/>
                      <w:lang w:eastAsia="lt-LT"/>
                    </w:rPr>
                    <w:t xml:space="preserve">DKt-1 – </w:t>
                  </w:r>
                  <w:r>
                    <w:rPr>
                      <w:i/>
                      <w:szCs w:val="24"/>
                      <w:lang w:eastAsia="lt-LT"/>
                    </w:rPr>
                    <w:t>t-1</w:t>
                  </w:r>
                  <w:r>
                    <w:rPr>
                      <w:szCs w:val="24"/>
                      <w:lang w:eastAsia="lt-LT"/>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87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1 p."/>
                <w:tag w:val="part_2f3df9296c8f4b52b431969b50b2150f"/>
                <w:lock w:val="sdtLocked"/>
                <w:richText/>
              </w:sdtPr>
              <w:sdtContent>
                <w:p>
                  <w:pPr>
                    <w:ind w:firstLine="709"/>
                    <w:jc w:val="both"/>
                    <w:rPr>
                      <w:sz w:val="20"/>
                    </w:rPr>
                  </w:pPr>
                  <w:sdt>
                    <w:sdtPr>
                      <w:alias w:val="Numeris"/>
                      <w:tag w:val="nr_2f3df9296c8f4b52b431969b50b2150f"/>
                      <w:lock w:val="sdtLocked"/>
                      <w:richText/>
                    </w:sdtPr>
                    <w:sdtContent>
                      <w:r>
                        <w:t>87</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8 p."/>
                <w:tag w:val="part_0f781db10bce4e98b8bf1d414292fca7"/>
                <w:lock w:val="sdtLocked"/>
                <w:richText/>
              </w:sdtPr>
              <w:sdtContent>
                <w:p>
                  <w:pPr>
                    <w:tabs>
                      <w:tab w:val="left" w:pos="1080"/>
                      <w:tab w:val="left" w:pos="1843"/>
                      <w:tab w:val="left" w:pos="2268"/>
                    </w:tabs>
                    <w:ind w:firstLine="720"/>
                    <w:jc w:val="both"/>
                    <w:rPr>
                      <w:szCs w:val="24"/>
                    </w:rPr>
                  </w:pPr>
                  <w:sdt>
                    <w:sdtPr>
                      <w:alias w:val="Numeris"/>
                      <w:tag w:val="nr_0f781db10bce4e98b8bf1d414292fca7"/>
                      <w:lock w:val="sdtLocked"/>
                      <w:richText/>
                    </w:sdtPr>
                    <w:sdtContent>
                      <w:r>
                        <w:rPr>
                          <w:szCs w:val="24"/>
                        </w:rPr>
                        <w:t>88</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04,</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04,</m:t>
                            </m:r>
                            <m:r>
                              <w:rPr>
                                <w:rFonts w:ascii="Cambria Math" w:hAnsi="Cambria Math"/>
                              </w:rPr>
                              <m:t>t</m:t>
                            </m:r>
                          </m:sub>
                        </m:sSub>
                      </m:den>
                    </m:f>
                    <m:r>
                      <w:rPr>
                        <w:rFonts w:ascii="Cambria Math" w:hAnsi="Cambria Math"/>
                      </w:rPr>
                      <m:t>×100</m:t>
                    </m:r>
                  </m:oMath>
                  <w:r>
                    <w:tab/>
                    <w:tab/>
                    <w:tab/>
                    <w:tab/>
                    <w:t>(58</w:t>
                  </w:r>
                  <w:r>
                    <w:rPr>
                      <w:vertAlign w:val="superscript"/>
                    </w:rPr>
                    <w:t>4</w:t>
                  </w:r>
                  <w:r>
                    <w:t>)</w:t>
                  </w:r>
                </w:p>
                <w:p>
                  <w:pPr>
                    <w:tabs>
                      <w:tab w:val="left" w:pos="1134"/>
                      <w:tab w:val="left" w:pos="1843"/>
                      <w:tab w:val="left" w:pos="2268"/>
                    </w:tabs>
                    <w:jc w:val="center"/>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m:t>
                            </m:r>
                            <m:r>
                              <w:rPr>
                                <w:rFonts w:ascii="Cambria Math" w:hAnsi="Cambria Math"/>
                              </w:rPr>
                              <m:t>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10,</m:t>
                            </m:r>
                            <m:r>
                              <w:rPr>
                                <w:rFonts w:ascii="Cambria Math" w:hAnsi="Cambria Math"/>
                              </w:rPr>
                              <m:t>t</m:t>
                            </m:r>
                          </m:sub>
                        </m:sSub>
                      </m:den>
                    </m:f>
                    <m:r>
                      <w:rPr>
                        <w:rFonts w:ascii="Cambria Math" w:hAnsi="Cambria Math"/>
                      </w:rPr>
                      <m:t>×100</m:t>
                    </m:r>
                  </m:oMath>
                  <w:r>
                    <w:tab/>
                    <w:tab/>
                    <w:tab/>
                    <w:tab/>
                    <w:t>(58</w:t>
                  </w:r>
                  <w:r>
                    <w:rPr>
                      <w:vertAlign w:val="superscript"/>
                    </w:rPr>
                    <w:t>5</w:t>
                  </w:r>
                  <w: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jc w:val="both"/>
                  </w:pPr>
                  <w:r>
                    <w:rPr>
                      <w:b/>
                      <w:i/>
                      <w:sz w:val="20"/>
                    </w:rPr>
                    <w:t>TAR pastaba.</w:t>
                  </w:r>
                  <w:r>
                    <w:rPr>
                      <w:i/>
                      <w:sz w:val="20"/>
                    </w:rPr>
                    <w:t xml:space="preserve"> 88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9 p."/>
                <w:tag w:val="part_efe0d3187253498d8c46acf555b4e518"/>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0 p."/>
                <w:tag w:val="part_b32db6115d69465aa0dcc8559b535ac8"/>
                <w:lock w:val="sdtLocked"/>
                <w:richText/>
              </w:sdtPr>
              <w:sdtContent>
                <w:p>
                  <w:pPr>
                    <w:pStyle w:val="PlainText"/>
                    <w:ind w:firstLine="567"/>
                    <w:jc w:val="both"/>
                    <w:rPr>
                      <w:rFonts w:ascii="Times New Roman" w:hAnsi="Times New Roman"/>
                      <w:b/>
                      <w:bCs/>
                      <w:sz w:val="22"/>
                    </w:rPr>
                  </w:pPr>
                  <w:r>
                    <w:rPr>
                      <w:rFonts w:ascii="Times New Roman" w:hAnsi="Times New Roman"/>
                      <w:sz w:val="22"/>
                    </w:rPr>
                    <w:t>90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94d7b9d37a334c4caca33c1aec8da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4 p."/>
                <w:tag w:val="part_dacf1b08a81d4cfeb6736acfa0e05cb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5 p."/>
                <w:tag w:val="part_cfd52f0a7a0a437fa2d3d21938820d65"/>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6 p."/>
                <w:tag w:val="part_6a922ff9f2a24eb2b000d23a0a64d94e"/>
                <w:lock w:val="sdtLocked"/>
                <w:richText/>
              </w:sdtPr>
              <w:sdtContent>
                <w:p>
                  <w:pPr>
                    <w:pStyle w:val="PlainText"/>
                    <w:ind w:firstLine="567"/>
                    <w:jc w:val="both"/>
                    <w:rPr>
                      <w:rFonts w:ascii="Times New Roman" w:hAnsi="Times New Roman"/>
                      <w:b/>
                      <w:bCs/>
                      <w:sz w:val="22"/>
                    </w:rPr>
                  </w:pPr>
                  <w:r>
                    <w:rPr>
                      <w:rFonts w:ascii="Times New Roman" w:hAnsi="Times New Roman"/>
                      <w:sz w:val="22"/>
                    </w:rPr>
                    <w:t>96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5a8f9770f5194706a4c51574f7e8bc7b"/>
            <w:lock w:val="sdtLocked"/>
            <w:richText/>
          </w:sdtPr>
          <w:sdtContent>
            <w:p>
              <w:pPr>
                <w:tabs>
                  <w:tab w:val="left" w:pos="1134"/>
                  <w:tab w:val="left" w:pos="1843"/>
                  <w:tab w:val="left" w:pos="2268"/>
                </w:tabs>
                <w:jc w:val="center"/>
                <w:rPr>
                  <w:b/>
                  <w:szCs w:val="24"/>
                </w:rPr>
              </w:pPr>
              <w:sdt>
                <w:sdtPr>
                  <w:alias w:val="Numeris"/>
                  <w:tag w:val="nr_5a8f9770f5194706a4c51574f7e8bc7b"/>
                  <w:lock w:val="sdtLocked"/>
                  <w:richText/>
                </w:sdtPr>
                <w:sdtContent>
                  <w:r>
                    <w:rPr>
                      <w:b/>
                      <w:szCs w:val="24"/>
                    </w:rPr>
                    <w:t>IV</w:t>
                  </w:r>
                  <w:r>
                    <w:rPr>
                      <w:b/>
                      <w:szCs w:val="24"/>
                      <w:vertAlign w:val="superscript"/>
                    </w:rPr>
                    <w:t>1</w:t>
                  </w:r>
                </w:sdtContent>
              </w:sdt>
              <w:r>
                <w:rPr>
                  <w:b/>
                  <w:szCs w:val="24"/>
                </w:rPr>
                <w:t xml:space="preserve"> SKYRIUS</w:t>
              </w:r>
            </w:p>
            <w:p>
              <w:pPr>
                <w:tabs>
                  <w:tab w:val="left" w:pos="1134"/>
                  <w:tab w:val="left" w:pos="1843"/>
                  <w:tab w:val="left" w:pos="2268"/>
                </w:tabs>
                <w:jc w:val="center"/>
                <w:rPr>
                  <w:szCs w:val="24"/>
                </w:rPr>
              </w:pPr>
              <w:sdt>
                <w:sdtPr>
                  <w:alias w:val="Pavadinimas"/>
                  <w:tag w:val="title_5a8f9770f5194706a4c51574f7e8bc7b"/>
                  <w:lock w:val="sdtLocked"/>
                  <w:richText/>
                </w:sdtPr>
                <w:sdtContent>
                  <w:r>
                    <w:rPr>
                      <w:b/>
                      <w:szCs w:val="24"/>
                    </w:rPr>
                    <w:t xml:space="preserve">SKIRSTYMO PASLAUGOS BUITINIAMS VARTOTOJAMS PAPILDOMOS DEDAMOSIOS, SKIRTOS SKIRTUMUI TARP </w:t>
                  </w:r>
                  <w:r>
                    <w:rPr>
                      <w:b/>
                      <w:bCs/>
                      <w:szCs w:val="24"/>
                    </w:rPr>
                    <w:t xml:space="preserve">VISUOMENINIO TIEKĖJO FAKTINIŲ IR PROGNOZUOTŲ PAGRĮSTŲ SĄNAUDŲ KOMPENSUOTI, </w:t>
                  </w:r>
                  <w:r>
                    <w:rPr>
                      <w:b/>
                      <w:szCs w:val="24"/>
                    </w:rPr>
                    <w:t>NUSTATYMAS</w:t>
                  </w:r>
                </w:sdtContent>
              </w:sdt>
            </w:p>
            <w:p>
              <w:pPr>
                <w:tabs>
                  <w:tab w:val="left" w:pos="1134"/>
                  <w:tab w:val="left" w:pos="1843"/>
                  <w:tab w:val="left" w:pos="2268"/>
                </w:tabs>
                <w:ind w:firstLine="567"/>
                <w:jc w:val="both"/>
                <w:rPr>
                  <w:szCs w:val="24"/>
                </w:rPr>
              </w:pPr>
            </w:p>
            <w:sdt>
              <w:sdtPr>
                <w:alias w:val="96-1 p."/>
                <w:tag w:val="part_ed5b4038e3014eec9ea36686415e3d17"/>
                <w:lock w:val="sdtLocked"/>
                <w:richText/>
              </w:sdtPr>
              <w:sdtContent>
                <w:p>
                  <w:pPr>
                    <w:ind w:firstLine="709"/>
                    <w:jc w:val="both"/>
                    <w:rPr>
                      <w:szCs w:val="24"/>
                    </w:rPr>
                  </w:pPr>
                  <w:sdt>
                    <w:sdtPr>
                      <w:alias w:val="Numeris"/>
                      <w:tag w:val="nr_ed5b4038e3014eec9ea36686415e3d17"/>
                      <w:lock w:val="sdtLocked"/>
                      <w:richText/>
                    </w:sdtPr>
                    <w:sdtContent>
                      <w:r>
                        <w:rPr>
                          <w:rFonts w:eastAsia="MS Mincho"/>
                          <w:szCs w:val="24"/>
                        </w:rPr>
                        <w:t>96</w:t>
                      </w:r>
                      <w:r>
                        <w:rPr>
                          <w:rFonts w:eastAsia="MS Mincho"/>
                          <w:szCs w:val="24"/>
                          <w:vertAlign w:val="superscript"/>
                        </w:rPr>
                        <w:t>1</w:t>
                      </w:r>
                    </w:sdtContent>
                  </w:sdt>
                  <w:r>
                    <w:rPr>
                      <w:rFonts w:eastAsia="MS Mincho"/>
                      <w:szCs w:val="24"/>
                    </w:rPr>
                    <w:t xml:space="preserve">. Papildoma dedamoji prie buitiniams vartotojams </w:t>
                  </w:r>
                  <w:r>
                    <w:rPr>
                      <w:i/>
                      <w:szCs w:val="24"/>
                    </w:rPr>
                    <w:t xml:space="preserve">t </w:t>
                  </w:r>
                  <w:r>
                    <w:rPr>
                      <w:szCs w:val="24"/>
                    </w:rPr>
                    <w:t xml:space="preserve">metų skirstymo paslaugos kainos, nustatytos neviršijant Metodikos </w:t>
                  </w:r>
                  <w:r>
                    <w:rPr>
                      <w:rFonts w:eastAsia="MS Mincho"/>
                      <w:szCs w:val="24"/>
                    </w:rPr>
                    <w:t>77 punkte nurodytos koreguotos</w:t>
                  </w:r>
                  <w:r>
                    <w:rPr>
                      <w:rFonts w:eastAsia="MS Mincho"/>
                      <w:sz w:val="20"/>
                    </w:rPr>
                    <w:t xml:space="preserve"> </w:t>
                  </w:r>
                  <w:r>
                    <w:rPr>
                      <w:i/>
                      <w:szCs w:val="24"/>
                    </w:rPr>
                    <w:t xml:space="preserve">t </w:t>
                  </w:r>
                  <w:r>
                    <w:rPr>
                      <w:szCs w:val="24"/>
                    </w:rPr>
                    <w:t xml:space="preserve">metų skirstymo paslaugos kainos viršutinės ribos, nustatoma dėl skirtumo, susidariusio tarp visuomeninio tiekėjo, kuris </w:t>
                  </w:r>
                  <w:r>
                    <w:rPr>
                      <w:color w:val="000000"/>
                      <w:szCs w:val="24"/>
                      <w:lang w:eastAsia="lt-LT"/>
                    </w:rPr>
                    <w:t xml:space="preserve">veikė STO skirstymo veiklos licencijoje nurodytoje teritorijoje, faktiškai surinktų lėšų ir pagristų sąnaudų </w:t>
                  </w:r>
                  <w:r>
                    <w:rPr>
                      <w:szCs w:val="24"/>
                    </w:rPr>
                    <w:t xml:space="preserve">(įskaitant ir pinigų kainą). Skirstymo paslaugos </w:t>
                  </w:r>
                  <w:r>
                    <w:rPr>
                      <w:i/>
                      <w:iCs/>
                      <w:szCs w:val="24"/>
                    </w:rPr>
                    <w:t>t</w:t>
                  </w:r>
                  <w:r>
                    <w:rPr>
                      <w:szCs w:val="24"/>
                    </w:rPr>
                    <w:t xml:space="preserve"> metų kainos buitiniams vartotojams papildoma dedamoji (</w:t>
                  </w:r>
                  <w:r>
                    <w:rPr>
                      <w:color w:val="000000"/>
                      <w:szCs w:val="24"/>
                      <w:lang w:eastAsia="lt-LT"/>
                    </w:rPr>
                    <w:t>ST</w:t>
                  </w:r>
                  <w:r>
                    <w:rPr>
                      <w:color w:val="000000"/>
                      <w:szCs w:val="24"/>
                      <w:vertAlign w:val="subscript"/>
                      <w:lang w:eastAsia="lt-LT"/>
                    </w:rPr>
                    <w:t>t</w:t>
                  </w:r>
                  <w:r>
                    <w:rPr>
                      <w:szCs w:val="24"/>
                    </w:rPr>
                    <w:t>) apskaičiuojama pagal formulę:</w:t>
                  </w:r>
                </w:p>
                <w:p>
                  <w:pPr>
                    <w:ind w:firstLine="709"/>
                    <w:jc w:val="both"/>
                    <w:rPr>
                      <w:szCs w:val="24"/>
                    </w:rPr>
                  </w:pPr>
                </w:p>
                <w:p>
                  <w:pPr>
                    <w:tabs>
                      <w:tab w:val="left" w:pos="1134"/>
                    </w:tabs>
                    <w:ind w:firstLine="2160"/>
                    <w:jc w:val="center"/>
                    <w:rPr>
                      <w:szCs w:val="24"/>
                    </w:rPr>
                  </w:pPr>
                  <m:oMath>
                    <m:sSub>
                      <m:sSubPr>
                        <m:ctrlPr>
                          <w:rPr>
                            <w:rFonts w:ascii="Cambria Math" w:hAnsi="Cambria Math"/>
                            <w:color w:val="000000"/>
                            <w:szCs w:val="24"/>
                            <w:lang w:eastAsia="lt-LT"/>
                          </w:rPr>
                        </m:ctrlPr>
                      </m:sSubPr>
                      <m:e>
                        <m:r>
                          <m:rPr>
                            <m:sty m:val="p"/>
                          </m:rPr>
                          <w:rPr>
                            <w:rFonts w:ascii="Cambria Math" w:hAnsi="Cambria Math"/>
                            <w:color w:val="000000"/>
                            <w:szCs w:val="24"/>
                            <w:lang w:eastAsia="lt-LT"/>
                          </w:rPr>
                          <m:t>ST</m:t>
                        </m:r>
                      </m:e>
                      <m:sub>
                        <m:r>
                          <w:rPr>
                            <w:rFonts w:ascii="Cambria Math" w:hAnsi="Cambria Math"/>
                            <w:color w:val="000000"/>
                            <w:szCs w:val="24"/>
                            <w:lang w:eastAsia="lt-LT"/>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T</m:t>
                                </m:r>
                              </m:e>
                              <m:sub>
                                <m:r>
                                  <w:rPr>
                                    <w:rFonts w:ascii="Cambria Math" w:hAnsi="Cambria Math"/>
                                  </w:rPr>
                                  <m:t>t</m:t>
                                </m:r>
                                <m:r>
                                  <w:rPr>
                                    <w:rFonts w:ascii="Cambria Math" w:hAnsi="Cambria Math"/>
                                  </w:rPr>
                                  <m:t xml:space="preserve"> </m:t>
                                </m:r>
                              </m:sub>
                            </m:sSub>
                            <m:r>
                              <w:rPr>
                                <w:rFonts w:ascii="Cambria Math" w:hAnsi="Cambria Math"/>
                              </w:rPr>
                              <m:t>-</m:t>
                            </m:r>
                            <m:r>
                              <w:rPr>
                                <w:rFonts w:ascii="Cambria Math" w:hAnsi="Cambria Math"/>
                              </w:rPr>
                              <m:t>P</m:t>
                            </m:r>
                          </m:e>
                          <m:sub>
                            <m:r>
                              <w:rPr>
                                <w:rFonts w:ascii="Cambria Math" w:hAnsi="Cambria Math"/>
                              </w:rPr>
                              <m:t>t</m:t>
                            </m:r>
                            <m:r>
                              <w:rPr>
                                <w:rFonts w:ascii="Cambria Math" w:hAnsi="Cambria Math"/>
                              </w:rPr>
                              <m:t xml:space="preserve"> </m:t>
                            </m:r>
                          </m:sub>
                        </m:sSub>
                        <m:r>
                          <w:rPr>
                            <w:rFonts w:ascii="Cambria Math" w:hAnsi="Cambria Math"/>
                          </w:rPr>
                          <m:t>)</m:t>
                        </m:r>
                      </m:num>
                      <m:den>
                        <m:sSub>
                          <m:sSubPr>
                            <m:ctrlPr>
                              <w:rPr>
                                <w:rFonts w:ascii="Cambria Math" w:hAnsi="Cambria Math"/>
                                <w:i/>
                              </w:rPr>
                            </m:ctrlPr>
                          </m:sSubPr>
                          <m:e>
                            <m:r>
                              <w:rPr>
                                <w:rFonts w:ascii="Cambria Math" w:hAnsi="Cambria Math"/>
                              </w:rPr>
                              <m:t>E</m:t>
                            </m:r>
                          </m:e>
                          <m:sub>
                            <m:r>
                              <w:rPr>
                                <w:rFonts w:ascii="Cambria Math" w:hAnsi="Cambria Math"/>
                              </w:rPr>
                              <m:t>Bt</m:t>
                            </m:r>
                          </m:sub>
                        </m:sSub>
                      </m:den>
                    </m:f>
                    <m:r>
                      <w:rPr>
                        <w:rFonts w:ascii="Cambria Math" w:hAnsi="Cambria Math"/>
                      </w:rPr>
                      <m:t>×100</m:t>
                    </m:r>
                  </m:oMath>
                  <w:r>
                    <w:t>(58</w:t>
                  </w:r>
                  <w:r>
                    <w:rPr>
                      <w:vertAlign w:val="superscript"/>
                    </w:rPr>
                    <w:t>5</w:t>
                  </w:r>
                  <w:r>
                    <w:t>)</w:t>
                  </w:r>
                </w:p>
                <w:p>
                  <w:pPr>
                    <w:tabs>
                      <w:tab w:val="left" w:pos="1134"/>
                      <w:tab w:val="left" w:pos="1843"/>
                      <w:tab w:val="left" w:pos="2268"/>
                    </w:tabs>
                    <w:jc w:val="both"/>
                    <w:rPr>
                      <w:szCs w:val="24"/>
                    </w:rPr>
                  </w:pPr>
                </w:p>
                <w:p>
                  <w:pPr>
                    <w:tabs>
                      <w:tab w:val="left" w:pos="1134"/>
                    </w:tabs>
                    <w:jc w:val="center"/>
                    <w:rPr>
                      <w:rFonts w:eastAsia="MS Mincho"/>
                      <w:sz w:val="20"/>
                    </w:rPr>
                  </w:pPr>
                </w:p>
                <w:p>
                  <w:pPr>
                    <w:ind w:firstLine="709"/>
                    <w:jc w:val="both"/>
                    <w:rPr>
                      <w:color w:val="000000"/>
                      <w:szCs w:val="24"/>
                      <w:lang w:eastAsia="lt-LT"/>
                    </w:rPr>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rPr>
                    <w:t xml:space="preserve">skirstymo paslaugos </w:t>
                  </w:r>
                  <w:r>
                    <w:rPr>
                      <w:i/>
                      <w:iCs/>
                      <w:szCs w:val="24"/>
                    </w:rPr>
                    <w:t>t</w:t>
                  </w:r>
                  <w:r>
                    <w:rPr>
                      <w:szCs w:val="24"/>
                    </w:rPr>
                    <w:t xml:space="preserve"> metų kainos buitiniams vartotojams papildoma dedamoji, ct/kWh; </w:t>
                  </w:r>
                </w:p>
                <w:p>
                  <w:pPr>
                    <w:ind w:firstLine="709"/>
                    <w:jc w:val="both"/>
                    <w:rPr>
                      <w:color w:val="000000"/>
                      <w:szCs w:val="24"/>
                      <w:lang w:eastAsia="lt-LT"/>
                    </w:rPr>
                  </w:pPr>
                  <w:r>
                    <w:rPr>
                      <w:color w:val="000000"/>
                      <w:szCs w:val="24"/>
                      <w:lang w:eastAsia="lt-LT"/>
                    </w:rPr>
                    <w:t>T</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 xml:space="preserve">2 </w:t>
                  </w:r>
                  <w:r>
                    <w:rPr>
                      <w:color w:val="000000"/>
                      <w:szCs w:val="24"/>
                      <w:lang w:eastAsia="lt-LT"/>
                    </w:rPr>
                    <w:t xml:space="preserve">punktą apskaičiuota suma, kurią STO </w:t>
                  </w:r>
                  <w:r>
                    <w:rPr>
                      <w:i/>
                      <w:iCs/>
                      <w:color w:val="000000"/>
                      <w:szCs w:val="24"/>
                      <w:lang w:eastAsia="lt-LT"/>
                    </w:rPr>
                    <w:t>t</w:t>
                  </w:r>
                  <w:r>
                    <w:rPr>
                      <w:color w:val="000000"/>
                      <w:szCs w:val="24"/>
                      <w:lang w:eastAsia="lt-LT"/>
                    </w:rPr>
                    <w:t xml:space="preserve"> metais turi kompensuoti visuomeniniam tiekėjui, kuris veikė STO skirstymo veiklos licencijoje nurodytoje teritorijoje, EUR;</w:t>
                  </w:r>
                </w:p>
                <w:p>
                  <w:pPr>
                    <w:ind w:firstLine="709"/>
                    <w:jc w:val="both"/>
                    <w:rPr>
                      <w:color w:val="000000"/>
                      <w:szCs w:val="24"/>
                      <w:lang w:eastAsia="lt-LT"/>
                    </w:rPr>
                  </w:pPr>
                  <w:r>
                    <w:rPr>
                      <w:color w:val="000000"/>
                      <w:szCs w:val="24"/>
                      <w:lang w:eastAsia="lt-LT"/>
                    </w:rPr>
                    <w:t>P</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3</w:t>
                  </w:r>
                  <w:r>
                    <w:rPr>
                      <w:color w:val="000000"/>
                      <w:szCs w:val="24"/>
                      <w:lang w:eastAsia="lt-LT"/>
                    </w:rPr>
                    <w:t xml:space="preserve"> punktą apskaičiuota suma, kurią 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EUR;</w:t>
                  </w:r>
                </w:p>
                <w:p>
                  <w:pPr>
                    <w:ind w:firstLine="709"/>
                    <w:jc w:val="both"/>
                    <w:rPr>
                      <w:szCs w:val="24"/>
                    </w:rPr>
                  </w:pPr>
                  <w:r>
                    <w:rPr>
                      <w:color w:val="000000"/>
                      <w:szCs w:val="24"/>
                      <w:lang w:eastAsia="lt-LT"/>
                    </w:rPr>
                    <w:t>E</w:t>
                  </w:r>
                  <w:r>
                    <w:rPr>
                      <w:color w:val="000000"/>
                      <w:szCs w:val="24"/>
                      <w:vertAlign w:val="subscript"/>
                      <w:lang w:eastAsia="lt-LT"/>
                    </w:rPr>
                    <w:t>B,t</w:t>
                  </w:r>
                  <w:r>
                    <w:rPr>
                      <w:color w:val="000000"/>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p>
              </w:sdtContent>
            </w:sdt>
            <w:sdt>
              <w:sdtPr>
                <w:alias w:val="96-2 p."/>
                <w:tag w:val="part_d558835806c54ee69d68cc4d1874ab8c"/>
                <w:lock w:val="sdtLocked"/>
                <w:richText/>
              </w:sdtPr>
              <w:sdtContent>
                <w:p>
                  <w:pPr>
                    <w:ind w:firstLine="709"/>
                    <w:jc w:val="both"/>
                    <w:rPr>
                      <w:szCs w:val="24"/>
                    </w:rPr>
                  </w:pPr>
                  <w:sdt>
                    <w:sdtPr>
                      <w:alias w:val="Numeris"/>
                      <w:tag w:val="nr_d558835806c54ee69d68cc4d1874ab8c"/>
                      <w:lock w:val="sdtLocked"/>
                      <w:richText/>
                    </w:sdtPr>
                    <w:sdtContent>
                      <w:r>
                        <w:rPr>
                          <w:szCs w:val="24"/>
                        </w:rPr>
                        <w:t>96</w:t>
                      </w:r>
                      <w:r>
                        <w:rPr>
                          <w:szCs w:val="24"/>
                          <w:vertAlign w:val="superscript"/>
                        </w:rPr>
                        <w:t>2</w:t>
                      </w:r>
                    </w:sdtContent>
                  </w:sdt>
                  <w:r>
                    <w:rPr>
                      <w:szCs w:val="24"/>
                    </w:rPr>
                    <w:t>. Suma (T</w:t>
                  </w:r>
                  <w:r>
                    <w:rPr>
                      <w:szCs w:val="24"/>
                      <w:vertAlign w:val="subscript"/>
                    </w:rPr>
                    <w:t>t</w:t>
                  </w:r>
                  <w:r>
                    <w:rPr>
                      <w:szCs w:val="24"/>
                    </w:rPr>
                    <w:t xml:space="preserve">), kurią STO turi kompensuoti </w:t>
                  </w:r>
                  <w:r>
                    <w:rPr>
                      <w:i/>
                      <w:iCs/>
                      <w:szCs w:val="24"/>
                    </w:rPr>
                    <w:t>t</w:t>
                  </w:r>
                  <w:r>
                    <w:rPr>
                      <w:szCs w:val="24"/>
                    </w:rPr>
                    <w:t xml:space="preserve"> metais </w:t>
                  </w:r>
                  <w:r>
                    <w:rPr>
                      <w:color w:val="000000"/>
                      <w:szCs w:val="24"/>
                      <w:lang w:eastAsia="lt-LT"/>
                    </w:rPr>
                    <w:t xml:space="preserve">visuomeniniam tiekėjui, veikiančiam STO skirstymo veiklos licencijoje nurodytoje teritorijoje, yra lygi neigiamam </w:t>
                  </w:r>
                  <w:r>
                    <w:rPr>
                      <w:szCs w:val="24"/>
                    </w:rPr>
                    <w:t xml:space="preserve">skirtumui, susidariusiam iki </w:t>
                  </w:r>
                  <w:r>
                    <w:rPr>
                      <w:i/>
                      <w:iCs/>
                      <w:szCs w:val="24"/>
                    </w:rPr>
                    <w:t>t-1</w:t>
                  </w:r>
                  <w:r>
                    <w:rPr>
                      <w:szCs w:val="24"/>
                    </w:rPr>
                    <w:t xml:space="preserve"> rugsėjo 30 d. tarp visuomeninio tiekėjo faktiškai surinktų lėšų</w:t>
                  </w:r>
                  <w:r>
                    <w:rPr>
                      <w:rFonts w:eastAsia="MS Mincho"/>
                      <w:szCs w:val="24"/>
                    </w:rPr>
                    <w:t xml:space="preserve"> </w:t>
                  </w:r>
                  <w:r>
                    <w:rPr>
                      <w:szCs w:val="24"/>
                    </w:rPr>
                    <w:t>ir pagrįstų sąnaudų teikiant visuomeninio tiekimo paslaugą</w:t>
                  </w:r>
                  <w:r>
                    <w:rPr>
                      <w:color w:val="000000"/>
                      <w:szCs w:val="24"/>
                      <w:lang w:eastAsia="lt-LT"/>
                    </w:rPr>
                    <w:t xml:space="preserve">, arba šio skirtumo </w:t>
                  </w:r>
                  <w:r>
                    <w:rPr>
                      <w:i/>
                      <w:iCs/>
                      <w:color w:val="000000"/>
                      <w:szCs w:val="24"/>
                      <w:lang w:eastAsia="lt-LT"/>
                    </w:rPr>
                    <w:t>t</w:t>
                  </w:r>
                  <w:r>
                    <w:rPr>
                      <w:color w:val="000000"/>
                      <w:szCs w:val="24"/>
                      <w:lang w:eastAsia="lt-LT"/>
                    </w:rPr>
                    <w:t xml:space="preserve"> 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3 p."/>
                <w:tag w:val="part_c9b2feb479c04e7191d85c9bd042480b"/>
                <w:lock w:val="sdtLocked"/>
                <w:richText/>
              </w:sdtPr>
              <w:sdtContent>
                <w:p>
                  <w:pPr>
                    <w:ind w:firstLine="709"/>
                    <w:jc w:val="both"/>
                    <w:rPr>
                      <w:szCs w:val="24"/>
                    </w:rPr>
                  </w:pPr>
                  <w:sdt>
                    <w:sdtPr>
                      <w:alias w:val="Numeris"/>
                      <w:tag w:val="nr_c9b2feb479c04e7191d85c9bd042480b"/>
                      <w:lock w:val="sdtLocked"/>
                      <w:richText/>
                    </w:sdtPr>
                    <w:sdtContent>
                      <w:r>
                        <w:rPr>
                          <w:szCs w:val="24"/>
                        </w:rPr>
                        <w:t>96</w:t>
                      </w:r>
                      <w:r>
                        <w:rPr>
                          <w:szCs w:val="24"/>
                          <w:vertAlign w:val="superscript"/>
                        </w:rPr>
                        <w:t>3</w:t>
                      </w:r>
                    </w:sdtContent>
                  </w:sdt>
                  <w:r>
                    <w:rPr>
                      <w:szCs w:val="24"/>
                    </w:rPr>
                    <w:t>. Suma (P</w:t>
                  </w:r>
                  <w:r>
                    <w:rPr>
                      <w:szCs w:val="24"/>
                      <w:vertAlign w:val="subscript"/>
                    </w:rPr>
                    <w:t>t</w:t>
                  </w:r>
                  <w:r>
                    <w:rPr>
                      <w:szCs w:val="24"/>
                    </w:rPr>
                    <w:t xml:space="preserve">), kurią </w:t>
                  </w:r>
                  <w:r>
                    <w:rPr>
                      <w:color w:val="000000"/>
                      <w:szCs w:val="24"/>
                      <w:lang w:eastAsia="lt-LT"/>
                    </w:rPr>
                    <w:t xml:space="preserve">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yra lygi teigiamam </w:t>
                  </w:r>
                  <w:r>
                    <w:rPr>
                      <w:szCs w:val="24"/>
                    </w:rPr>
                    <w:t xml:space="preserve">skirtumui, susidariusiam iki </w:t>
                  </w:r>
                  <w:r>
                    <w:rPr>
                      <w:i/>
                      <w:iCs/>
                      <w:szCs w:val="24"/>
                    </w:rPr>
                    <w:t>t-1</w:t>
                  </w:r>
                  <w:r>
                    <w:rPr>
                      <w:szCs w:val="24"/>
                    </w:rPr>
                    <w:t xml:space="preserve"> rugsėjo 30 d. tarp visuomeninio tiekėjo faktiškai surinktų lėšų ir pagrįstų sąnaudų teikiant visuomeninio tiekimo paslaugą</w:t>
                  </w:r>
                  <w:r>
                    <w:rPr>
                      <w:color w:val="000000"/>
                      <w:szCs w:val="24"/>
                      <w:lang w:eastAsia="lt-LT"/>
                    </w:rPr>
                    <w:t xml:space="preserve">, arba šio skirtumo </w:t>
                  </w:r>
                  <w:r>
                    <w:rPr>
                      <w:i/>
                      <w:iCs/>
                      <w:color w:val="000000"/>
                      <w:szCs w:val="24"/>
                      <w:lang w:eastAsia="lt-LT"/>
                    </w:rPr>
                    <w:t>t </w:t>
                  </w:r>
                  <w:r>
                    <w:rPr>
                      <w:color w:val="000000"/>
                      <w:szCs w:val="24"/>
                      <w:lang w:eastAsia="lt-LT"/>
                    </w:rPr>
                    <w:t xml:space="preserve">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4 p."/>
                <w:tag w:val="part_3a0a9a21e7a845f497576cce484793d7"/>
                <w:lock w:val="sdtLocked"/>
                <w:richText/>
              </w:sdtPr>
              <w:sdtContent>
                <w:p>
                  <w:pPr>
                    <w:ind w:firstLine="709"/>
                    <w:jc w:val="both"/>
                    <w:rPr>
                      <w:szCs w:val="24"/>
                    </w:rPr>
                  </w:pPr>
                  <w:sdt>
                    <w:sdtPr>
                      <w:alias w:val="Numeris"/>
                      <w:tag w:val="nr_3a0a9a21e7a845f497576cce484793d7"/>
                      <w:lock w:val="sdtLocked"/>
                      <w:richText/>
                    </w:sdtPr>
                    <w:sdtContent>
                      <w:r>
                        <w:rPr>
                          <w:szCs w:val="24"/>
                        </w:rPr>
                        <w:t>96</w:t>
                      </w:r>
                      <w:r>
                        <w:rPr>
                          <w:szCs w:val="24"/>
                          <w:vertAlign w:val="superscript"/>
                        </w:rPr>
                        <w:t>4</w:t>
                      </w:r>
                    </w:sdtContent>
                  </w:sdt>
                  <w:r>
                    <w:rPr>
                      <w:szCs w:val="24"/>
                    </w:rPr>
                    <w:t xml:space="preserve">. Apskaičiuojant </w:t>
                  </w:r>
                  <w:r>
                    <w:rPr>
                      <w:szCs w:val="24"/>
                      <w:lang w:eastAsia="lt-LT"/>
                    </w:rPr>
                    <w:t>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w:t>
                  </w:r>
                  <w:r>
                    <w:rPr>
                      <w:szCs w:val="24"/>
                    </w:rPr>
                    <w:t xml:space="preserve">nurodytą skirtumą, įskaičiuojamas ir dėl </w:t>
                  </w:r>
                  <w:r>
                    <w:rPr>
                      <w:color w:val="000000"/>
                      <w:szCs w:val="24"/>
                      <w:lang w:eastAsia="lt-LT"/>
                    </w:rPr>
                    <w:t>prognozuotos elektros energijos įsigijimo kainos ir faktinės elektros energijos įsigijimo kainos</w:t>
                  </w:r>
                  <w:r>
                    <w:rPr>
                      <w:szCs w:val="24"/>
                    </w:rPr>
                    <w:t xml:space="preserve"> neatitikimo susidaręs skirtumas, apskaičiuotas pagal Metodikos 108 – 110 punktų nuostatas, taip pat dėl v</w:t>
                  </w:r>
                  <w:r>
                    <w:rPr>
                      <w:szCs w:val="24"/>
                      <w:lang w:eastAsia="lt-LT"/>
                    </w:rPr>
                    <w:t>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111</w:t>
                  </w:r>
                  <w:r>
                    <w:rPr>
                      <w:szCs w:val="24"/>
                      <w:vertAlign w:val="superscript"/>
                      <w:lang w:eastAsia="lt-LT"/>
                    </w:rPr>
                    <w:t>2</w:t>
                  </w:r>
                  <w:r>
                    <w:rPr>
                      <w:szCs w:val="24"/>
                      <w:lang w:eastAsia="lt-LT"/>
                    </w:rPr>
                    <w:t xml:space="preserve"> punktu, susidariusi sąnaudų suma</w:t>
                  </w:r>
                  <w:r>
                    <w:rPr>
                      <w:szCs w:val="24"/>
                    </w:rPr>
                    <w:t xml:space="preserve">. </w:t>
                  </w:r>
                </w:p>
              </w:sdtContent>
            </w:sdt>
            <w:sdt>
              <w:sdtPr>
                <w:alias w:val="96-5 p."/>
                <w:tag w:val="part_f9b19fc629484959a94d46d5b0bc9a29"/>
                <w:lock w:val="sdtLocked"/>
                <w:richText/>
              </w:sdtPr>
              <w:sdtContent>
                <w:p>
                  <w:pPr>
                    <w:ind w:firstLine="709"/>
                    <w:jc w:val="both"/>
                    <w:rPr>
                      <w:szCs w:val="24"/>
                      <w:lang w:eastAsia="lt-LT"/>
                    </w:rPr>
                  </w:pPr>
                  <w:sdt>
                    <w:sdtPr>
                      <w:alias w:val="Numeris"/>
                      <w:tag w:val="nr_f9b19fc629484959a94d46d5b0bc9a29"/>
                      <w:lock w:val="sdtLocked"/>
                      <w:richText/>
                    </w:sdtPr>
                    <w:sdtContent>
                      <w:r>
                        <w:rPr>
                          <w:szCs w:val="24"/>
                        </w:rPr>
                        <w:t>96</w:t>
                      </w:r>
                      <w:r>
                        <w:rPr>
                          <w:szCs w:val="24"/>
                          <w:vertAlign w:val="superscript"/>
                        </w:rPr>
                        <w:t>5</w:t>
                      </w:r>
                    </w:sdtContent>
                  </w:sdt>
                  <w:r>
                    <w:rPr>
                      <w:szCs w:val="24"/>
                    </w:rPr>
                    <w:t xml:space="preserve">. </w:t>
                  </w:r>
                  <w:r>
                    <w:rPr>
                      <w:szCs w:val="24"/>
                      <w:lang w:eastAsia="lt-LT"/>
                    </w:rPr>
                    <w:t>Reguliuojančiosios institucijos motyvuotu sprendimu 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nurodyto skirtumo kompensavimas gali būti išdėstomas per ilgesnį nei vienerių metų laikotarpį, tačiau šis laikotarpis turi baigtis ne vėliau kaip 2025 m. gruodžio 31 d. Kai šio skirtumo kompensavimas išdėstomas per ilgesnį nei vienerių metų laikotarpį, pirmais ir vėlesniais metais įvertinama po pirmų metų kompensuotinų skirtumo dalių pinigų kaina, kuri įskaičiuojama į atitinkamai Metodikos 96</w:t>
                  </w:r>
                  <w:r>
                    <w:rPr>
                      <w:szCs w:val="24"/>
                      <w:vertAlign w:val="superscript"/>
                      <w:lang w:eastAsia="lt-LT"/>
                    </w:rPr>
                    <w:t>2</w:t>
                  </w:r>
                  <w:r>
                    <w:rPr>
                      <w:szCs w:val="24"/>
                      <w:lang w:eastAsia="lt-LT"/>
                    </w:rPr>
                    <w:t xml:space="preserve"> arba 96</w:t>
                  </w:r>
                  <w:r>
                    <w:rPr>
                      <w:szCs w:val="24"/>
                      <w:vertAlign w:val="superscript"/>
                      <w:lang w:eastAsia="lt-LT"/>
                    </w:rPr>
                    <w:t>3</w:t>
                  </w:r>
                  <w:r>
                    <w:rPr>
                      <w:szCs w:val="24"/>
                      <w:lang w:eastAsia="lt-LT"/>
                    </w:rPr>
                    <w:t xml:space="preserve"> punktuose nurodytą sumą </w:t>
                  </w:r>
                  <w:r>
                    <w:rPr>
                      <w:i/>
                      <w:iCs/>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Nustatant antrų ir vėlesnių metų kompensuotinos skirtumo dalies pinigų kainą, tos dalies, kuri kompensuojama </w:t>
                  </w:r>
                  <w:r>
                    <w:rPr>
                      <w:i/>
                      <w:iCs/>
                      <w:szCs w:val="24"/>
                      <w:lang w:eastAsia="lt-LT"/>
                    </w:rPr>
                    <w:t>t</w:t>
                  </w:r>
                  <w:r>
                    <w:rPr>
                      <w:szCs w:val="24"/>
                      <w:lang w:eastAsia="lt-LT"/>
                    </w:rPr>
                    <w:t xml:space="preserve"> metais, pinigų kainai apskaičiuoti taikoma ½ palūkanų normos.</w:t>
                  </w:r>
                </w:p>
              </w:sdtContent>
            </w:sdt>
            <w:sdt>
              <w:sdtPr>
                <w:alias w:val="96-6 p."/>
                <w:tag w:val="part_367bc973eca2454d93600e0cdb98dee7"/>
                <w:lock w:val="sdtLocked"/>
                <w:richText/>
              </w:sdtPr>
              <w:sdtContent>
                <w:p>
                  <w:pPr>
                    <w:ind w:firstLine="709"/>
                    <w:jc w:val="both"/>
                    <w:rPr>
                      <w:szCs w:val="24"/>
                    </w:rPr>
                  </w:pPr>
                  <w:sdt>
                    <w:sdtPr>
                      <w:alias w:val="Numeris"/>
                      <w:tag w:val="nr_367bc973eca2454d93600e0cdb98dee7"/>
                      <w:lock w:val="sdtLocked"/>
                      <w:richText/>
                    </w:sdtPr>
                    <w:sdtContent>
                      <w:r>
                        <w:rPr>
                          <w:szCs w:val="24"/>
                          <w:lang w:eastAsia="lt-LT"/>
                        </w:rPr>
                        <w:t>96</w:t>
                      </w:r>
                      <w:r>
                        <w:rPr>
                          <w:szCs w:val="24"/>
                          <w:vertAlign w:val="superscript"/>
                          <w:lang w:eastAsia="lt-LT"/>
                        </w:rPr>
                        <w:t>6</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18 punkto nuostatas.</w:t>
                  </w:r>
                </w:p>
              </w:sdtContent>
            </w:sdt>
            <w:sdt>
              <w:sdtPr>
                <w:alias w:val="96-7 p."/>
                <w:tag w:val="part_d2754ae7fe464e69a9f09740efcfd053"/>
                <w:lock w:val="sdtLocked"/>
                <w:richText/>
              </w:sdtPr>
              <w:sdtContent>
                <w:p>
                  <w:pPr>
                    <w:ind w:firstLine="709"/>
                    <w:jc w:val="both"/>
                    <w:rPr>
                      <w:sz w:val="20"/>
                    </w:rPr>
                  </w:pPr>
                  <w:sdt>
                    <w:sdtPr>
                      <w:alias w:val="Numeris"/>
                      <w:tag w:val="nr_d2754ae7fe464e69a9f09740efcfd053"/>
                      <w:lock w:val="sdtLocked"/>
                      <w:richText/>
                    </w:sdtPr>
                    <w:sdtContent>
                      <w:r>
                        <w:t>96</w:t>
                      </w:r>
                      <w:r>
                        <w:rPr>
                          <w:vertAlign w:val="superscript"/>
                        </w:rPr>
                        <w:t>7</w:t>
                      </w:r>
                    </w:sdtContent>
                  </w:sdt>
                  <w:r>
                    <w:t>. Vienam visuomeniniam tiekėjui veikiant kelių STO licencijuojamos veiklos teritorijose, papildoma dedamoji ST</w:t>
                  </w:r>
                  <w:r>
                    <w:rPr>
                      <w:vertAlign w:val="subscript"/>
                    </w:rPr>
                    <w:t>t</w:t>
                  </w:r>
                  <w:r>
                    <w:t xml:space="preserve"> apskaičiuojama bei kompensuojama kiekvienam STO individualiai, vadovaujantis Metodikos 96</w:t>
                  </w:r>
                  <w:r>
                    <w:rPr>
                      <w:vertAlign w:val="superscript"/>
                    </w:rPr>
                    <w:t>1</w:t>
                  </w:r>
                  <w:r>
                    <w:t xml:space="preserve"> punktu.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skyrius"/>
            <w:tag w:val="part_24384c1cd70f44f5bc32cee795f53130"/>
            <w:lock w:val="sdtLocked"/>
            <w:richText/>
          </w:sdtPr>
          <w:sdtContent>
            <w:p>
              <w:pPr>
                <w:tabs>
                  <w:tab w:val="left" w:pos="1134"/>
                  <w:tab w:val="left" w:pos="1843"/>
                  <w:tab w:val="left" w:pos="2268"/>
                </w:tabs>
                <w:jc w:val="center"/>
                <w:rPr>
                  <w:b/>
                  <w:szCs w:val="24"/>
                </w:rPr>
              </w:pPr>
              <w:sdt>
                <w:sdtPr>
                  <w:alias w:val="Numeris"/>
                  <w:tag w:val="nr_24384c1cd70f44f5bc32cee795f53130"/>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24384c1cd70f44f5bc32cee795f53130"/>
                  <w:lock w:val="sdtLocked"/>
                  <w:richText/>
                </w:sdtPr>
                <w:sdtContent>
                  <w:r>
                    <w:rPr>
                      <w:b/>
                      <w:szCs w:val="24"/>
                    </w:rPr>
                    <w:t>VISUOMENINIO TIEKIMO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97 p."/>
                <w:tag w:val="part_5567aeb356fe42fc9aba6c9d225b37de"/>
                <w:lock w:val="sdtLocked"/>
                <w:richText/>
              </w:sdtPr>
              <w:sdtContent>
                <w:p>
                  <w:pPr>
                    <w:tabs>
                      <w:tab w:val="left" w:pos="1080"/>
                      <w:tab w:val="left" w:pos="1843"/>
                      <w:tab w:val="left" w:pos="2268"/>
                    </w:tabs>
                    <w:ind w:firstLine="720"/>
                    <w:jc w:val="both"/>
                    <w:rPr>
                      <w:szCs w:val="24"/>
                    </w:rPr>
                  </w:pPr>
                  <w:sdt>
                    <w:sdtPr>
                      <w:alias w:val="Numeris"/>
                      <w:tag w:val="nr_5567aeb356fe42fc9aba6c9d225b37de"/>
                      <w:lock w:val="sdtLocked"/>
                      <w:richText/>
                    </w:sdtPr>
                    <w:sdtContent>
                      <w:r>
                        <w:rPr>
                          <w:szCs w:val="24"/>
                        </w:rPr>
                        <w:t>97</w:t>
                      </w:r>
                    </w:sdtContent>
                  </w:sdt>
                  <w:r>
                    <w:rPr>
                      <w:szCs w:val="24"/>
                    </w:rPr>
                    <w:t>. Visuomeninio tiekimo paslaugos kainos viršutinė riba visam reguliavimo periodui apskaičiuojama galutines pirmiesiems reguliavimo periodo metams visuomeninio tiekėjo leidžiamas pajamas padalijus iš planuojamo parduoti elektros energijos kiekio ir apskaičiuojama pagal formulę:</w:t>
                  </w:r>
                </w:p>
                <w:p>
                  <w:pPr>
                    <w:tabs>
                      <w:tab w:val="left" w:pos="1080"/>
                      <w:tab w:val="left" w:pos="1843"/>
                      <w:tab w:val="left" w:pos="2268"/>
                    </w:tabs>
                    <w:ind w:firstLine="720"/>
                    <w:jc w:val="both"/>
                    <w:rPr>
                      <w:szCs w:val="24"/>
                    </w:rPr>
                  </w:pPr>
                </w:p>
                <w:p>
                  <w:pPr>
                    <w:tabs>
                      <w:tab w:val="left" w:pos="1134"/>
                      <w:tab w:val="left" w:pos="1843"/>
                      <w:tab w:val="left" w:pos="2268"/>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vt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vt</m:t>
                            </m:r>
                            <m:r>
                              <w:rPr>
                                <w:rFonts w:ascii="Cambria Math" w:hAnsi="Cambria Math"/>
                              </w:rPr>
                              <m:t xml:space="preserve"> </m:t>
                            </m:r>
                          </m:sub>
                        </m:sSub>
                      </m:num>
                      <m:den>
                        <m:sSub>
                          <m:sSubPr>
                            <m:ctrlPr>
                              <w:rPr>
                                <w:rFonts w:ascii="Cambria Math" w:hAnsi="Cambria Math"/>
                                <w:i/>
                              </w:rPr>
                            </m:ctrlPr>
                          </m:sSubPr>
                          <m:e>
                            <m:r>
                              <w:rPr>
                                <w:rFonts w:ascii="Cambria Math" w:hAnsi="Cambria Math"/>
                              </w:rPr>
                              <m:t>E</m:t>
                            </m:r>
                          </m:e>
                          <m:sub>
                            <m:r>
                              <w:rPr>
                                <w:rFonts w:ascii="Cambria Math" w:hAnsi="Cambria Math"/>
                              </w:rPr>
                              <m:t>vt</m:t>
                            </m:r>
                          </m:sub>
                        </m:sSub>
                      </m:den>
                    </m:f>
                    <m:r>
                      <w:rPr>
                        <w:rFonts w:ascii="Cambria Math" w:hAnsi="Cambria Math"/>
                      </w:rPr>
                      <m:t xml:space="preserve">×100     </m:t>
                    </m:r>
                  </m:oMath>
                  <w:r>
                    <w:t>(59)</w:t>
                  </w:r>
                </w:p>
                <w:p>
                  <w:pPr>
                    <w:tabs>
                      <w:tab w:val="left" w:pos="1080"/>
                      <w:tab w:val="left" w:pos="1843"/>
                      <w:tab w:val="left" w:pos="2268"/>
                    </w:tabs>
                    <w:ind w:firstLine="720"/>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w:t>
                  </w:r>
                  <w:r>
                    <w:rPr>
                      <w:szCs w:val="24"/>
                    </w:rPr>
                    <w:t xml:space="preserve"> – bazinė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w:t>
                  </w:r>
                  <w:r>
                    <w:rPr>
                      <w:szCs w:val="24"/>
                    </w:rPr>
                    <w:t xml:space="preserve"> – galutinės pirmųjų reguliavimo periodo metų visuomeninio tiekėjo</w:t>
                  </w:r>
                  <w:r>
                    <w:rPr>
                      <w:i/>
                      <w:szCs w:val="24"/>
                    </w:rPr>
                    <w:t xml:space="preserve"> </w:t>
                  </w:r>
                  <w:r>
                    <w:rPr>
                      <w:szCs w:val="24"/>
                    </w:rPr>
                    <w:t>leidžiamos pajamos, EUR;</w:t>
                  </w:r>
                </w:p>
                <w:p>
                  <w:pPr>
                    <w:tabs>
                      <w:tab w:val="left" w:pos="1134"/>
                      <w:tab w:val="left" w:pos="1843"/>
                      <w:tab w:val="left" w:pos="2268"/>
                    </w:tabs>
                    <w:ind w:firstLine="709"/>
                    <w:rPr>
                      <w:szCs w:val="24"/>
                    </w:rPr>
                  </w:pPr>
                  <w:r>
                    <w:rPr>
                      <w:szCs w:val="24"/>
                    </w:rPr>
                    <w:t>E</w:t>
                  </w:r>
                  <w:r>
                    <w:rPr>
                      <w:szCs w:val="24"/>
                      <w:vertAlign w:val="subscript"/>
                    </w:rPr>
                    <w:t>vt</w:t>
                  </w:r>
                  <w:r>
                    <w:rPr>
                      <w:szCs w:val="24"/>
                    </w:rPr>
                    <w:t xml:space="preserve"> – visuomeninio tiekėjo prognozuojamas parduoti elektros energijos kiekis pirmaisiais reguliavimo periodo metais, kWh.</w:t>
                  </w:r>
                </w:p>
                <w:p>
                  <w:pPr>
                    <w:jc w:val="both"/>
                    <w:rPr>
                      <w:szCs w:val="24"/>
                    </w:rPr>
                  </w:pPr>
                  <w:r>
                    <w:rPr>
                      <w:b/>
                      <w:i/>
                      <w:sz w:val="20"/>
                    </w:rPr>
                    <w:t>TAR pastaba.</w:t>
                  </w:r>
                  <w:r>
                    <w:rPr>
                      <w:i/>
                      <w:sz w:val="20"/>
                    </w:rPr>
                    <w:t xml:space="preserve"> 97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8 p."/>
                <w:tag w:val="part_0eb51f61208448f98a57ee0e9603d8ad"/>
                <w:lock w:val="sdtLocked"/>
                <w:richText/>
              </w:sdtPr>
              <w:sdtContent>
                <w:p>
                  <w:pPr>
                    <w:tabs>
                      <w:tab w:val="left" w:pos="1134"/>
                      <w:tab w:val="left" w:pos="1843"/>
                      <w:tab w:val="left" w:pos="2268"/>
                    </w:tabs>
                    <w:ind w:firstLine="709"/>
                    <w:jc w:val="both"/>
                    <w:rPr>
                      <w:szCs w:val="24"/>
                    </w:rPr>
                  </w:pPr>
                  <w:sdt>
                    <w:sdtPr>
                      <w:alias w:val="Numeris"/>
                      <w:tag w:val="nr_0eb51f61208448f98a57ee0e9603d8ad"/>
                      <w:lock w:val="sdtLocked"/>
                      <w:richText/>
                    </w:sdtPr>
                    <w:sdtContent>
                      <w:r>
                        <w:rPr>
                          <w:szCs w:val="24"/>
                        </w:rPr>
                        <w:t>98</w:t>
                      </w:r>
                    </w:sdtContent>
                  </w:sdt>
                  <w:r>
                    <w:rPr>
                      <w:szCs w:val="24"/>
                    </w:rPr>
                    <w:t xml:space="preserve">. Elektros energijos visuomeninio tiekimo paslaugos kainos viršutinė riba </w:t>
                  </w:r>
                  <w:r>
                    <w:t>kitiems reguliavimo periodo metams yra koreguojama</w:t>
                  </w:r>
                  <w:r>
                    <w:rPr>
                      <w:szCs w:val="24"/>
                    </w:rPr>
                    <w:t xml:space="preserve"> dėl infliacijos, vidutinio darbo užmokesčio pokyčio, mokesčių ir kapitalo kaštų pokyčių bei prognozuojamo parduoti elektros energijos kiekio. Bazinės visuomeninio tiekėjo leidžiamos pajamos gali būti koreguojamos ir dėl kitų reikšmingų pajamų ir (ar) sąnaudų pokyčių, kuriuos sąlygojo teisės aktų pakeitimai ir (ar) kiti objektyvūs (nuo Įmonės nepriklausantys) veiksniai.</w:t>
                  </w:r>
                </w:p>
                <w:p>
                  <w:pPr>
                    <w:jc w:val="both"/>
                    <w:rPr>
                      <w:szCs w:val="24"/>
                    </w:rPr>
                  </w:pPr>
                  <w:r>
                    <w:rPr>
                      <w:b/>
                      <w:i/>
                      <w:sz w:val="20"/>
                    </w:rPr>
                    <w:t>TAR pastaba.</w:t>
                  </w:r>
                  <w:r>
                    <w:rPr>
                      <w:i/>
                      <w:sz w:val="20"/>
                    </w:rPr>
                    <w:t xml:space="preserve"> 98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9 p."/>
                <w:tag w:val="part_27a3a9bbff6f4c42be95c9f6e38f9eab"/>
                <w:lock w:val="sdtLocked"/>
                <w:richText/>
              </w:sdtPr>
              <w:sdtContent>
                <w:p>
                  <w:pPr>
                    <w:tabs>
                      <w:tab w:val="left" w:pos="1080"/>
                      <w:tab w:val="left" w:pos="1843"/>
                      <w:tab w:val="left" w:pos="2268"/>
                    </w:tabs>
                    <w:ind w:firstLine="720"/>
                    <w:jc w:val="both"/>
                    <w:rPr>
                      <w:szCs w:val="24"/>
                    </w:rPr>
                  </w:pPr>
                  <w:sdt>
                    <w:sdtPr>
                      <w:alias w:val="Numeris"/>
                      <w:tag w:val="nr_27a3a9bbff6f4c42be95c9f6e38f9eab"/>
                      <w:lock w:val="sdtLocked"/>
                      <w:richText/>
                    </w:sdt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pPr>
                    <w:tabs>
                      <w:tab w:val="left" w:pos="1134"/>
                    </w:tabs>
                    <w:ind w:firstLine="709"/>
                    <w:jc w:val="both"/>
                    <w:rPr>
                      <w:szCs w:val="24"/>
                    </w:rPr>
                  </w:pPr>
                </w:p>
                <w:p>
                  <w:pPr>
                    <w:tabs>
                      <w:tab w:val="left" w:pos="142"/>
                      <w:tab w:val="left" w:pos="8789"/>
                      <w:tab w:val="left" w:pos="8931"/>
                    </w:tabs>
                    <w:ind w:right="-143" w:firstLine="142"/>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m:rPr>
                            <m:sty m:val="bi"/>
                          </m:rPr>
                          <w:rPr>
                            <w:rFonts w:ascii="Cambria Math" w:hAnsi="Cambria Math"/>
                            <w:szCs w:val="24"/>
                          </w:rPr>
                          <m:t>(</m:t>
                        </m:r>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m:rPr>
                        <m:sty m:val="bi"/>
                      </m:rP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(60)</w:t>
                  </w:r>
                </w:p>
                <w:p>
                  <w:pPr>
                    <w:tabs>
                      <w:tab w:val="left" w:pos="142"/>
                    </w:tabs>
                    <w:ind w:firstLine="142"/>
                    <w:jc w:val="both"/>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vt,t</w:t>
                  </w:r>
                  <w:r>
                    <w:rPr>
                      <w:szCs w:val="24"/>
                    </w:rPr>
                    <w:t xml:space="preserve"> – koreguotos </w:t>
                  </w:r>
                  <w:r>
                    <w:rPr>
                      <w:i/>
                      <w:iCs/>
                      <w:szCs w:val="24"/>
                    </w:rPr>
                    <w:t>t</w:t>
                  </w:r>
                  <w:r>
                    <w:rPr>
                      <w:szCs w:val="24"/>
                    </w:rPr>
                    <w:t xml:space="preserve"> metų visuomeninio tiekėjo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DU)vt,t </w:t>
                  </w:r>
                  <w:r>
                    <w:rPr>
                      <w:szCs w:val="24"/>
                      <w:lang w:eastAsia="lt-LT"/>
                    </w:rPr>
                    <w:t xml:space="preserve">– koreguoti </w:t>
                  </w:r>
                  <w:r>
                    <w:rPr>
                      <w:i/>
                      <w:iCs/>
                      <w:szCs w:val="24"/>
                    </w:rPr>
                    <w:t>t</w:t>
                  </w:r>
                  <w:r>
                    <w:rPr>
                      <w:szCs w:val="24"/>
                      <w:lang w:eastAsia="lt-LT"/>
                    </w:rPr>
                    <w:t xml:space="preserve"> metų OPEX (be DU) kaštai (neįvertinus elektros energijos tiekimo rinkos liberalizavimo įtakos);</w:t>
                  </w:r>
                </w:p>
                <w:p>
                  <w:pPr>
                    <w:tabs>
                      <w:tab w:val="left" w:pos="142"/>
                    </w:tabs>
                    <w:ind w:firstLine="709"/>
                    <w:jc w:val="both"/>
                    <w:rPr>
                      <w:szCs w:val="24"/>
                      <w:lang w:eastAsia="lt-LT"/>
                    </w:rPr>
                  </w:pPr>
                  <w:r>
                    <w:rPr>
                      <w:szCs w:val="24"/>
                      <w:lang w:eastAsia="lt-LT"/>
                    </w:rPr>
                    <w:t>OPEX‘</w:t>
                  </w:r>
                  <w:r>
                    <w:rPr>
                      <w:szCs w:val="24"/>
                      <w:vertAlign w:val="subscript"/>
                      <w:lang w:eastAsia="lt-LT"/>
                    </w:rPr>
                    <w:t>(DU)vt,t</w:t>
                  </w:r>
                  <w:r>
                    <w:rPr>
                      <w:szCs w:val="24"/>
                      <w:lang w:eastAsia="lt-LT"/>
                    </w:rPr>
                    <w:t xml:space="preserve"> – koreguoti </w:t>
                  </w:r>
                  <w:r>
                    <w:rPr>
                      <w:i/>
                      <w:iCs/>
                      <w:szCs w:val="24"/>
                    </w:rPr>
                    <w:t>t</w:t>
                  </w:r>
                  <w:r>
                    <w:rPr>
                      <w:szCs w:val="24"/>
                      <w:lang w:eastAsia="lt-LT"/>
                    </w:rPr>
                    <w:t xml:space="preserve"> metų darbo užmokesčio kaštai (neįvertinus elektros energijos tiekimo rinkos liberalizavimo įtakos);</w:t>
                  </w:r>
                </w:p>
                <w:p>
                  <w:pPr>
                    <w:tabs>
                      <w:tab w:val="left" w:pos="142"/>
                    </w:tabs>
                    <w:ind w:firstLine="709"/>
                    <w:jc w:val="both"/>
                    <w:rPr>
                      <w:szCs w:val="24"/>
                      <w:lang w:eastAsia="lt-LT"/>
                    </w:rPr>
                  </w:pPr>
                  <w:r>
                    <w:rPr>
                      <w:szCs w:val="24"/>
                      <w:lang w:eastAsia="lt-LT"/>
                    </w:rPr>
                    <w:t>L</w:t>
                  </w:r>
                  <w:r>
                    <w:rPr>
                      <w:szCs w:val="24"/>
                      <w:vertAlign w:val="subscript"/>
                      <w:lang w:eastAsia="lt-LT"/>
                    </w:rPr>
                    <w:t>t</w:t>
                  </w:r>
                  <w:r>
                    <w:rPr>
                      <w:szCs w:val="24"/>
                      <w:lang w:eastAsia="lt-LT"/>
                    </w:rPr>
                    <w:t xml:space="preserve"> – elektros energijos tiekimo rinkos liberalizavimo etapo įtakos </w:t>
                  </w:r>
                  <w:r>
                    <w:rPr>
                      <w:i/>
                      <w:iCs/>
                      <w:szCs w:val="24"/>
                      <w:lang w:eastAsia="lt-LT"/>
                    </w:rPr>
                    <w:t>t</w:t>
                  </w:r>
                  <w:r>
                    <w:rPr>
                      <w:szCs w:val="24"/>
                      <w:lang w:eastAsia="lt-LT"/>
                    </w:rPr>
                    <w:t xml:space="preserve"> metais koeficientas, apskaičiuotas pagal Metodikos 101</w:t>
                  </w:r>
                  <w:r>
                    <w:rPr>
                      <w:szCs w:val="24"/>
                      <w:vertAlign w:val="superscript"/>
                      <w:lang w:eastAsia="lt-LT"/>
                    </w:rPr>
                    <w:t>2 </w:t>
                  </w:r>
                  <w:r>
                    <w:rPr>
                      <w:szCs w:val="24"/>
                      <w:lang w:eastAsia="lt-LT"/>
                    </w:rPr>
                    <w:t>punkte nurodytą formulę;</w:t>
                  </w:r>
                </w:p>
                <w:p>
                  <w:pPr>
                    <w:tabs>
                      <w:tab w:val="left" w:pos="142"/>
                    </w:tabs>
                    <w:ind w:firstLine="709"/>
                    <w:jc w:val="both"/>
                    <w:rPr>
                      <w:szCs w:val="24"/>
                      <w:lang w:eastAsia="lt-LT"/>
                    </w:rPr>
                  </w:pPr>
                  <w:r>
                    <w:rPr>
                      <w:szCs w:val="24"/>
                      <w:lang w:eastAsia="lt-LT"/>
                    </w:rPr>
                    <w:t>M</w:t>
                  </w:r>
                  <w:r>
                    <w:rPr>
                      <w:szCs w:val="24"/>
                      <w:vertAlign w:val="subscript"/>
                      <w:lang w:eastAsia="lt-LT"/>
                    </w:rPr>
                    <w:t xml:space="preserve">vt,t </w:t>
                  </w:r>
                  <w:r>
                    <w:rPr>
                      <w:szCs w:val="24"/>
                      <w:lang w:eastAsia="lt-LT"/>
                    </w:rPr>
                    <w:t xml:space="preserve">– planuojami </w:t>
                  </w:r>
                  <w:r>
                    <w:rPr>
                      <w:i/>
                      <w:iCs/>
                      <w:szCs w:val="24"/>
                    </w:rPr>
                    <w:t>t</w:t>
                  </w:r>
                  <w:r>
                    <w:rPr>
                      <w:szCs w:val="24"/>
                      <w:lang w:eastAsia="lt-LT"/>
                    </w:rPr>
                    <w:t xml:space="preserve"> metų mokesčiai;</w:t>
                  </w:r>
                </w:p>
                <w:p>
                  <w:pPr>
                    <w:tabs>
                      <w:tab w:val="left" w:pos="142"/>
                    </w:tabs>
                    <w:ind w:firstLine="709"/>
                    <w:jc w:val="both"/>
                    <w:rPr>
                      <w:szCs w:val="24"/>
                      <w:lang w:eastAsia="lt-LT"/>
                    </w:rPr>
                  </w:pPr>
                  <w:r>
                    <w:rPr>
                      <w:szCs w:val="24"/>
                      <w:lang w:eastAsia="lt-LT"/>
                    </w:rPr>
                    <w:t>N</w:t>
                  </w:r>
                  <w:r>
                    <w:rPr>
                      <w:szCs w:val="24"/>
                      <w:vertAlign w:val="subscript"/>
                      <w:lang w:eastAsia="lt-LT"/>
                    </w:rPr>
                    <w:t xml:space="preserve">vt,t </w:t>
                  </w:r>
                  <w:r>
                    <w:rPr>
                      <w:szCs w:val="24"/>
                      <w:lang w:eastAsia="lt-LT"/>
                    </w:rPr>
                    <w:t xml:space="preserve">– planuojamos </w:t>
                  </w:r>
                  <w:r>
                    <w:rPr>
                      <w:i/>
                      <w:iCs/>
                      <w:szCs w:val="24"/>
                    </w:rPr>
                    <w:t>t</w:t>
                  </w:r>
                  <w:r>
                    <w:rPr>
                      <w:szCs w:val="24"/>
                      <w:lang w:eastAsia="lt-LT"/>
                    </w:rPr>
                    <w:t xml:space="preserve"> metų nusidėvėjimo sąnaudos;</w:t>
                  </w:r>
                </w:p>
                <w:p>
                  <w:pPr>
                    <w:tabs>
                      <w:tab w:val="left" w:pos="142"/>
                    </w:tabs>
                    <w:ind w:firstLine="709"/>
                    <w:jc w:val="both"/>
                    <w:rPr>
                      <w:szCs w:val="24"/>
                      <w:lang w:eastAsia="lt-LT"/>
                    </w:rPr>
                  </w:pPr>
                  <w:r>
                    <w:rPr>
                      <w:szCs w:val="24"/>
                    </w:rPr>
                    <w:t>NT</w:t>
                  </w:r>
                  <w:r>
                    <w:rPr>
                      <w:szCs w:val="24"/>
                      <w:vertAlign w:val="subscript"/>
                    </w:rPr>
                    <w:t xml:space="preserve">vt,t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vt,t </w:t>
                  </w:r>
                  <w:r>
                    <w:rPr>
                      <w:szCs w:val="24"/>
                      <w:lang w:eastAsia="lt-LT"/>
                    </w:rPr>
                    <w:t xml:space="preserve">–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vt,t</w:t>
                  </w:r>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vt,t</w:t>
                  </w:r>
                  <w:r>
                    <w:rPr>
                      <w:szCs w:val="24"/>
                      <w:lang w:eastAsia="lt-LT"/>
                    </w:rPr>
                    <w:t xml:space="preserve"> – planuojamos </w:t>
                  </w:r>
                  <w:r>
                    <w:rPr>
                      <w:i/>
                      <w:iCs/>
                      <w:szCs w:val="24"/>
                    </w:rPr>
                    <w:t>t</w:t>
                  </w:r>
                  <w:r>
                    <w:rPr>
                      <w:szCs w:val="24"/>
                      <w:lang w:eastAsia="lt-LT"/>
                    </w:rPr>
                    <w:t xml:space="preserve"> metų kitos pajamos;</w:t>
                  </w:r>
                </w:p>
                <w:p>
                  <w:pPr>
                    <w:tabs>
                      <w:tab w:val="left" w:pos="1134"/>
                      <w:tab w:val="left" w:pos="1843"/>
                      <w:tab w:val="left" w:pos="2268"/>
                    </w:tabs>
                    <w:ind w:firstLine="709"/>
                    <w:rPr>
                      <w:szCs w:val="24"/>
                    </w:rPr>
                  </w:pPr>
                  <w:r>
                    <w:rPr>
                      <w:szCs w:val="24"/>
                      <w:lang w:eastAsia="lt-LT"/>
                    </w:rPr>
                    <w:t>K</w:t>
                  </w:r>
                  <w:r>
                    <w:rPr>
                      <w:szCs w:val="24"/>
                      <w:vertAlign w:val="subscript"/>
                      <w:lang w:eastAsia="lt-LT"/>
                    </w:rPr>
                    <w:t xml:space="preserve">vt,t </w:t>
                  </w:r>
                  <w:r>
                    <w:rPr>
                      <w:szCs w:val="24"/>
                      <w:lang w:eastAsia="lt-LT"/>
                    </w:rPr>
                    <w:t>– Reguliuojančiosios institucijos nustatyta praėjusių laikotarpių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0 p."/>
                <w:tag w:val="part_513d5e15ae2e4f0599091e46dbac9630"/>
                <w:lock w:val="sdtLocked"/>
                <w:richText/>
              </w:sdtPr>
              <w:sdtContent>
                <w:p>
                  <w:pPr>
                    <w:tabs>
                      <w:tab w:val="left" w:pos="1260"/>
                      <w:tab w:val="left" w:pos="1843"/>
                      <w:tab w:val="left" w:pos="2268"/>
                    </w:tabs>
                    <w:ind w:firstLine="720"/>
                    <w:jc w:val="both"/>
                    <w:rPr>
                      <w:szCs w:val="24"/>
                    </w:rPr>
                  </w:pPr>
                  <w:sdt>
                    <w:sdtPr>
                      <w:alias w:val="Numeris"/>
                      <w:tag w:val="nr_513d5e15ae2e4f0599091e46dbac9630"/>
                      <w:lock w:val="sdtLocked"/>
                      <w:richText/>
                    </w:sdtPr>
                    <w:sdtContent>
                      <w:r>
                        <w:rPr>
                          <w:szCs w:val="24"/>
                        </w:rPr>
                        <w:t>100</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visuomeninio tiekėjo OPEX(be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ab/>
                    <w:t>(61)</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 </w:t>
                  </w:r>
                  <w:r>
                    <w:rPr>
                      <w:szCs w:val="24"/>
                      <w:lang w:eastAsia="lt-LT"/>
                    </w:rPr>
                    <w:t>– reguliavimo periodo baziniai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(62)</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Cs w:val="24"/>
                    </w:rPr>
                  </w:pPr>
                  <w:r>
                    <w:rPr>
                      <w:b/>
                      <w:i/>
                      <w:sz w:val="20"/>
                    </w:rPr>
                    <w:t>TAR pastaba.</w:t>
                  </w:r>
                  <w:r>
                    <w:rPr>
                      <w:i/>
                      <w:sz w:val="20"/>
                    </w:rPr>
                    <w:t xml:space="preserve"> 100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 p."/>
                <w:tag w:val="part_fb358af9ebc04009a11c70f8576fd6f0"/>
                <w:lock w:val="sdtLocked"/>
                <w:richText/>
              </w:sdtPr>
              <w:sdtContent>
                <w:p>
                  <w:pPr>
                    <w:tabs>
                      <w:tab w:val="left" w:pos="1260"/>
                      <w:tab w:val="left" w:pos="1843"/>
                      <w:tab w:val="left" w:pos="2268"/>
                    </w:tabs>
                    <w:ind w:firstLine="720"/>
                    <w:jc w:val="both"/>
                    <w:rPr>
                      <w:szCs w:val="24"/>
                    </w:rPr>
                  </w:pPr>
                  <w:sdt>
                    <w:sdtPr>
                      <w:alias w:val="Numeris"/>
                      <w:tag w:val="nr_fb358af9ebc04009a11c70f8576fd6f0"/>
                      <w:lock w:val="sdtLocked"/>
                      <w:richText/>
                    </w:sdtPr>
                    <w:sdtContent>
                      <w:r>
                        <w:rPr>
                          <w:szCs w:val="24"/>
                        </w:rPr>
                        <w:t>101</w:t>
                      </w:r>
                    </w:sdtContent>
                  </w:sdt>
                  <w:r>
                    <w:rPr>
                      <w:szCs w:val="24"/>
                    </w:rPr>
                    <w:t xml:space="preserve">. Koreguoti </w:t>
                  </w:r>
                  <w:r>
                    <w:rPr>
                      <w:i/>
                      <w:szCs w:val="24"/>
                      <w:lang w:eastAsia="lt-LT"/>
                    </w:rPr>
                    <w:t xml:space="preserve">t </w:t>
                  </w:r>
                  <w:r>
                    <w:rPr>
                      <w:szCs w:val="24"/>
                      <w:lang w:eastAsia="lt-LT"/>
                    </w:rPr>
                    <w:t>metų</w:t>
                  </w:r>
                  <w:r>
                    <w:rPr>
                      <w:szCs w:val="24"/>
                    </w:rPr>
                    <w:t xml:space="preserve"> visuomeninio tiekėjo OPEX(DU) kaštai yra apskaičiuojami pagal formulę:</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ab/>
                    <w:tab/>
                    <w:tab/>
                    <w:t>(63)</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(DU)vt,t </w:t>
                  </w:r>
                  <w:r>
                    <w:rPr>
                      <w:szCs w:val="24"/>
                      <w:lang w:eastAsia="lt-LT"/>
                    </w:rPr>
                    <w:t xml:space="preserve">– koreguoti </w:t>
                  </w:r>
                  <w:r>
                    <w:rPr>
                      <w:i/>
                      <w:szCs w:val="24"/>
                      <w:lang w:eastAsia="lt-LT"/>
                    </w:rPr>
                    <w:t>t</w:t>
                  </w:r>
                  <w:r>
                    <w:rPr>
                      <w:szCs w:val="24"/>
                      <w:lang w:eastAsia="lt-LT"/>
                    </w:rPr>
                    <w:t xml:space="preserve"> metų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ab/>
                    <w:tab/>
                    <w:tab/>
                    <w:t>(64)</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101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1 p."/>
                <w:tag w:val="part_b4d099b559ed4ab58cd417ede12ee3c7"/>
                <w:lock w:val="sdtLocked"/>
                <w:richText/>
              </w:sdtPr>
              <w:sdtContent>
                <w:p>
                  <w:pPr>
                    <w:ind w:firstLine="709"/>
                    <w:jc w:val="both"/>
                  </w:pPr>
                  <w:sdt>
                    <w:sdtPr>
                      <w:alias w:val="Numeris"/>
                      <w:tag w:val="nr_b4d099b559ed4ab58cd417ede12ee3c7"/>
                      <w:lock w:val="sdtLocked"/>
                      <w:richText/>
                    </w:sdtPr>
                    <w:sdtContent>
                      <w:r>
                        <w:t>101</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1-2 p."/>
                <w:tag w:val="part_7b97eb03ca914b57a38f351a8a82fe14"/>
                <w:lock w:val="sdtLocked"/>
                <w:richText/>
              </w:sdtPr>
              <w:sdtContent>
                <w:p>
                  <w:pPr>
                    <w:ind w:firstLine="720"/>
                    <w:jc w:val="both"/>
                    <w:rPr>
                      <w:szCs w:val="24"/>
                      <w:lang w:eastAsia="lt-LT"/>
                    </w:rPr>
                  </w:pPr>
                  <w:sdt>
                    <w:sdtPr>
                      <w:alias w:val="Numeris"/>
                      <w:tag w:val="nr_7b97eb03ca914b57a38f351a8a82fe14"/>
                      <w:lock w:val="sdtLocked"/>
                      <w:richText/>
                    </w:sdtPr>
                    <w:sdtContent>
                      <w:r>
                        <w:rPr>
                          <w:szCs w:val="24"/>
                          <w:lang w:eastAsia="lt-LT"/>
                        </w:rPr>
                        <w:t>101</w:t>
                      </w:r>
                      <w:r>
                        <w:rPr>
                          <w:szCs w:val="24"/>
                          <w:vertAlign w:val="superscript"/>
                          <w:lang w:eastAsia="lt-LT"/>
                        </w:rPr>
                        <w:t>2</w:t>
                      </w:r>
                    </w:sdtContent>
                  </w:sdt>
                  <w:r>
                    <w:rPr>
                      <w:szCs w:val="24"/>
                      <w:lang w:eastAsia="lt-LT"/>
                    </w:rPr>
                    <w:t xml:space="preserve">. Elektros energijos tiekimo rinkos liberalizavimo etapo įtakos </w:t>
                  </w:r>
                  <w:r>
                    <w:rPr>
                      <w:i/>
                      <w:iCs/>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ind w:firstLine="720"/>
                    <w:jc w:val="both"/>
                    <w:rPr>
                      <w:szCs w:val="24"/>
                    </w:rPr>
                  </w:pPr>
                </w:p>
                <w:p>
                  <w:pPr>
                    <w:ind w:firstLine="6858"/>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(64</w:t>
                  </w:r>
                  <w:r>
                    <w:rPr>
                      <w:szCs w:val="24"/>
                      <w:vertAlign w:val="superscript"/>
                    </w:rPr>
                    <w:t>1</w:t>
                  </w:r>
                  <w:r>
                    <w:rPr>
                      <w:szCs w:val="24"/>
                    </w:rPr>
                    <w:t>)</w:t>
                  </w:r>
                </w:p>
                <w:p>
                  <w:pPr>
                    <w:tabs>
                      <w:tab w:val="left" w:pos="993"/>
                    </w:tabs>
                    <w:ind w:firstLine="709"/>
                    <w:jc w:val="both"/>
                    <w:rPr>
                      <w:i/>
                      <w:iCs/>
                      <w:szCs w:val="24"/>
                    </w:rPr>
                  </w:pPr>
                  <w:r>
                    <w:rPr>
                      <w:i/>
                      <w:iCs/>
                      <w:szCs w:val="24"/>
                    </w:rPr>
                    <w:t>čia:</w:t>
                  </w:r>
                </w:p>
                <w:p>
                  <w:pPr>
                    <w:tabs>
                      <w:tab w:val="left" w:pos="993"/>
                    </w:tabs>
                    <w:ind w:firstLine="709"/>
                    <w:jc w:val="both"/>
                    <w:rPr>
                      <w:szCs w:val="24"/>
                    </w:rPr>
                  </w:pPr>
                  <w:r>
                    <w:rPr>
                      <w:i/>
                      <w:iCs/>
                      <w:szCs w:val="24"/>
                    </w:rPr>
                    <w:t>L</w:t>
                  </w:r>
                  <w:r>
                    <w:rPr>
                      <w:i/>
                      <w:iCs/>
                      <w:szCs w:val="24"/>
                      <w:vertAlign w:val="subscript"/>
                    </w:rPr>
                    <w:t xml:space="preserve">t </w:t>
                  </w:r>
                  <w:r>
                    <w:rPr>
                      <w:szCs w:val="24"/>
                    </w:rPr>
                    <w:t xml:space="preserve">– elektros energijos tiekimo </w:t>
                  </w:r>
                  <w:r>
                    <w:rPr>
                      <w:szCs w:val="24"/>
                      <w:lang w:eastAsia="lt-LT"/>
                    </w:rPr>
                    <w:t xml:space="preserve">rinkos liberalizavimo etapo įtakos </w:t>
                  </w:r>
                  <w:r>
                    <w:rPr>
                      <w:i/>
                      <w:iCs/>
                      <w:szCs w:val="24"/>
                      <w:lang w:eastAsia="lt-LT"/>
                    </w:rPr>
                    <w:t>t</w:t>
                  </w:r>
                  <w:r>
                    <w:rPr>
                      <w:szCs w:val="24"/>
                      <w:lang w:eastAsia="lt-LT"/>
                    </w:rPr>
                    <w:t xml:space="preserve"> metais koeficientas</w:t>
                  </w:r>
                  <w:r>
                    <w:rPr>
                      <w:szCs w:val="24"/>
                    </w:rPr>
                    <w:t>;</w:t>
                  </w:r>
                </w:p>
                <w:p>
                  <w:pPr>
                    <w:tabs>
                      <w:tab w:val="left" w:pos="993"/>
                    </w:tabs>
                    <w:ind w:firstLine="709"/>
                    <w:jc w:val="both"/>
                    <w:rPr>
                      <w:szCs w:val="24"/>
                    </w:rPr>
                  </w:pPr>
                  <w:r>
                    <w:rPr>
                      <w:i/>
                      <w:iCs/>
                      <w:szCs w:val="24"/>
                    </w:rPr>
                    <w:t>P</w:t>
                  </w:r>
                  <w:r>
                    <w:rPr>
                      <w:i/>
                      <w:iCs/>
                      <w:szCs w:val="24"/>
                      <w:vertAlign w:val="subscript"/>
                    </w:rPr>
                    <w:t xml:space="preserve">2020 </w:t>
                  </w:r>
                  <w:r>
                    <w:rPr>
                      <w:szCs w:val="24"/>
                    </w:rPr>
                    <w:t>– objektų, kuriems visuomeninis tiekėjas teikė elektros energijos tiekimo paslaugą 2020 metų pradžioje, skaičius;</w:t>
                  </w:r>
                </w:p>
                <w:p>
                  <w:pPr>
                    <w:ind w:firstLine="709"/>
                    <w:jc w:val="both"/>
                    <w:rPr>
                      <w:szCs w:val="24"/>
                    </w:rPr>
                  </w:pPr>
                  <w:r>
                    <w:rPr>
                      <w:szCs w:val="24"/>
                    </w:rPr>
                    <w:t>P</w:t>
                  </w:r>
                  <w:r>
                    <w:rPr>
                      <w:szCs w:val="24"/>
                      <w:vertAlign w:val="subscript"/>
                    </w:rPr>
                    <w:t>t</w:t>
                  </w:r>
                  <w:r>
                    <w:rPr>
                      <w:szCs w:val="24"/>
                    </w:rPr>
                    <w:t xml:space="preserve"> – prognozuojamas objektų, kuriems </w:t>
                  </w:r>
                  <w:r>
                    <w:rPr>
                      <w:i/>
                      <w:iCs/>
                      <w:szCs w:val="24"/>
                    </w:rPr>
                    <w:t xml:space="preserve">t </w:t>
                  </w:r>
                  <w:r>
                    <w:rPr>
                      <w:szCs w:val="24"/>
                    </w:rPr>
                    <w:t>metų pradžioje visuomeninis tiekėjas turės teikti elektros energijos tiekimo paslaugą, įvertinus Elektros energetikos įstatymo 43 straipsnio 1 dalies nuostatas ir kitas žinomas aplinkybes,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2 p."/>
                <w:tag w:val="part_4dbbf3baa9964d9cb6577b8a3e7126f6"/>
                <w:lock w:val="sdtLocked"/>
                <w:richText/>
              </w:sdtPr>
              <w:sdtContent>
                <w:p>
                  <w:pPr>
                    <w:tabs>
                      <w:tab w:val="left" w:pos="1260"/>
                      <w:tab w:val="left" w:pos="1843"/>
                      <w:tab w:val="left" w:pos="2268"/>
                    </w:tabs>
                    <w:suppressAutoHyphens/>
                    <w:ind w:firstLine="720"/>
                    <w:jc w:val="both"/>
                    <w:rPr>
                      <w:szCs w:val="24"/>
                    </w:rPr>
                  </w:pPr>
                  <w:sdt>
                    <w:sdtPr>
                      <w:alias w:val="Numeris"/>
                      <w:tag w:val="nr_4dbbf3baa9964d9cb6577b8a3e7126f6"/>
                      <w:lock w:val="sdtLocked"/>
                      <w:richText/>
                    </w:sdtPr>
                    <w:sdtContent>
                      <w:r>
                        <w:rPr>
                          <w:szCs w:val="24"/>
                        </w:rPr>
                        <w:t>102</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rPr>
                      <w:szCs w:val="24"/>
                    </w:rPr>
                  </w:pPr>
                </w:p>
                <w:p>
                  <w:pPr>
                    <w:tabs>
                      <w:tab w:val="left" w:pos="1134"/>
                    </w:tabs>
                    <w:ind w:firstLine="2880"/>
                    <w:jc w:val="center"/>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(64</w:t>
                  </w:r>
                  <w:r>
                    <w:rPr>
                      <w:szCs w:val="24"/>
                      <w:vertAlign w:val="superscript"/>
                    </w:rPr>
                    <w:t>2</w:t>
                  </w:r>
                  <w:r>
                    <w:rPr>
                      <w:szCs w:val="24"/>
                    </w:rPr>
                    <w:t>)</w:t>
                  </w:r>
                </w:p>
                <w:p>
                  <w:pPr>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leidžiamos pajamos, EUR;</w:t>
                  </w:r>
                </w:p>
                <w:p>
                  <w:pPr>
                    <w:tabs>
                      <w:tab w:val="left" w:pos="1134"/>
                      <w:tab w:val="left" w:pos="1843"/>
                      <w:tab w:val="left" w:pos="2268"/>
                    </w:tabs>
                    <w:ind w:firstLine="709"/>
                    <w:rPr>
                      <w:szCs w:val="24"/>
                    </w:rPr>
                  </w:pPr>
                  <w:r>
                    <w:rPr>
                      <w:szCs w:val="24"/>
                    </w:rPr>
                    <w:t>E</w:t>
                  </w:r>
                  <w:r>
                    <w:rPr>
                      <w:szCs w:val="24"/>
                      <w:vertAlign w:val="subscript"/>
                    </w:rPr>
                    <w:t xml:space="preserve">vt,t </w:t>
                  </w:r>
                  <w:r>
                    <w:rPr>
                      <w:szCs w:val="24"/>
                    </w:rPr>
                    <w:t xml:space="preserve">– visuomeninio tiekėjo prognozuojamas parduoti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3 p."/>
                <w:tag w:val="part_ede463a36afb4459a68c93bd063d6111"/>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4 p."/>
                <w:tag w:val="part_08559cafabf34b0fbf6539936f77c95f"/>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5 p."/>
                <w:tag w:val="part_b02290178f604653995d31813d2211d5"/>
                <w:lock w:val="sdtLocked"/>
                <w:richText/>
              </w:sdtPr>
              <w:sdtContent>
                <w:p>
                  <w:pPr>
                    <w:pStyle w:val="PlainText"/>
                    <w:ind w:firstLine="567"/>
                    <w:jc w:val="both"/>
                    <w:rPr>
                      <w:rFonts w:ascii="Times New Roman" w:hAnsi="Times New Roman"/>
                      <w:b/>
                      <w:bCs/>
                      <w:sz w:val="22"/>
                    </w:rPr>
                  </w:pPr>
                  <w:r>
                    <w:rPr>
                      <w:rFonts w:ascii="Times New Roman" w:hAnsi="Times New Roman"/>
                      <w:sz w:val="22"/>
                    </w:rPr>
                    <w:t>105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6 p."/>
                <w:tag w:val="part_529a6f04b39b49bb93a83ad0a1c9bc16"/>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2eee0d98769d46e08002e2c35b101a6b"/>
                <w:lock w:val="sdtLocked"/>
                <w:richText/>
              </w:sdtPr>
              <w:sdtContent>
                <w:p>
                  <w:pPr>
                    <w:ind w:firstLine="720"/>
                    <w:jc w:val="both"/>
                    <w:rPr>
                      <w:color w:val="000000"/>
                      <w:szCs w:val="24"/>
                      <w:lang w:eastAsia="lt-LT"/>
                    </w:rPr>
                  </w:pPr>
                  <w:sdt>
                    <w:sdtPr>
                      <w:alias w:val="Numeris"/>
                      <w:tag w:val="nr_2eee0d98769d46e08002e2c35b101a6b"/>
                      <w:lock w:val="sdtLocked"/>
                      <w:richText/>
                    </w:sdtPr>
                    <w:sdtContent>
                      <w:r>
                        <w:rPr>
                          <w:color w:val="000000"/>
                          <w:szCs w:val="24"/>
                          <w:lang w:eastAsia="lt-LT"/>
                        </w:rPr>
                        <w:t>107</w:t>
                      </w:r>
                    </w:sdtContent>
                  </w:sdt>
                  <w:r>
                    <w:rPr>
                      <w:color w:val="000000"/>
                      <w:szCs w:val="24"/>
                      <w:lang w:eastAsia="lt-LT"/>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w:t>
                  </w:r>
                  <w:r>
                    <w:rPr>
                      <w:b/>
                      <w:bCs/>
                      <w:color w:val="000000"/>
                      <w:szCs w:val="24"/>
                      <w:lang w:eastAsia="lt-LT"/>
                    </w:rPr>
                    <w:t xml:space="preserve"> </w:t>
                  </w:r>
                  <w:r>
                    <w:rPr>
                      <w:color w:val="000000"/>
                      <w:szCs w:val="24"/>
                      <w:lang w:eastAsia="lt-LT"/>
                    </w:rPr>
                    <w:t xml:space="preserve">bei papildomas dedamąsias, nustatytas pagal Metodikos </w:t>
                  </w:r>
                  <w:r>
                    <w:rPr>
                      <w:rFonts w:eastAsia="MS Mincho"/>
                      <w:szCs w:val="24"/>
                      <w:lang w:eastAsia="lt-LT"/>
                    </w:rPr>
                    <w:t>96</w:t>
                  </w:r>
                  <w:r>
                    <w:rPr>
                      <w:rFonts w:eastAsia="MS Mincho"/>
                      <w:szCs w:val="24"/>
                      <w:vertAlign w:val="superscript"/>
                      <w:lang w:eastAsia="lt-LT"/>
                    </w:rPr>
                    <w:t>1</w:t>
                  </w:r>
                  <w:r>
                    <w:rPr>
                      <w:rFonts w:eastAsia="MS Mincho"/>
                      <w:szCs w:val="24"/>
                      <w:lang w:eastAsia="lt-LT"/>
                    </w:rPr>
                    <w:t xml:space="preserve"> punktą</w:t>
                  </w:r>
                  <w:r>
                    <w:rPr>
                      <w:color w:val="000000"/>
                      <w:szCs w:val="24"/>
                      <w:lang w:eastAsia="lt-LT"/>
                    </w:rPr>
                    <w:t>. Visuomeninių elektros energijos kainų viršutinės ribos papildomai įvertina reguliavimo svertus ir apskaičiuojamos pagal formulę:</w:t>
                  </w:r>
                </w:p>
                <w:p>
                  <w:pPr>
                    <w:jc w:val="both"/>
                    <w:rPr>
                      <w:color w:val="000000"/>
                      <w:szCs w:val="24"/>
                      <w:lang w:eastAsia="lt-LT"/>
                    </w:rPr>
                  </w:pPr>
                </w:p>
                <w:p>
                  <w:pPr>
                    <w:ind w:firstLine="720"/>
                    <w:jc w:val="both"/>
                    <w:rPr>
                      <w:color w:val="000000"/>
                      <w:szCs w:val="24"/>
                      <w:lang w:eastAsia="lt-LT"/>
                    </w:rPr>
                  </w:pPr>
                  <m:oMath>
                    <m:sSubSup>
                      <m:sSubSupPr>
                        <m:ctrlPr>
                          <w:rPr>
                            <w:rFonts w:ascii="Cambria Math" w:hAnsi="Cambria Math"/>
                            <w:bCs/>
                            <w:i/>
                            <w:color w:val="000000"/>
                            <w:szCs w:val="24"/>
                          </w:rPr>
                        </m:ctrlPr>
                      </m:sSubSupPr>
                      <m:e>
                        <m:r>
                          <w:rPr>
                            <w:rFonts w:ascii="Cambria Math" w:hAnsi="Cambria Math"/>
                            <w:color w:val="000000"/>
                            <w:szCs w:val="24"/>
                          </w:rPr>
                          <m:t>VT</m:t>
                        </m:r>
                      </m:e>
                      <m:sub>
                        <m:d>
                          <m:dPr>
                            <m:ctrlPr>
                              <w:rPr>
                                <w:rFonts w:ascii="Cambria Math" w:hAnsi="Cambria Math"/>
                                <w:bCs/>
                                <w:i/>
                                <w:color w:val="000000"/>
                                <w:szCs w:val="24"/>
                              </w:rPr>
                            </m:ctrlPr>
                          </m:dPr>
                          <m:e>
                            <m:r>
                              <w:rPr>
                                <w:rFonts w:ascii="Cambria Math" w:hAnsi="Cambria Math"/>
                                <w:color w:val="000000"/>
                                <w:szCs w:val="24"/>
                              </w:rPr>
                              <m:t>10,04</m:t>
                            </m:r>
                          </m:e>
                        </m:d>
                        <m:r>
                          <w:rPr>
                            <w:rFonts w:ascii="Cambria Math" w:hAnsi="Cambria Math"/>
                            <w:color w:val="000000"/>
                            <w:szCs w:val="24"/>
                          </w:rPr>
                          <m:t>t</m:t>
                        </m:r>
                      </m:sub>
                      <m:sup>
                        <m:r>
                          <w:rPr>
                            <w:rFonts w:ascii="Cambria Math" w:hAnsi="Cambria Math"/>
                            <w:color w:val="000000"/>
                            <w:szCs w:val="24"/>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g,t</m:t>
                        </m:r>
                      </m:sub>
                    </m:sSub>
                    <m:r>
                      <w:rPr>
                        <w:rFonts w:ascii="Cambria Math" w:hAnsi="Cambria Math"/>
                        <w:color w:val="000000"/>
                        <w:szCs w:val="24"/>
                        <w:lang w:val="en-US"/>
                      </w:rPr>
                      <m:t>+</m:t>
                    </m:r>
                    <m:sSubSup>
                      <m:sSubSupPr>
                        <m:ctrlPr>
                          <w:rPr>
                            <w:rFonts w:ascii="Cambria Math" w:hAnsi="Cambria Math"/>
                            <w:bCs/>
                            <w:i/>
                            <w:color w:val="000000"/>
                            <w:szCs w:val="24"/>
                            <w:lang w:val="en-US"/>
                          </w:rPr>
                        </m:ctrlPr>
                      </m:sSubSupPr>
                      <m:e>
                        <m:r>
                          <w:rPr>
                            <w:rFonts w:ascii="Cambria Math" w:hAnsi="Cambria Math"/>
                            <w:color w:val="000000"/>
                            <w:szCs w:val="24"/>
                            <w:lang w:val="en-US"/>
                          </w:rPr>
                          <m:t>T</m:t>
                        </m:r>
                      </m:e>
                      <m:sub>
                        <m:r>
                          <w:rPr>
                            <w:rFonts w:ascii="Cambria Math" w:hAnsi="Cambria Math"/>
                            <w:color w:val="000000"/>
                            <w:szCs w:val="24"/>
                            <w:lang w:val="en-US"/>
                          </w:rPr>
                          <m:t>vt,t</m:t>
                        </m:r>
                      </m:sub>
                      <m:sup>
                        <m:r>
                          <w:rPr>
                            <w:rFonts w:ascii="Cambria Math" w:hAnsi="Cambria Math"/>
                            <w:color w:val="000000"/>
                            <w:szCs w:val="24"/>
                            <w:lang w:val="en-US"/>
                          </w:rPr>
                          <m:t>'</m:t>
                        </m:r>
                      </m:sup>
                    </m:sSubSup>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pers,t</m:t>
                        </m:r>
                      </m:sub>
                    </m:sSub>
                    <m:r>
                      <w:rPr>
                        <w:rFonts w:ascii="Cambria Math" w:hAnsi="Cambria Math"/>
                        <w:color w:val="000000"/>
                        <w:szCs w:val="24"/>
                        <w:lang w:val="en-US"/>
                      </w:rPr>
                      <m:t>+</m:t>
                    </m:r>
                    <m:sSub>
                      <m:sSubPr>
                        <m:ctrlPr>
                          <w:rPr>
                            <w:rFonts w:ascii="Cambria Math" w:hAnsi="Cambria Math"/>
                            <w:bCs/>
                            <w:i/>
                            <w:color w:val="000000"/>
                            <w:szCs w:val="24"/>
                            <w:lang w:val="en-US"/>
                          </w:rPr>
                        </m:ctrlPr>
                      </m:sSubPr>
                      <m:e>
                        <m:r>
                          <w:rPr>
                            <w:rFonts w:ascii="Cambria Math" w:hAnsi="Cambria Math"/>
                            <w:color w:val="000000"/>
                            <w:szCs w:val="24"/>
                            <w:lang w:val="en-US"/>
                          </w:rPr>
                          <m:t>T</m:t>
                        </m:r>
                      </m:e>
                      <m:sub>
                        <m:r>
                          <w:rPr>
                            <w:rFonts w:ascii="Cambria Math" w:hAnsi="Cambria Math"/>
                            <w:color w:val="000000"/>
                            <w:szCs w:val="24"/>
                            <w:lang w:val="en-US"/>
                          </w:rPr>
                          <m:t>viap,t</m:t>
                        </m:r>
                      </m:sub>
                    </m:sSub>
                    <m:r>
                      <w:rPr>
                        <w:rFonts w:ascii="Cambria Math" w:hAnsi="Cambria Math"/>
                        <w:color w:val="000000"/>
                        <w:szCs w:val="24"/>
                        <w:lang w:val="en-US"/>
                      </w:rPr>
                      <m:t>+</m:t>
                    </m:r>
                  </m:oMath>
                  <w:r>
                    <w:rPr>
                      <w:bCs/>
                      <w:color w:val="000000"/>
                      <w:szCs w:val="24"/>
                      <w:lang w:eastAsia="lt-LT"/>
                    </w:rPr>
                    <w:t>ST</w:t>
                  </w:r>
                  <w:r>
                    <w:rPr>
                      <w:bCs/>
                      <w:color w:val="000000"/>
                      <w:szCs w:val="24"/>
                      <w:vertAlign w:val="subscript"/>
                      <w:lang w:eastAsia="lt-LT"/>
                    </w:rPr>
                    <w:t>,t</w:t>
                  </w:r>
                  <w:r>
                    <w:rPr>
                      <w:bCs/>
                      <w:color w:val="000000"/>
                      <w:szCs w:val="24"/>
                      <w:lang w:eastAsia="lt-LT"/>
                    </w:rPr>
                    <w:t xml:space="preserve">   </w:t>
                  </w:r>
                  <w:r>
                    <w:rPr>
                      <w:color w:val="000000"/>
                      <w:szCs w:val="24"/>
                      <w:lang w:eastAsia="lt-LT"/>
                    </w:rPr>
                    <w:t xml:space="preserve">                            (65)</w:t>
                  </w:r>
                </w:p>
                <w:p>
                  <w:pPr>
                    <w:ind w:firstLine="842"/>
                    <w:jc w:val="both"/>
                    <w:rPr>
                      <w:color w:val="000000"/>
                      <w:szCs w:val="24"/>
                      <w:lang w:eastAsia="lt-LT"/>
                    </w:rPr>
                  </w:pPr>
                </w:p>
                <w:p>
                  <w:pPr>
                    <w:ind w:firstLine="720"/>
                    <w:jc w:val="both"/>
                    <w:rPr>
                      <w:color w:val="000000"/>
                      <w:szCs w:val="24"/>
                      <w:lang w:eastAsia="lt-LT"/>
                    </w:rPr>
                  </w:pPr>
                  <w:r>
                    <w:rPr>
                      <w:i/>
                      <w:iCs/>
                      <w:color w:val="000000"/>
                      <w:szCs w:val="24"/>
                      <w:lang w:eastAsia="lt-LT"/>
                    </w:rPr>
                    <w:t>čia:</w:t>
                  </w:r>
                </w:p>
                <w:p>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visuomeninių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g,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vt, t</w:t>
                  </w:r>
                  <w:r>
                    <w:rPr>
                      <w:color w:val="000000"/>
                      <w:szCs w:val="24"/>
                      <w:lang w:eastAsia="lt-LT"/>
                    </w:rPr>
                    <w:t> – elektros energijos visuomeninio tiekimo paslaugos kainos viršutinė riba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pers, t </w:t>
                  </w:r>
                  <w:r>
                    <w:rPr>
                      <w:color w:val="000000"/>
                      <w:szCs w:val="24"/>
                      <w:lang w:eastAsia="lt-LT"/>
                    </w:rPr>
                    <w:t>– Tarybos paskelbto elektros energijos persiuntimo paslaugos tarifų plano, taikomo ne mažiau kaip 9</w:t>
                  </w:r>
                  <w:r>
                    <w:rPr>
                      <w:color w:val="000000"/>
                      <w:szCs w:val="24"/>
                      <w:lang w:val="en-US" w:eastAsia="lt-LT"/>
                    </w:rPr>
                    <w:t>5</w:t>
                  </w:r>
                  <w:r>
                    <w:rPr>
                      <w:color w:val="000000"/>
                      <w:szCs w:val="24"/>
                      <w:lang w:eastAsia="lt-LT"/>
                    </w:rPr>
                    <w:t xml:space="preserve"> procentams visuomeninio tiekėjo vartotojų, vienos laiko zonos tarifas  t metais, EUR/kWh; </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viap, t</w:t>
                  </w:r>
                  <w:r>
                    <w:rPr>
                      <w:color w:val="000000"/>
                      <w:szCs w:val="24"/>
                      <w:lang w:eastAsia="lt-LT"/>
                    </w:rPr>
                    <w:t>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color w:val="000000"/>
                      <w:szCs w:val="24"/>
                      <w:lang w:eastAsia="lt-LT"/>
                    </w:rPr>
                    <w:t>t </w:t>
                  </w:r>
                  <w:r>
                    <w:rPr>
                      <w:color w:val="000000"/>
                      <w:szCs w:val="24"/>
                      <w:lang w:eastAsia="lt-LT"/>
                    </w:rPr>
                    <w:t>metais, EUR/kWh</w:t>
                  </w:r>
                  <w:r>
                    <w:rPr>
                      <w:bCs/>
                      <w:color w:val="000000"/>
                      <w:szCs w:val="24"/>
                      <w:lang w:eastAsia="lt-LT"/>
                    </w:rPr>
                    <w:t>;</w:t>
                  </w:r>
                </w:p>
                <w:p>
                  <w:pPr>
                    <w:ind w:firstLine="709"/>
                    <w:jc w:val="both"/>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lang w:eastAsia="lt-LT"/>
                    </w:rPr>
                    <w:t xml:space="preserve">skirstymo paslaugos </w:t>
                  </w:r>
                  <w:r>
                    <w:rPr>
                      <w:i/>
                      <w:iCs/>
                      <w:szCs w:val="24"/>
                      <w:lang w:eastAsia="lt-LT"/>
                    </w:rPr>
                    <w:t>t</w:t>
                  </w:r>
                  <w:r>
                    <w:rPr>
                      <w:szCs w:val="24"/>
                      <w:lang w:eastAsia="lt-LT"/>
                    </w:rPr>
                    <w:t xml:space="preserve"> metų kainos buitiniams vartotojams papildoma dedamoji,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64650190e11e68eb0b4a9a30fc97f">
                    <w:r w:rsidRPr="00532B9F">
                      <w:rPr>
                        <w:rFonts w:ascii="Times New Roman" w:eastAsia="MS Mincho" w:hAnsi="Times New Roman"/>
                        <w:sz w:val="20"/>
                        <w:i/>
                        <w:iCs/>
                        <w:color w:val="0000FF" w:themeColor="hyperlink"/>
                        <w:u w:val="single"/>
                      </w:rPr>
                      <w:t>O3-122</w:t>
                    </w:r>
                  </w:fldSimple>
                  <w:r>
                    <w:rPr>
                      <w:rFonts w:ascii="Times New Roman" w:eastAsia="MS Mincho" w:hAnsi="Times New Roman"/>
                      <w:sz w:val="20"/>
                      <w:i/>
                      <w:iCs/>
                    </w:rPr>
                    <w:t>,
2016-05-13,
paskelbta TAR 2016-05-13, i. k. 2016-12616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88e20b6db11eb8371ea260d59d64b">
                    <w:r w:rsidRPr="00532B9F">
                      <w:rPr>
                        <w:rFonts w:ascii="Times New Roman" w:eastAsia="MS Mincho" w:hAnsi="Times New Roman"/>
                        <w:sz w:val="20"/>
                        <w:i/>
                        <w:iCs/>
                        <w:color w:val="0000FF" w:themeColor="hyperlink"/>
                        <w:u w:val="single"/>
                      </w:rPr>
                      <w:t>O3E-580</w:t>
                    </w:r>
                  </w:fldSimple>
                  <w:r>
                    <w:rPr>
                      <w:rFonts w:ascii="Times New Roman" w:eastAsia="MS Mincho" w:hAnsi="Times New Roman"/>
                      <w:sz w:val="20"/>
                      <w:i/>
                      <w:iCs/>
                    </w:rPr>
                    <w:t>,
2021-05-13,
paskelbta TAR 2021-05-17, i. k. 2021-10868            </w:t>
                  </w:r>
                </w:p>
                <w:p/>
              </w:sdtContent>
            </w:sdt>
            <w:sdt>
              <w:sdtPr>
                <w:alias w:val="107-1 p."/>
                <w:tag w:val="part_976a44bf000c4766a2c664843afe4cf7"/>
                <w:lock w:val="sdtLocked"/>
                <w:richText/>
              </w:sdtPr>
              <w:sdtContent>
                <w:p>
                  <w:pPr>
                    <w:ind w:firstLine="720"/>
                    <w:jc w:val="both"/>
                  </w:pPr>
                  <w:sdt>
                    <w:sdtPr>
                      <w:alias w:val="Numeris"/>
                      <w:tag w:val="nr_976a44bf000c4766a2c664843afe4cf7"/>
                      <w:lock w:val="sdtLocked"/>
                      <w:richText/>
                    </w:sdtPr>
                    <w:sdtContent>
                      <w:r>
                        <w:rPr>
                          <w:bCs/>
                          <w:color w:val="000000"/>
                          <w:szCs w:val="24"/>
                          <w:lang w:eastAsia="lt-LT"/>
                        </w:rPr>
                        <w:t>107</w:t>
                      </w:r>
                      <w:r>
                        <w:rPr>
                          <w:bCs/>
                          <w:color w:val="000000"/>
                          <w:szCs w:val="24"/>
                          <w:vertAlign w:val="superscript"/>
                          <w:lang w:eastAsia="lt-LT"/>
                        </w:rPr>
                        <w:t>1</w:t>
                      </w:r>
                    </w:sdtContent>
                  </w:sdt>
                  <w:r>
                    <w:rPr>
                      <w:bCs/>
                      <w:color w:val="000000"/>
                      <w:szCs w:val="24"/>
                      <w:lang w:eastAsia="lt-LT"/>
                    </w:rPr>
                    <w:t>.</w:t>
                  </w:r>
                  <w:r>
                    <w:rPr>
                      <w:bCs/>
                      <w:sz w:val="22"/>
                      <w:szCs w:val="22"/>
                    </w:rPr>
                    <w:t xml:space="preserve"> </w:t>
                  </w:r>
                  <w:r>
                    <w:rPr>
                      <w:bCs/>
                      <w:color w:val="000000"/>
                      <w:szCs w:val="24"/>
                      <w:lang w:eastAsia="lt-LT"/>
                    </w:rPr>
                    <w:t>Visuomeninės kainos viršutinės ribos</w:t>
                  </w:r>
                  <w:r>
                    <w:rPr>
                      <w:bCs/>
                      <w:i/>
                      <w:color w:val="000000"/>
                      <w:szCs w:val="24"/>
                      <w:lang w:eastAsia="lt-LT"/>
                    </w:rPr>
                    <w:t xml:space="preserve"> t</w:t>
                  </w:r>
                  <w:r>
                    <w:rPr>
                      <w:bCs/>
                      <w:color w:val="000000"/>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bCs/>
                      <w:i/>
                      <w:color w:val="000000"/>
                      <w:szCs w:val="24"/>
                      <w:lang w:eastAsia="lt-LT"/>
                    </w:rPr>
                    <w:t>t</w:t>
                  </w:r>
                  <w:r>
                    <w:rPr>
                      <w:bCs/>
                      <w:color w:val="000000"/>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bCs/>
                      <w:i/>
                      <w:color w:val="000000"/>
                      <w:szCs w:val="24"/>
                      <w:lang w:eastAsia="lt-LT"/>
                    </w:rPr>
                    <w:t>t</w:t>
                  </w:r>
                  <w:r>
                    <w:rPr>
                      <w:bCs/>
                      <w:color w:val="000000"/>
                      <w:szCs w:val="24"/>
                      <w:lang w:eastAsia="lt-LT"/>
                    </w:rPr>
                    <w:t xml:space="preserve"> metais svertinis vidurkis negali viršyti Reguliuojančiosios institucijos nustatytos elektros energijos skirstymo paslaugos VĮ tinklais kainų viršutinės ribos </w:t>
                  </w:r>
                  <w:r>
                    <w:rPr>
                      <w:bCs/>
                      <w:i/>
                      <w:color w:val="000000"/>
                      <w:szCs w:val="24"/>
                      <w:lang w:eastAsia="lt-LT"/>
                    </w:rPr>
                    <w:t xml:space="preserve">t </w:t>
                  </w:r>
                  <w:r>
                    <w:rPr>
                      <w:bCs/>
                      <w:color w:val="000000"/>
                      <w:szCs w:val="24"/>
                      <w:lang w:eastAsia="lt-LT"/>
                    </w:rPr>
                    <w:t>metais.</w:t>
                  </w:r>
                  <w:r>
                    <w:t xml:space="preserve"> </w:t>
                  </w:r>
                </w:p>
                <w:p>
                  <w:pPr>
                    <w:jc w:val="both"/>
                    <w:rPr>
                      <w:i/>
                      <w:sz w:val="20"/>
                    </w:rPr>
                  </w:pPr>
                  <w:r>
                    <w:rPr>
                      <w:i/>
                      <w:sz w:val="20"/>
                    </w:rPr>
                    <w:t>TAR pastaba. 107</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7-2 p."/>
                <w:tag w:val="part_8f1c7d188d2e4665954f86d772df49c4"/>
                <w:lock w:val="sdtLocked"/>
                <w:richText/>
              </w:sdtPr>
              <w:sdtContent>
                <w:p>
                  <w:pPr>
                    <w:ind w:firstLine="720"/>
                    <w:jc w:val="both"/>
                    <w:rPr>
                      <w:i/>
                      <w:sz w:val="20"/>
                      <w:lang w:eastAsia="lt-LT"/>
                    </w:rPr>
                  </w:pPr>
                  <w:sdt>
                    <w:sdtPr>
                      <w:alias w:val="Numeris"/>
                      <w:tag w:val="nr_8f1c7d188d2e4665954f86d772df49c4"/>
                      <w:lock w:val="sdtLocked"/>
                      <w:richText/>
                    </w:sdtPr>
                    <w:sdtContent>
                      <w:r>
                        <w:rPr>
                          <w:bCs/>
                          <w:szCs w:val="24"/>
                          <w:lang w:eastAsia="lt-LT"/>
                        </w:rPr>
                        <w:t>107</w:t>
                      </w:r>
                      <w:r>
                        <w:rPr>
                          <w:bCs/>
                          <w:szCs w:val="24"/>
                          <w:vertAlign w:val="superscript"/>
                          <w:lang w:eastAsia="lt-LT"/>
                        </w:rPr>
                        <w:t>2</w:t>
                      </w:r>
                    </w:sdtContent>
                  </w:sdt>
                  <w:r>
                    <w:rPr>
                      <w:bCs/>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bCs/>
                      <w:i/>
                      <w:iCs/>
                      <w:szCs w:val="24"/>
                      <w:lang w:eastAsia="lt-LT"/>
                    </w:rPr>
                    <w:t>t</w:t>
                  </w:r>
                  <w:r>
                    <w:rPr>
                      <w:bCs/>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w:t>
                  </w:r>
                  <w:r>
                    <w:rPr>
                      <w:szCs w:val="24"/>
                      <w:lang w:eastAsia="lt-LT"/>
                    </w:rPr>
                    <w:t>Skirtumas visuomeninio tiekėjo visuomeninės elektros energijos kainos viršutinėje riboje taikytų ir faktinių elektros energijos skirstymo paslaugų VĮ ir ŽĮ tinkluose kainų viršutinių ribų</w:t>
                  </w:r>
                  <w:r>
                    <w:rPr>
                      <w:bCs/>
                      <w:szCs w:val="24"/>
                      <w:lang w:eastAsia="lt-LT"/>
                    </w:rPr>
                    <w:t xml:space="preserve">, visuomeniniam tiekėjui veikiant kelių skirstomųjų tinklų operatorių licencijuojamos veiklos teritorijose, </w:t>
                  </w:r>
                  <w:r>
                    <w:rPr>
                      <w:bCs/>
                      <w:i/>
                      <w:iCs/>
                      <w:szCs w:val="24"/>
                      <w:lang w:eastAsia="lt-LT"/>
                    </w:rPr>
                    <w:t>t</w:t>
                  </w:r>
                  <w:r>
                    <w:rPr>
                      <w:bCs/>
                      <w:szCs w:val="24"/>
                      <w:lang w:eastAsia="lt-LT"/>
                    </w:rPr>
                    <w:t>-2</w:t>
                  </w:r>
                  <w:r>
                    <w:rPr>
                      <w:bCs/>
                      <w:i/>
                      <w:iCs/>
                      <w:szCs w:val="24"/>
                      <w:lang w:eastAsia="lt-LT"/>
                    </w:rPr>
                    <w:t xml:space="preserve"> </w:t>
                  </w:r>
                  <w:r>
                    <w:rPr>
                      <w:bCs/>
                      <w:szCs w:val="24"/>
                      <w:lang w:eastAsia="lt-LT"/>
                    </w:rPr>
                    <w:t>metais yra apskaičiuojamas pagal Metodikos 111</w:t>
                  </w:r>
                  <w:r>
                    <w:rPr>
                      <w:bCs/>
                      <w:szCs w:val="24"/>
                      <w:vertAlign w:val="superscript"/>
                      <w:lang w:eastAsia="lt-LT"/>
                    </w:rPr>
                    <w:t>2</w:t>
                  </w:r>
                  <w:r>
                    <w:rPr>
                      <w:bCs/>
                      <w:szCs w:val="24"/>
                      <w:lang w:eastAsia="lt-LT"/>
                    </w:rPr>
                    <w:t xml:space="preserve"> punkte nustatytą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8 p."/>
                <w:tag w:val="part_41d40088691e47409d9c37d63502b106"/>
                <w:lock w:val="sdtLocked"/>
                <w:richText/>
              </w:sdtPr>
              <w:sdtContent>
                <w:p>
                  <w:pPr>
                    <w:tabs>
                      <w:tab w:val="left" w:pos="1260"/>
                      <w:tab w:val="left" w:pos="1843"/>
                      <w:tab w:val="left" w:pos="2268"/>
                    </w:tabs>
                    <w:ind w:right="-1" w:firstLine="720"/>
                    <w:jc w:val="both"/>
                    <w:rPr>
                      <w:szCs w:val="24"/>
                    </w:rPr>
                  </w:pPr>
                  <w:sdt>
                    <w:sdtPr>
                      <w:alias w:val="Numeris"/>
                      <w:tag w:val="nr_41d40088691e47409d9c37d63502b106"/>
                      <w:lock w:val="sdtLocked"/>
                      <w:richText/>
                    </w:sdtPr>
                    <w:sdtContent>
                      <w:r>
                        <w:rPr>
                          <w:szCs w:val="24"/>
                        </w:rPr>
                        <w:t>108</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Reguliuojančiosios institucijos </w:t>
                  </w:r>
                  <w:r>
                    <w:rPr>
                      <w:szCs w:val="24"/>
                    </w:rPr>
                    <w:t>motyvuotu sprendimu dalis elektros energijos kaštų nepripažįstama pagrįstomis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 p."/>
                <w:tag w:val="part_fd30eaaf741f46b79626977889e5d863"/>
                <w:lock w:val="sdtLocked"/>
                <w:richText/>
              </w:sdtPr>
              <w:sdtContent>
                <w:p>
                  <w:pPr>
                    <w:ind w:right="-1" w:firstLine="720"/>
                    <w:jc w:val="both"/>
                    <w:rPr>
                      <w:szCs w:val="24"/>
                      <w:lang w:eastAsia="lt-LT"/>
                    </w:rPr>
                  </w:pPr>
                  <w:sdt>
                    <w:sdtPr>
                      <w:alias w:val="Numeris"/>
                      <w:tag w:val="nr_fd30eaaf741f46b79626977889e5d863"/>
                      <w:lock w:val="sdtLocked"/>
                      <w:richText/>
                    </w:sdtPr>
                    <w:sdtContent>
                      <w:r>
                        <w:rPr>
                          <w:szCs w:val="24"/>
                          <w:lang w:eastAsia="lt-LT"/>
                        </w:rPr>
                        <w:t>109</w:t>
                      </w:r>
                    </w:sdtContent>
                  </w:sdt>
                  <w:r>
                    <w:rPr>
                      <w:szCs w:val="24"/>
                      <w:lang w:eastAsia="lt-LT"/>
                    </w:rPr>
                    <w:t xml:space="preserve">. Reguliuojančiosios institucijos sprendimu įvertinamas prognozuotos elektros energijos įsigijimo ir faktinės elektros energijos įsigijimo sąnaudų skirtumas, susidaręs </w:t>
                  </w:r>
                  <w:r>
                    <w:rPr>
                      <w:i/>
                      <w:iCs/>
                      <w:szCs w:val="24"/>
                      <w:lang w:eastAsia="lt-LT"/>
                    </w:rPr>
                    <w:t>t-2</w:t>
                  </w:r>
                  <w:r>
                    <w:rPr>
                      <w:szCs w:val="24"/>
                      <w:lang w:eastAsia="lt-LT"/>
                    </w:rPr>
                    <w:t xml:space="preserve"> metais ir </w:t>
                  </w:r>
                  <w:r>
                    <w:rPr>
                      <w:i/>
                      <w:iCs/>
                      <w:szCs w:val="24"/>
                      <w:lang w:eastAsia="lt-LT"/>
                    </w:rPr>
                    <w:t>t-1</w:t>
                  </w:r>
                  <w:r>
                    <w:rPr>
                      <w:szCs w:val="24"/>
                      <w:lang w:eastAsia="lt-LT"/>
                    </w:rPr>
                    <w:t xml:space="preserve"> metų sausio 1 d. – rugsėjo 30 d. laikotarpiu, kai nustatoma </w:t>
                  </w:r>
                  <w:r>
                    <w:rPr>
                      <w:szCs w:val="24"/>
                    </w:rPr>
                    <w:t>skirstymo paslaugos 2021</w:t>
                  </w:r>
                  <w:r>
                    <w:rPr>
                      <w:i/>
                      <w:iCs/>
                      <w:szCs w:val="24"/>
                    </w:rPr>
                    <w:t xml:space="preserve"> </w:t>
                  </w:r>
                  <w:r>
                    <w:rPr>
                      <w:szCs w:val="24"/>
                    </w:rPr>
                    <w:t>metų kainos buitiniams vartotojams papildoma dedamoji</w:t>
                  </w:r>
                  <w:r>
                    <w:rPr>
                      <w:szCs w:val="24"/>
                      <w:lang w:eastAsia="lt-LT"/>
                    </w:rPr>
                    <w:t xml:space="preserve">, arba </w:t>
                  </w:r>
                  <w:r>
                    <w:rPr>
                      <w:i/>
                      <w:iCs/>
                      <w:szCs w:val="24"/>
                      <w:lang w:eastAsia="lt-LT"/>
                    </w:rPr>
                    <w:t>t-2</w:t>
                  </w:r>
                  <w:r>
                    <w:rPr>
                      <w:szCs w:val="24"/>
                      <w:lang w:eastAsia="lt-LT"/>
                    </w:rPr>
                    <w:t xml:space="preserve"> metų spalio 1 d. – </w:t>
                  </w:r>
                  <w:r>
                    <w:rPr>
                      <w:i/>
                      <w:iCs/>
                      <w:szCs w:val="24"/>
                      <w:lang w:eastAsia="lt-LT"/>
                    </w:rPr>
                    <w:t>t-1</w:t>
                  </w:r>
                  <w:r>
                    <w:rPr>
                      <w:szCs w:val="24"/>
                      <w:lang w:eastAsia="lt-LT"/>
                    </w:rPr>
                    <w:t xml:space="preserve"> rugsėjo 30  d. laikotarpiu, kai nustatoma </w:t>
                  </w:r>
                  <w:r>
                    <w:rPr>
                      <w:szCs w:val="24"/>
                    </w:rPr>
                    <w:t>skirstymo paslaugos vėlesnių nei 2021 metų kainos buitiniams vartotojams papildoma dedamoji</w:t>
                  </w:r>
                  <w:r>
                    <w:rPr>
                      <w:szCs w:val="24"/>
                      <w:lang w:eastAsia="lt-LT"/>
                    </w:rPr>
                    <w:t>, ir apskaičiuojamas pagal formulę:</w:t>
                  </w:r>
                </w:p>
                <w:p>
                  <w:pPr>
                    <w:ind w:right="-1"/>
                    <w:jc w:val="both"/>
                    <w:rPr>
                      <w:szCs w:val="24"/>
                      <w:lang w:eastAsia="lt-LT"/>
                    </w:rPr>
                  </w:pPr>
                </w:p>
                <w:p>
                  <w:pPr>
                    <w:ind w:right="-1" w:firstLine="5126"/>
                    <w:jc w:val="both"/>
                    <w:rPr>
                      <w:szCs w:val="24"/>
                      <w:lang w:eastAsia="lt-LT"/>
                    </w:rPr>
                  </w:pPr>
                  <m:oMath>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 xml:space="preserve"> </m:t>
                        </m:r>
                      </m:sub>
                    </m:sSub>
                    <m:r>
                      <w:rPr>
                        <w:rFonts w:ascii="Cambria Math" w:hAnsi="Cambria Math" w:cs="Arial"/>
                        <w:color w:val="000000"/>
                        <w:lang w:eastAsia="lt-LT"/>
                      </w:rPr>
                      <m:t>=</m:t>
                    </m:r>
                    <m:d>
                      <m:dPr>
                        <m:ctrlPr>
                          <w:rPr>
                            <w:rFonts w:ascii="Cambria Math" w:hAnsi="Cambria Math" w:cs="Arial"/>
                            <w:i/>
                            <w:color w:val="000000"/>
                            <w:lang w:eastAsia="lt-LT"/>
                          </w:rPr>
                        </m:ctrlPr>
                      </m:dPr>
                      <m:e>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m:t>
                            </m:r>
                            <m:r>
                              <w:rPr>
                                <w:rFonts w:ascii="Cambria Math" w:hAnsi="Cambria Math" w:cs="Arial"/>
                                <w:color w:val="000000"/>
                                <w:lang w:eastAsia="lt-LT"/>
                              </w:rPr>
                              <m:t>f</m:t>
                            </m:r>
                          </m:sub>
                        </m:sSub>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m:t>
                            </m:r>
                            <m:r>
                              <w:rPr>
                                <w:rFonts w:ascii="Cambria Math" w:hAnsi="Cambria Math" w:cs="Arial"/>
                                <w:color w:val="000000"/>
                                <w:lang w:eastAsia="lt-LT"/>
                              </w:rPr>
                              <m:t>,</m:t>
                            </m:r>
                            <m:r>
                              <w:rPr>
                                <w:rFonts w:ascii="Cambria Math" w:hAnsi="Cambria Math" w:cs="Arial"/>
                                <w:color w:val="000000"/>
                                <w:lang w:eastAsia="lt-LT"/>
                              </w:rPr>
                              <m:t>p</m:t>
                            </m:r>
                          </m:sub>
                        </m:sSub>
                      </m:e>
                    </m:d>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E</m:t>
                        </m:r>
                      </m:e>
                      <m:sub>
                        <m:r>
                          <w:rPr>
                            <w:rFonts w:ascii="Cambria Math" w:hAnsi="Cambria Math" w:cs="Arial"/>
                            <w:color w:val="000000"/>
                            <w:lang w:eastAsia="lt-LT"/>
                          </w:rPr>
                          <m:t>vt</m:t>
                        </m:r>
                      </m:sub>
                    </m:sSub>
                  </m:oMath>
                  <w:r>
                    <w:rPr>
                      <w:szCs w:val="24"/>
                      <w:lang w:eastAsia="lt-LT"/>
                    </w:rPr>
                    <w:t>(66)</w:t>
                  </w:r>
                </w:p>
                <w:p>
                  <w:pPr>
                    <w:rPr>
                      <w:sz w:val="14"/>
                      <w:szCs w:val="14"/>
                    </w:rPr>
                  </w:pPr>
                </w:p>
                <w:p>
                  <w:pPr>
                    <w:jc w:val="both"/>
                    <w:rPr>
                      <w:szCs w:val="24"/>
                      <w:lang w:eastAsia="lt-LT"/>
                    </w:rPr>
                  </w:pPr>
                  <w:r>
                    <w:rPr>
                      <w:i/>
                      <w:iCs/>
                      <w:szCs w:val="24"/>
                      <w:lang w:eastAsia="lt-LT"/>
                    </w:rPr>
                    <w:t>čia:</w:t>
                  </w:r>
                </w:p>
                <w:p>
                  <w:pPr>
                    <w:ind w:firstLine="709"/>
                    <w:jc w:val="both"/>
                    <w:rPr>
                      <w:szCs w:val="24"/>
                      <w:lang w:eastAsia="lt-LT"/>
                    </w:rPr>
                  </w:pPr>
                  <w:r>
                    <w:rPr>
                      <w:szCs w:val="24"/>
                      <w:lang w:eastAsia="lt-LT"/>
                    </w:rPr>
                    <w:t>T</w:t>
                  </w:r>
                  <w:r>
                    <w:rPr>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ind w:firstLine="709"/>
                    <w:jc w:val="both"/>
                    <w:rPr>
                      <w:szCs w:val="24"/>
                      <w:lang w:eastAsia="lt-LT"/>
                    </w:rPr>
                  </w:pPr>
                  <w:r>
                    <w:rPr>
                      <w:szCs w:val="24"/>
                      <w:lang w:eastAsia="lt-LT"/>
                    </w:rPr>
                    <w:t>T</w:t>
                  </w:r>
                  <w:r>
                    <w:rPr>
                      <w:szCs w:val="24"/>
                      <w:vertAlign w:val="subscript"/>
                      <w:lang w:eastAsia="lt-LT"/>
                    </w:rPr>
                    <w:t>g,p</w:t>
                  </w:r>
                  <w:r>
                    <w:rPr>
                      <w:szCs w:val="24"/>
                      <w:lang w:eastAsia="lt-LT"/>
                    </w:rPr>
                    <w:t xml:space="preserve"> – atitinkamam laikotarpiui nustatyta prognozuojama elektros energijos įsigijimo kaina, EUR/kWh;</w:t>
                  </w:r>
                </w:p>
                <w:p>
                  <w:pPr>
                    <w:ind w:firstLine="709"/>
                    <w:jc w:val="both"/>
                    <w:rPr>
                      <w:szCs w:val="24"/>
                      <w:lang w:eastAsia="lt-LT"/>
                    </w:rPr>
                  </w:pPr>
                  <w:r>
                    <w:rPr>
                      <w:szCs w:val="24"/>
                      <w:lang w:eastAsia="lt-LT"/>
                    </w:rPr>
                    <w:t>T</w:t>
                  </w:r>
                  <w:r>
                    <w:rPr>
                      <w:szCs w:val="24"/>
                      <w:vertAlign w:val="subscript"/>
                      <w:lang w:eastAsia="lt-LT"/>
                    </w:rPr>
                    <w:t xml:space="preserve">g,f </w:t>
                  </w:r>
                  <w:r>
                    <w:rPr>
                      <w:szCs w:val="24"/>
                      <w:lang w:eastAsia="lt-LT"/>
                    </w:rPr>
                    <w:t>– faktinė elektros energijos įsigijimo kaina atitinkamam laikotarpiui, EUR/kWh;</w:t>
                  </w:r>
                </w:p>
                <w:p>
                  <w:pPr>
                    <w:ind w:firstLine="709"/>
                    <w:jc w:val="both"/>
                    <w:rPr>
                      <w:szCs w:val="24"/>
                    </w:rPr>
                  </w:pPr>
                  <w:r>
                    <w:rPr>
                      <w:szCs w:val="24"/>
                      <w:lang w:eastAsia="lt-LT"/>
                    </w:rPr>
                    <w:t>E</w:t>
                  </w:r>
                  <w:r>
                    <w:rPr>
                      <w:szCs w:val="24"/>
                      <w:vertAlign w:val="subscript"/>
                      <w:lang w:eastAsia="lt-LT"/>
                    </w:rPr>
                    <w:t>vt,</w:t>
                  </w:r>
                  <w:r>
                    <w:rPr>
                      <w:szCs w:val="24"/>
                      <w:lang w:eastAsia="lt-LT"/>
                    </w:rPr>
                    <w:t xml:space="preserve"> – visuomeninio tiekėjo faktiškai parduotas elektros energijos kiekis atitinkamu laikotarpiu,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1 p."/>
                <w:tag w:val="part_8877735a3b4b488c9969def334170fb4"/>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9-2 p."/>
                <w:tag w:val="part_c9c784ffdf8140a5abc6df725c400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181b683834ab401ba49ee548aa434e27"/>
                <w:lock w:val="sdtLocked"/>
                <w:richText/>
              </w:sdtPr>
              <w:sdtContent>
                <w:p>
                  <w:pPr>
                    <w:tabs>
                      <w:tab w:val="left" w:pos="1260"/>
                      <w:tab w:val="left" w:pos="1843"/>
                      <w:tab w:val="left" w:pos="2268"/>
                    </w:tabs>
                    <w:ind w:firstLine="720"/>
                    <w:jc w:val="both"/>
                  </w:pPr>
                  <w:sdt>
                    <w:sdtPr>
                      <w:alias w:val="Numeris"/>
                      <w:tag w:val="nr_181b683834ab401ba49ee548aa434e27"/>
                      <w:lock w:val="sdtLocked"/>
                      <w:richText/>
                    </w:sdtPr>
                    <w:sdtContent>
                      <w:r>
                        <w:rPr>
                          <w:szCs w:val="24"/>
                        </w:rPr>
                        <w:t>111</w:t>
                      </w:r>
                    </w:sdtContent>
                  </w:sdt>
                  <w:r>
                    <w:rPr>
                      <w:szCs w:val="24"/>
                    </w:rPr>
                    <w:t xml:space="preserve">. </w:t>
                  </w:r>
                  <w:r>
                    <w:rPr>
                      <w:i/>
                      <w:sz w:val="20"/>
                    </w:rPr>
                    <w:t>Neteko galios nuo 2019-10-11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2 p."/>
                <w:tag w:val="part_c7ccb3b106864a62acee5f20821d2021"/>
                <w:lock w:val="sdtLocked"/>
                <w:richText/>
              </w:sdtPr>
              <w:sdtContent>
                <w:p>
                  <w:pPr>
                    <w:ind w:firstLine="709"/>
                    <w:jc w:val="both"/>
                    <w:rPr>
                      <w:bCs/>
                      <w:szCs w:val="24"/>
                      <w:lang w:val="en-US" w:eastAsia="lt-LT"/>
                    </w:rPr>
                  </w:pPr>
                  <w:sdt>
                    <w:sdtPr>
                      <w:alias w:val="Numeris"/>
                      <w:tag w:val="nr_c7ccb3b106864a62acee5f20821d2021"/>
                      <w:lock w:val="sdtLocked"/>
                      <w:richText/>
                    </w:sdtPr>
                    <w:sdtContent>
                      <w:r>
                        <w:rPr>
                          <w:bCs/>
                          <w:szCs w:val="24"/>
                          <w:lang w:val="en-US" w:eastAsia="lt-LT"/>
                        </w:rPr>
                        <w:t>111</w:t>
                      </w:r>
                      <w:r>
                        <w:rPr>
                          <w:bCs/>
                          <w:szCs w:val="24"/>
                          <w:vertAlign w:val="superscript"/>
                          <w:lang w:val="en-US" w:eastAsia="lt-LT"/>
                        </w:rPr>
                        <w:t>2</w:t>
                      </w:r>
                    </w:sdtContent>
                  </w:sdt>
                  <w:r>
                    <w:rPr>
                      <w:bCs/>
                      <w:szCs w:val="24"/>
                      <w:lang w:val="en-US" w:eastAsia="lt-LT"/>
                    </w:rPr>
                    <w:t>.</w:t>
                  </w:r>
                  <w:r>
                    <w:rPr>
                      <w:szCs w:val="24"/>
                      <w:lang w:val="en-US" w:eastAsia="lt-LT"/>
                    </w:rPr>
                    <w:t xml:space="preserve"> </w:t>
                  </w:r>
                  <w:r>
                    <w:rPr>
                      <w:color w:val="000000"/>
                      <w:szCs w:val="24"/>
                      <w:lang w:eastAsia="lt-LT"/>
                    </w:rPr>
                    <w:t>Visuomeninio tiekėjo visuomeninės elektros energijos kainos viršutinėje riboje taikytų ir faktinių elektros energijos skirstymo paslaugų VĮ ir ŽĮ tinkluose kainų viršutinių ribų skirtumas</w:t>
                  </w:r>
                  <w:r>
                    <w:rPr>
                      <w:bCs/>
                      <w:color w:val="000000"/>
                      <w:szCs w:val="24"/>
                      <w:lang w:eastAsia="lt-LT"/>
                    </w:rPr>
                    <w:t xml:space="preserve">, </w:t>
                  </w:r>
                  <w:r>
                    <w:rPr>
                      <w:bCs/>
                      <w:szCs w:val="24"/>
                      <w:lang w:eastAsia="lt-LT"/>
                    </w:rPr>
                    <w:t xml:space="preserve">vienam visuomeniniam tiekėjui veikiant kelių skirstomųjų tinklų operatorių licencijuojamos veiklos teritorijose, kainos galiojimo laikotarpiui </w:t>
                  </w:r>
                  <w:r>
                    <w:rPr>
                      <w:bCs/>
                      <w:i/>
                      <w:iCs/>
                      <w:szCs w:val="24"/>
                      <w:lang w:eastAsia="lt-LT"/>
                    </w:rPr>
                    <w:t>t</w:t>
                  </w:r>
                  <w:r>
                    <w:rPr>
                      <w:bCs/>
                      <w:szCs w:val="24"/>
                      <w:lang w:eastAsia="lt-LT"/>
                    </w:rPr>
                    <w:t>-2, yra apskaičiuojamas pagal formulę:</w:t>
                  </w:r>
                </w:p>
                <w:p>
                  <w:pPr>
                    <w:jc w:val="both"/>
                    <w:rPr>
                      <w:szCs w:val="24"/>
                    </w:rPr>
                  </w:pPr>
                </w:p>
                <w:p>
                  <w:pPr>
                    <w:ind w:firstLine="372"/>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lang w:val="en-US"/>
                              </w:rPr>
                              <m:t>10,04</m:t>
                            </m:r>
                          </m:e>
                        </m:d>
                        <m:r>
                          <w:rPr>
                            <w:rFonts w:ascii="Cambria Math" w:hAnsi="Cambria Math"/>
                            <w:szCs w:val="24"/>
                            <w:lang w:val="en-US"/>
                          </w:rPr>
                          <m:t>,</m:t>
                        </m:r>
                        <m:r>
                          <w:rPr>
                            <w:rFonts w:ascii="Cambria Math" w:hAnsi="Cambria Math"/>
                            <w:szCs w:val="24"/>
                            <w:lang w:val="en-US"/>
                          </w:rPr>
                          <m:t>t</m:t>
                        </m:r>
                        <m:r>
                          <w:rPr>
                            <w:rFonts w:ascii="Cambria Math" w:hAnsi="Cambria Math"/>
                            <w:szCs w:val="24"/>
                            <w:lang w:val="en-US"/>
                          </w:rPr>
                          <m: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xml:space="preserve">, </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bCs/>
                      <w:color w:val="000000"/>
                      <w:szCs w:val="24"/>
                      <w:lang w:eastAsia="lt-LT"/>
                    </w:rPr>
                    <w:t>(67)</w:t>
                  </w:r>
                </w:p>
                <w:p>
                  <w:pPr>
                    <w:jc w:val="both"/>
                    <w:rPr>
                      <w:szCs w:val="24"/>
                    </w:rPr>
                  </w:pPr>
                </w:p>
                <w:p>
                  <w:pPr>
                    <w:ind w:firstLine="709"/>
                    <w:jc w:val="both"/>
                    <w:rPr>
                      <w:bCs/>
                      <w:i/>
                      <w:iCs/>
                      <w:szCs w:val="24"/>
                    </w:rPr>
                  </w:pPr>
                  <w:r>
                    <w:rPr>
                      <w:bCs/>
                      <w:i/>
                      <w:iCs/>
                      <w:szCs w:val="24"/>
                    </w:rPr>
                    <w:t>čia:</w:t>
                  </w:r>
                </w:p>
                <w:p>
                  <w:pPr>
                    <w:ind w:firstLine="720"/>
                    <w:jc w:val="both"/>
                    <w:rPr>
                      <w:bCs/>
                      <w:color w:val="000000"/>
                      <w:szCs w:val="24"/>
                      <w:lang w:eastAsia="lt-LT"/>
                    </w:rPr>
                  </w:pPr>
                  <w:r>
                    <w:rPr>
                      <w:bCs/>
                      <w:color w:val="000000"/>
                      <w:szCs w:val="24"/>
                      <w:lang w:eastAsia="lt-LT"/>
                    </w:rPr>
                    <w:t>ΔT</w:t>
                  </w:r>
                  <w:r>
                    <w:rPr>
                      <w:bCs/>
                      <w:color w:val="000000"/>
                      <w:szCs w:val="24"/>
                      <w:vertAlign w:val="subscript"/>
                      <w:lang w:eastAsia="lt-LT"/>
                    </w:rPr>
                    <w:t>STO(10,04), t-2</w:t>
                  </w:r>
                  <w:r>
                    <w:rPr>
                      <w:bCs/>
                      <w:color w:val="000000"/>
                      <w:szCs w:val="24"/>
                      <w:lang w:eastAsia="lt-LT"/>
                    </w:rPr>
                    <w:t xml:space="preserve"> – </w:t>
                  </w:r>
                  <w:r>
                    <w:rPr>
                      <w:color w:val="000000"/>
                      <w:szCs w:val="24"/>
                      <w:lang w:eastAsia="lt-LT"/>
                    </w:rPr>
                    <w:t>visuomeninės elektros energijos kainos viršutinėje riboje taikytų ir faktinių elektros energijos skirstymo paslaugų VĮ ir ŽĮ tinkluose kainų viršutinių ribų skirtumas</w:t>
                  </w:r>
                  <w:r>
                    <w:rPr>
                      <w:bCs/>
                      <w:color w:val="000000"/>
                      <w:szCs w:val="24"/>
                      <w:lang w:eastAsia="lt-LT"/>
                    </w:rPr>
                    <w:t>, vienam visuomeniniam tiekėjui veikiant kelių skirstomųjų tinklų operatorių licencijuojamos veiklos teritorijose,</w:t>
                  </w:r>
                  <w:r>
                    <w:rPr>
                      <w:sz w:val="22"/>
                      <w:szCs w:val="22"/>
                    </w:rPr>
                    <w:t xml:space="preserve"> </w:t>
                  </w:r>
                  <w:r>
                    <w:rPr>
                      <w:bCs/>
                      <w:color w:val="000000"/>
                      <w:szCs w:val="24"/>
                      <w:lang w:eastAsia="lt-LT"/>
                    </w:rPr>
                    <w:t>EUR/kWh;</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w:t>
                  </w:r>
                  <w:r>
                    <w:rPr>
                      <w:bCs/>
                      <w:color w:val="000000"/>
                      <w:szCs w:val="24"/>
                      <w:lang w:eastAsia="lt-LT"/>
                    </w:rPr>
                    <w:t xml:space="preserve"> – elektros energijos skirstymo paslaugos VĮ tinklais kainos viršutinė riba </w:t>
                  </w:r>
                  <w:r>
                    <w:rPr>
                      <w:bCs/>
                      <w:i/>
                      <w:iCs/>
                      <w:color w:val="000000"/>
                      <w:szCs w:val="24"/>
                      <w:lang w:eastAsia="lt-LT"/>
                    </w:rPr>
                    <w:t xml:space="preserve">t-2 </w:t>
                  </w:r>
                  <w:r>
                    <w:rPr>
                      <w:bCs/>
                      <w:color w:val="000000"/>
                      <w:szCs w:val="24"/>
                      <w:lang w:eastAsia="lt-LT"/>
                    </w:rPr>
                    <w:t xml:space="preserve">metais, skirstymo sistemos operatoriaus, kurio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buvo taikyta visiems visuomeninio tiekėjo licencijuojamos veiklos teritorijoje esantiems buitiniams vartotojams,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
                      <w:bCs/>
                      <w:szCs w:val="24"/>
                      <w:lang w:eastAsia="lt-LT"/>
                    </w:rPr>
                  </w:pPr>
                  <w:r>
                    <w:rPr>
                      <w:bCs/>
                      <w:color w:val="000000"/>
                      <w:szCs w:val="24"/>
                      <w:lang w:eastAsia="lt-LT"/>
                    </w:rPr>
                    <w:t>T’</w:t>
                  </w:r>
                  <w:r>
                    <w:rPr>
                      <w:bCs/>
                      <w:color w:val="000000"/>
                      <w:szCs w:val="24"/>
                      <w:vertAlign w:val="subscript"/>
                      <w:lang w:eastAsia="lt-LT"/>
                    </w:rPr>
                    <w:t>04, t-2</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color w:val="000000"/>
                      <w:szCs w:val="24"/>
                      <w:lang w:eastAsia="lt-LT"/>
                    </w:rPr>
                    <w:t xml:space="preserve">skirstymo sistemos operatoriaus, kurio elektros energijos </w:t>
                  </w:r>
                  <w:r>
                    <w:rPr>
                      <w:bCs/>
                      <w:szCs w:val="24"/>
                      <w:lang w:eastAsia="lt-LT"/>
                    </w:rPr>
                    <w:t xml:space="preserve">skirstymo paslaugos ŽĮ tinklais kainos viršutinė riba </w:t>
                  </w:r>
                  <w:r>
                    <w:rPr>
                      <w:bCs/>
                      <w:i/>
                      <w:iCs/>
                      <w:szCs w:val="24"/>
                      <w:lang w:eastAsia="lt-LT"/>
                    </w:rPr>
                    <w:t>t</w:t>
                  </w:r>
                  <w:r>
                    <w:rPr>
                      <w:bCs/>
                      <w:szCs w:val="24"/>
                      <w:lang w:eastAsia="lt-LT"/>
                    </w:rPr>
                    <w:t>-2</w:t>
                  </w:r>
                  <w:r>
                    <w:rPr>
                      <w:bCs/>
                      <w:color w:val="000000"/>
                      <w:szCs w:val="24"/>
                      <w:lang w:eastAsia="lt-LT"/>
                    </w:rPr>
                    <w:t xml:space="preserve"> buvo taikyta visiems visuomeninio tiekėjo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t-2,i</w:t>
                  </w:r>
                  <w:r>
                    <w:rPr>
                      <w:bCs/>
                      <w:color w:val="000000"/>
                      <w:szCs w:val="24"/>
                      <w:lang w:eastAsia="lt-LT"/>
                    </w:rPr>
                    <w:t> –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w:t>
                  </w:r>
                  <w:r>
                    <w:rPr>
                      <w:bCs/>
                      <w:i/>
                      <w:iCs/>
                      <w:color w:val="000000"/>
                      <w:szCs w:val="24"/>
                      <w:lang w:eastAsia="lt-LT"/>
                    </w:rPr>
                    <w:t>i</w:t>
                  </w:r>
                  <w:r>
                    <w:rPr>
                      <w:bCs/>
                      <w:color w:val="000000"/>
                      <w:szCs w:val="24"/>
                      <w:lang w:eastAsia="lt-LT"/>
                    </w:rPr>
                    <w:t xml:space="preserve">-tojo skirstymo sistemos operatoriaus, kurio elektros energijos skirstymo paslaugos VĮ tinklais kainos viršutinė riba </w:t>
                  </w:r>
                  <w:r>
                    <w:rPr>
                      <w:bCs/>
                      <w:i/>
                      <w:iCs/>
                      <w:color w:val="000000"/>
                      <w:szCs w:val="24"/>
                      <w:lang w:eastAsia="lt-LT"/>
                    </w:rPr>
                    <w:t>t</w:t>
                  </w:r>
                  <w:r>
                    <w:rPr>
                      <w:bCs/>
                      <w:color w:val="000000"/>
                      <w:szCs w:val="24"/>
                      <w:lang w:eastAsia="lt-LT"/>
                    </w:rPr>
                    <w:t>-2 metais nebuvo taikyta jo licencijuojamoje veiklos teritorijoje esantiems buitiniams vartotojams,</w:t>
                  </w:r>
                  <w:r>
                    <w:rPr>
                      <w:bCs/>
                      <w:szCs w:val="24"/>
                      <w:lang w:eastAsia="lt-LT"/>
                    </w:rPr>
                    <w:t xml:space="preserve"> įvertinant elektros energijos skirstymo paslaugos teikimo sąnaudų priskyrimo buitiniams vartotojams koeficientą</w:t>
                  </w:r>
                  <w:r>
                    <w:rPr>
                      <w:sz w:val="22"/>
                      <w:szCs w:val="22"/>
                    </w:rPr>
                    <w:t xml:space="preserve"> </w:t>
                  </w:r>
                  <w:r>
                    <w:rPr>
                      <w:bCs/>
                      <w:szCs w:val="24"/>
                      <w:lang w:eastAsia="lt-LT"/>
                    </w:rPr>
                    <w:t>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Cs/>
                      <w:szCs w:val="24"/>
                      <w:lang w:eastAsia="lt-LT"/>
                    </w:rPr>
                  </w:pPr>
                  <w:r>
                    <w:rPr>
                      <w:bCs/>
                      <w:color w:val="000000"/>
                      <w:szCs w:val="24"/>
                      <w:lang w:eastAsia="lt-LT"/>
                    </w:rPr>
                    <w:t>T’</w:t>
                  </w:r>
                  <w:r>
                    <w:rPr>
                      <w:bCs/>
                      <w:color w:val="000000"/>
                      <w:szCs w:val="24"/>
                      <w:vertAlign w:val="subscript"/>
                      <w:lang w:eastAsia="lt-LT"/>
                    </w:rPr>
                    <w:t>04, t-2,i</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i/>
                      <w:iCs/>
                      <w:szCs w:val="24"/>
                      <w:lang w:eastAsia="lt-LT"/>
                    </w:rPr>
                    <w:t>i</w:t>
                  </w:r>
                  <w:r>
                    <w:rPr>
                      <w:bCs/>
                      <w:szCs w:val="24"/>
                      <w:lang w:eastAsia="lt-LT"/>
                    </w:rPr>
                    <w:t xml:space="preserve">-tojo </w:t>
                  </w:r>
                  <w:r>
                    <w:rPr>
                      <w:bCs/>
                      <w:color w:val="000000"/>
                      <w:szCs w:val="24"/>
                      <w:lang w:eastAsia="lt-LT"/>
                    </w:rPr>
                    <w:t xml:space="preserve">skirstymo sistemos operatoriaus, kurio </w:t>
                  </w:r>
                  <w:r>
                    <w:rPr>
                      <w:bCs/>
                      <w:szCs w:val="24"/>
                      <w:lang w:eastAsia="lt-LT"/>
                    </w:rPr>
                    <w:t>elektros energijos skirstymo paslaugos ŽĮ tinklais kainos viršutinė riba</w:t>
                  </w:r>
                  <w:r>
                    <w:rPr>
                      <w:bCs/>
                      <w:color w:val="000000"/>
                      <w:szCs w:val="24"/>
                      <w:lang w:eastAsia="lt-LT"/>
                    </w:rPr>
                    <w:t xml:space="preserve"> </w:t>
                  </w:r>
                  <w:r>
                    <w:rPr>
                      <w:bCs/>
                      <w:i/>
                      <w:iCs/>
                      <w:color w:val="000000"/>
                      <w:szCs w:val="24"/>
                      <w:lang w:eastAsia="lt-LT"/>
                    </w:rPr>
                    <w:t>t</w:t>
                  </w:r>
                  <w:r>
                    <w:rPr>
                      <w:bCs/>
                      <w:color w:val="000000"/>
                      <w:szCs w:val="24"/>
                      <w:lang w:eastAsia="lt-LT"/>
                    </w:rPr>
                    <w:t>-2 metais nebuvo taikyta 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 t </w:t>
                  </w:r>
                  <w:r>
                    <w:rPr>
                      <w:bCs/>
                      <w:color w:val="000000"/>
                      <w:szCs w:val="24"/>
                      <w:lang w:eastAsia="lt-LT"/>
                    </w:rPr>
                    <w:t xml:space="preserve">– visuomeninio tiekėjo prognozuojamas parduoti elektros energijos kiekis </w:t>
                  </w:r>
                  <w:r>
                    <w:rPr>
                      <w:bCs/>
                      <w:i/>
                      <w:iCs/>
                      <w:color w:val="000000"/>
                      <w:szCs w:val="24"/>
                      <w:lang w:eastAsia="lt-LT"/>
                    </w:rPr>
                    <w:t>t</w:t>
                  </w:r>
                  <w:r>
                    <w:rPr>
                      <w:bCs/>
                      <w:color w:val="000000"/>
                      <w:szCs w:val="24"/>
                      <w:lang w:eastAsia="lt-LT"/>
                    </w:rPr>
                    <w:t xml:space="preserve"> metais,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vt(10),t-2,i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VĮ tinklų, faktiškai parduotas elektros energijos kiekis,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vt(04),t-2,i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ŽĮ tinklų, faktiškai parduotas elektros energijos kiekis, kWh;</w:t>
                  </w:r>
                </w:p>
                <w:p>
                  <w:pPr>
                    <w:ind w:firstLine="720"/>
                    <w:jc w:val="both"/>
                  </w:pPr>
                  <w:r>
                    <w:rPr>
                      <w:bCs/>
                      <w:color w:val="000000"/>
                      <w:szCs w:val="24"/>
                      <w:lang w:eastAsia="lt-LT"/>
                    </w:rPr>
                    <w:t xml:space="preserve">n – skirstymo tinklų operatorių, kurių licencijuojamos veiklos teritorijoje esantiems buitiniams vartotojams visuomeninės elektros energijos kainos viršutinėje riboje buvo taikytos kito skirstymo tinklų operatoriaus </w:t>
                  </w:r>
                  <w:r>
                    <w:rPr>
                      <w:bCs/>
                      <w:szCs w:val="24"/>
                      <w:lang w:eastAsia="lt-LT"/>
                    </w:rPr>
                    <w:t>elektros energijos skirstymo paslaugos VĮ ir ŽĮ tinklais kainų viršutinės ribos,</w:t>
                  </w:r>
                  <w:r>
                    <w:rPr>
                      <w:bCs/>
                      <w:color w:val="000000"/>
                      <w:szCs w:val="24"/>
                      <w:lang w:eastAsia="lt-LT"/>
                    </w:rPr>
                    <w:t xml:space="preserve"> skaičius.</w:t>
                  </w:r>
                  <w:r>
                    <w:t xml:space="preserve"> </w:t>
                  </w:r>
                </w:p>
                <w:p>
                  <w:pPr>
                    <w:jc w:val="both"/>
                    <w:rPr>
                      <w:szCs w:val="24"/>
                    </w:rPr>
                  </w:pPr>
                  <w:r>
                    <w:rPr>
                      <w:b/>
                      <w:i/>
                      <w:sz w:val="20"/>
                    </w:rPr>
                    <w:t>TAR pastaba.</w:t>
                  </w:r>
                  <w:r>
                    <w:rPr>
                      <w:i/>
                      <w:sz w:val="20"/>
                    </w:rPr>
                    <w:t xml:space="preserve"> 111</w:t>
                  </w:r>
                  <w:r>
                    <w:rPr>
                      <w:i/>
                      <w:sz w:val="20"/>
                      <w:vertAlign w:val="superscript"/>
                    </w:rPr>
                    <w:t>2</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e213aec5d55e4aeea6944b59b607b416"/>
                        <w:lock w:val="sdtLocked"/>
                        <w:richText/>
                      </w:sdtPr>
                      <w:sdtContent>
                        <w:p>
                          <w:pPr>
                            <w:pStyle w:val="PlainText"/>
                            <w:ind w:firstLine="567"/>
                            <w:jc w:val="both"/>
                            <w:rPr>
                              <w:rFonts w:ascii="Times New Roman" w:hAnsi="Times New Roman"/>
                              <w:b/>
                              <w:bCs/>
                              <w:sz w:val="22"/>
                            </w:rPr>
                          </w:pPr>
                          <w:r>
                            <w:rPr>
                              <w:rFonts w:ascii="Times New Roman" w:hAnsi="Times New Roman"/>
                              <w:sz w:val="22"/>
                            </w:rPr>
                            <w:t>115.1.10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5450d29ae6b24ba780769c22d913b8f0"/>
                        <w:lock w:val="sdtLocked"/>
                        <w:richText/>
                      </w:sdtPr>
                      <w:sdtContent>
                        <w:p>
                          <w:pPr>
                            <w:pStyle w:val="PlainText"/>
                            <w:ind w:firstLine="567"/>
                            <w:jc w:val="both"/>
                            <w:rPr>
                              <w:rFonts w:ascii="Times New Roman" w:hAnsi="Times New Roman"/>
                              <w:b/>
                              <w:bCs/>
                              <w:sz w:val="22"/>
                            </w:rPr>
                          </w:pPr>
                          <w:r>
                            <w:rPr>
                              <w:rFonts w:ascii="Times New Roman" w:hAnsi="Times New Roman"/>
                              <w:sz w:val="22"/>
                            </w:rPr>
                            <w:t>115.2.10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5-1 p."/>
                <w:tag w:val="part_9c6b351539dd46f990c68286285d2e09"/>
                <w:lock w:val="sdtLocked"/>
                <w:richText/>
              </w:sdtPr>
              <w:sdtContent>
                <w:p>
                  <w:pPr>
                    <w:ind w:firstLine="720"/>
                    <w:jc w:val="both"/>
                    <w:rPr>
                      <w:szCs w:val="24"/>
                    </w:rPr>
                  </w:pPr>
                  <w:sdt>
                    <w:sdtPr>
                      <w:alias w:val="Numeris"/>
                      <w:tag w:val="nr_9c6b351539dd46f990c68286285d2e09"/>
                      <w:lock w:val="sdtLocked"/>
                      <w:richText/>
                    </w:sdtPr>
                    <w:sdtContent>
                      <w:r>
                        <w:t>115</w:t>
                      </w:r>
                      <w:r>
                        <w:rPr>
                          <w:vertAlign w:val="superscript"/>
                        </w:rPr>
                        <w:t>1</w:t>
                      </w:r>
                    </w:sdtContent>
                  </w:sdt>
                  <w:r>
                    <w:t>.</w:t>
                  </w:r>
                  <w:r>
                    <w:rPr>
                      <w:szCs w:val="24"/>
                    </w:rPr>
                    <w:t xml:space="preserve"> Reguliuojamų paslaugų kainų viršutinėms riboms koreguoti Įmonė iki rugsėjo 1 d. pateikia:</w:t>
                  </w:r>
                </w:p>
                <w:sdt>
                  <w:sdtPr>
                    <w:alias w:val="115-1.1p."/>
                    <w:tag w:val="part_ddf48069206d449282d47ddaeca4bcf4"/>
                    <w:lock w:val="sdtLocked"/>
                    <w:richText/>
                  </w:sdtPr>
                  <w:sdtContent>
                    <w:p>
                      <w:pPr>
                        <w:tabs>
                          <w:tab w:val="left" w:pos="426"/>
                          <w:tab w:val="left" w:pos="1440"/>
                          <w:tab w:val="left" w:pos="1843"/>
                          <w:tab w:val="left" w:pos="2268"/>
                        </w:tabs>
                        <w:ind w:firstLine="720"/>
                        <w:jc w:val="both"/>
                        <w:rPr>
                          <w:szCs w:val="24"/>
                        </w:rPr>
                      </w:pPr>
                      <w:sdt>
                        <w:sdtPr>
                          <w:alias w:val="Numeris"/>
                          <w:tag w:val="nr_ddf48069206d449282d47ddaeca4bcf4"/>
                          <w:lock w:val="sdtLocked"/>
                          <w:richText/>
                        </w:sdtPr>
                        <w:sdtContent>
                          <w:r>
                            <w:rPr>
                              <w:szCs w:val="24"/>
                            </w:rPr>
                            <w:t>115.</w:t>
                          </w:r>
                          <w:r>
                            <w:rPr>
                              <w:szCs w:val="24"/>
                              <w:vertAlign w:val="superscript"/>
                            </w:rPr>
                            <w:t>1</w:t>
                          </w:r>
                          <w:r>
                            <w:rPr>
                              <w:szCs w:val="24"/>
                            </w:rPr>
                            <w:t>1</w:t>
                          </w:r>
                        </w:sdtContent>
                      </w:sdt>
                      <w:r>
                        <w:rPr>
                          <w:szCs w:val="24"/>
                        </w:rPr>
                        <w:t>. PSO:</w:t>
                      </w:r>
                    </w:p>
                    <w:sdt>
                      <w:sdtPr>
                        <w:alias w:val="115-1.1.1 pp."/>
                        <w:tag w:val="part_55ea59bca6fe48f08144e147f77e853d"/>
                        <w:lock w:val="sdtLocked"/>
                        <w:richText/>
                      </w:sdtPr>
                      <w:sdtContent>
                        <w:p>
                          <w:pPr>
                            <w:ind w:firstLine="720"/>
                            <w:jc w:val="both"/>
                            <w:rPr>
                              <w:szCs w:val="24"/>
                            </w:rPr>
                          </w:pPr>
                          <w:sdt>
                            <w:sdtPr>
                              <w:alias w:val="Numeris"/>
                              <w:tag w:val="nr_55ea59bca6fe48f08144e147f77e853d"/>
                              <w:lock w:val="sdtLocked"/>
                              <w:richText/>
                            </w:sdtPr>
                            <w:sdtContent>
                              <w:r>
                                <w:rPr>
                                  <w:szCs w:val="24"/>
                                </w:rPr>
                                <w:t>115</w:t>
                              </w:r>
                              <w:r>
                                <w:rPr>
                                  <w:szCs w:val="24"/>
                                  <w:vertAlign w:val="superscript"/>
                                </w:rPr>
                                <w:t>1</w:t>
                              </w:r>
                              <w:r>
                                <w:rPr>
                                  <w:szCs w:val="24"/>
                                </w:rPr>
                                <w:t>.1.1</w:t>
                              </w:r>
                            </w:sdtContent>
                          </w:sdt>
                          <w:r>
                            <w:rPr>
                              <w:szCs w:val="24"/>
                            </w:rPr>
                            <w:t>. veiklai naudojamo turto vertės skaičiavimo lentelę (Metodikos 2 priedas);</w:t>
                          </w:r>
                        </w:p>
                      </w:sdtContent>
                    </w:sdt>
                    <w:sdt>
                      <w:sdtPr>
                        <w:alias w:val="115-1.1.2 pp."/>
                        <w:tag w:val="part_e8ded0b4cab74d8896f3cee386ccdd86"/>
                        <w:lock w:val="sdtLocked"/>
                        <w:richText/>
                      </w:sdtPr>
                      <w:sdtContent>
                        <w:p>
                          <w:pPr>
                            <w:ind w:firstLine="720"/>
                            <w:jc w:val="both"/>
                            <w:rPr>
                              <w:szCs w:val="24"/>
                            </w:rPr>
                          </w:pPr>
                          <w:sdt>
                            <w:sdtPr>
                              <w:alias w:val="Numeris"/>
                              <w:tag w:val="nr_e8ded0b4cab74d8896f3cee386ccdd86"/>
                              <w:lock w:val="sdtLocked"/>
                              <w:richText/>
                            </w:sdtPr>
                            <w:sdtContent>
                              <w:r>
                                <w:rPr>
                                  <w:szCs w:val="24"/>
                                </w:rPr>
                                <w:t>115</w:t>
                              </w:r>
                              <w:r>
                                <w:rPr>
                                  <w:szCs w:val="24"/>
                                  <w:vertAlign w:val="superscript"/>
                                </w:rPr>
                                <w:t>1</w:t>
                              </w:r>
                              <w:r>
                                <w:rPr>
                                  <w:szCs w:val="24"/>
                                </w:rPr>
                                <w:t>.1.2</w:t>
                              </w:r>
                            </w:sdtContent>
                          </w:sdt>
                          <w:r>
                            <w:rPr>
                              <w:szCs w:val="24"/>
                            </w:rPr>
                            <w:t>. duomenų suvestinę kainos viršutinei ribai koreguoti (Metodikos 13 priedas);</w:t>
                          </w:r>
                        </w:p>
                      </w:sdtContent>
                    </w:sdt>
                    <w:sdt>
                      <w:sdtPr>
                        <w:alias w:val="115-1.1.3 pp."/>
                        <w:tag w:val="part_454418676fba4ed2baf77b13cd01182d"/>
                        <w:lock w:val="sdtLocked"/>
                        <w:richText/>
                      </w:sdtPr>
                      <w:sdtContent>
                        <w:p>
                          <w:pPr>
                            <w:ind w:firstLine="720"/>
                            <w:jc w:val="both"/>
                            <w:rPr>
                              <w:szCs w:val="24"/>
                            </w:rPr>
                          </w:pPr>
                          <w:sdt>
                            <w:sdtPr>
                              <w:alias w:val="Numeris"/>
                              <w:tag w:val="nr_454418676fba4ed2baf77b13cd01182d"/>
                              <w:lock w:val="sdtLocked"/>
                              <w:richText/>
                            </w:sdtPr>
                            <w:sdtContent>
                              <w:r>
                                <w:rPr>
                                  <w:szCs w:val="24"/>
                                </w:rPr>
                                <w:t>115</w:t>
                              </w:r>
                              <w:r>
                                <w:rPr>
                                  <w:szCs w:val="24"/>
                                  <w:vertAlign w:val="superscript"/>
                                </w:rPr>
                                <w:t>1</w:t>
                              </w:r>
                              <w:r>
                                <w:rPr>
                                  <w:szCs w:val="24"/>
                                </w:rPr>
                                <w:t>.1.3</w:t>
                              </w:r>
                            </w:sdtContent>
                          </w:sdt>
                          <w:r>
                            <w:rPr>
                              <w:szCs w:val="24"/>
                            </w:rPr>
                            <w:t>. aiškinamąjį raštą su pateiktų duomenų pagrindimu.</w:t>
                          </w:r>
                        </w:p>
                      </w:sdtContent>
                    </w:sdt>
                    <w:sdt>
                      <w:sdtPr>
                        <w:alias w:val="115-1.2 pp."/>
                        <w:tag w:val="part_81d9e7c5ecb64bf292b8350b76729fa0"/>
                        <w:lock w:val="sdtLocked"/>
                        <w:richText/>
                      </w:sdtPr>
                      <w:sdtContent>
                        <w:p>
                          <w:pPr>
                            <w:tabs>
                              <w:tab w:val="left" w:pos="426"/>
                              <w:tab w:val="left" w:pos="1440"/>
                              <w:tab w:val="left" w:pos="1843"/>
                              <w:tab w:val="left" w:pos="2268"/>
                            </w:tabs>
                            <w:ind w:firstLine="720"/>
                            <w:jc w:val="both"/>
                            <w:rPr>
                              <w:szCs w:val="24"/>
                            </w:rPr>
                          </w:pPr>
                          <w:sdt>
                            <w:sdtPr>
                              <w:alias w:val="Numeris"/>
                              <w:tag w:val="nr_81d9e7c5ecb64bf292b8350b76729fa0"/>
                              <w:lock w:val="sdtLocked"/>
                              <w:richText/>
                            </w:sdtPr>
                            <w:sdtContent>
                              <w:r>
                                <w:rPr>
                                  <w:szCs w:val="24"/>
                                </w:rPr>
                                <w:t>115</w:t>
                              </w:r>
                              <w:r>
                                <w:rPr>
                                  <w:szCs w:val="24"/>
                                  <w:vertAlign w:val="superscript"/>
                                </w:rPr>
                                <w:t>1</w:t>
                              </w:r>
                              <w:r>
                                <w:rPr>
                                  <w:szCs w:val="24"/>
                                </w:rPr>
                                <w:t>.2</w:t>
                              </w:r>
                            </w:sdtContent>
                          </w:sdt>
                          <w:r>
                            <w:rPr>
                              <w:szCs w:val="24"/>
                            </w:rPr>
                            <w:t>. STO:</w:t>
                          </w:r>
                        </w:p>
                        <w:sdt>
                          <w:sdtPr>
                            <w:alias w:val="115-1.2.1 pp."/>
                            <w:tag w:val="part_7a314ba7f4d942d5b0153280f8ea06ef"/>
                            <w:lock w:val="sdtLocked"/>
                            <w:richText/>
                          </w:sdtPr>
                          <w:sdtContent>
                            <w:p>
                              <w:pPr>
                                <w:ind w:firstLine="720"/>
                                <w:jc w:val="both"/>
                                <w:rPr>
                                  <w:szCs w:val="24"/>
                                </w:rPr>
                              </w:pPr>
                              <w:sdt>
                                <w:sdtPr>
                                  <w:alias w:val="Numeris"/>
                                  <w:tag w:val="nr_7a314ba7f4d942d5b0153280f8ea06ef"/>
                                  <w:lock w:val="sdtLocked"/>
                                  <w:richText/>
                                </w:sdtPr>
                                <w:sdtContent>
                                  <w:r>
                                    <w:rPr>
                                      <w:szCs w:val="24"/>
                                    </w:rPr>
                                    <w:t>115</w:t>
                                  </w:r>
                                  <w:r>
                                    <w:rPr>
                                      <w:szCs w:val="24"/>
                                      <w:vertAlign w:val="superscript"/>
                                    </w:rPr>
                                    <w:t>1</w:t>
                                  </w:r>
                                  <w:r>
                                    <w:rPr>
                                      <w:szCs w:val="24"/>
                                    </w:rPr>
                                    <w:t>.2.1</w:t>
                                  </w:r>
                                </w:sdtContent>
                              </w:sdt>
                              <w:r>
                                <w:rPr>
                                  <w:szCs w:val="24"/>
                                </w:rPr>
                                <w:t>. veiklai naudojamo turto vertės skaičiavimo lentelę (Metodikos 2 priedas);</w:t>
                              </w:r>
                            </w:p>
                          </w:sdtContent>
                        </w:sdt>
                        <w:sdt>
                          <w:sdtPr>
                            <w:alias w:val="115-1.2.2 pp."/>
                            <w:tag w:val="part_dc4d7c754d6a4a7396ed418c1ba62541"/>
                            <w:lock w:val="sdtLocked"/>
                            <w:richText/>
                          </w:sdtPr>
                          <w:sdtContent>
                            <w:p>
                              <w:pPr>
                                <w:ind w:firstLine="720"/>
                                <w:jc w:val="both"/>
                                <w:rPr>
                                  <w:szCs w:val="24"/>
                                </w:rPr>
                              </w:pPr>
                              <w:sdt>
                                <w:sdtPr>
                                  <w:alias w:val="Numeris"/>
                                  <w:tag w:val="nr_dc4d7c754d6a4a7396ed418c1ba62541"/>
                                  <w:lock w:val="sdtLocked"/>
                                  <w:richText/>
                                </w:sdtPr>
                                <w:sdtContent>
                                  <w:r>
                                    <w:rPr>
                                      <w:szCs w:val="24"/>
                                    </w:rPr>
                                    <w:t>115</w:t>
                                  </w:r>
                                  <w:r>
                                    <w:rPr>
                                      <w:szCs w:val="24"/>
                                      <w:vertAlign w:val="superscript"/>
                                    </w:rPr>
                                    <w:t>1</w:t>
                                  </w:r>
                                  <w:r>
                                    <w:rPr>
                                      <w:szCs w:val="24"/>
                                    </w:rPr>
                                    <w:t>.2.2</w:t>
                                  </w:r>
                                </w:sdtContent>
                              </w:sdt>
                              <w:r>
                                <w:rPr>
                                  <w:szCs w:val="24"/>
                                </w:rPr>
                                <w:t>. duomenų suvestinę kainos viršutinei ribai koreguoti (Metodikos 13 priedas);</w:t>
                              </w:r>
                            </w:p>
                          </w:sdtContent>
                        </w:sdt>
                        <w:sdt>
                          <w:sdtPr>
                            <w:alias w:val="115-1.2.3 pp."/>
                            <w:tag w:val="part_55f97ffae057405b94adf6115853358c"/>
                            <w:lock w:val="sdtLocked"/>
                            <w:richText/>
                          </w:sdtPr>
                          <w:sdtContent>
                            <w:p>
                              <w:pPr>
                                <w:ind w:firstLine="720"/>
                                <w:jc w:val="both"/>
                                <w:rPr>
                                  <w:szCs w:val="24"/>
                                </w:rPr>
                              </w:pPr>
                              <w:sdt>
                                <w:sdtPr>
                                  <w:alias w:val="Numeris"/>
                                  <w:tag w:val="nr_55f97ffae057405b94adf6115853358c"/>
                                  <w:lock w:val="sdtLocked"/>
                                  <w:richText/>
                                </w:sdtPr>
                                <w:sdtContent>
                                  <w:r>
                                    <w:rPr>
                                      <w:szCs w:val="24"/>
                                    </w:rPr>
                                    <w:t>115</w:t>
                                  </w:r>
                                  <w:r>
                                    <w:rPr>
                                      <w:szCs w:val="24"/>
                                      <w:vertAlign w:val="superscript"/>
                                    </w:rPr>
                                    <w:t>1</w:t>
                                  </w:r>
                                  <w:r>
                                    <w:rPr>
                                      <w:szCs w:val="24"/>
                                    </w:rPr>
                                    <w:t>.2.3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5-1.3 pp."/>
                        <w:tag w:val="part_ad51456ddd344c56989c24c17aa30070"/>
                        <w:lock w:val="sdtLocked"/>
                        <w:richText/>
                      </w:sdtPr>
                      <w:sdtContent>
                        <w:p>
                          <w:pPr>
                            <w:tabs>
                              <w:tab w:val="left" w:pos="426"/>
                              <w:tab w:val="left" w:pos="1440"/>
                              <w:tab w:val="left" w:pos="1843"/>
                              <w:tab w:val="left" w:pos="2268"/>
                            </w:tabs>
                            <w:ind w:firstLine="720"/>
                            <w:jc w:val="both"/>
                            <w:rPr>
                              <w:szCs w:val="24"/>
                            </w:rPr>
                          </w:pPr>
                          <w:sdt>
                            <w:sdtPr>
                              <w:alias w:val="Numeris"/>
                              <w:tag w:val="nr_ad51456ddd344c56989c24c17aa30070"/>
                              <w:lock w:val="sdtLocked"/>
                              <w:richText/>
                            </w:sdtPr>
                            <w:sdtContent>
                              <w:r>
                                <w:rPr>
                                  <w:szCs w:val="24"/>
                                </w:rPr>
                                <w:t>115</w:t>
                              </w:r>
                              <w:r>
                                <w:rPr>
                                  <w:szCs w:val="24"/>
                                  <w:vertAlign w:val="superscript"/>
                                </w:rPr>
                                <w:t>1</w:t>
                              </w:r>
                              <w:r>
                                <w:rPr>
                                  <w:szCs w:val="24"/>
                                </w:rPr>
                                <w:t>.3</w:t>
                              </w:r>
                            </w:sdtContent>
                          </w:sdt>
                          <w:r>
                            <w:rPr>
                              <w:szCs w:val="24"/>
                            </w:rPr>
                            <w:t>. Skirstomojo tinklo įmonės, savo teritorijoje turinčios mažiau nei 100 tūkst. vartotojų:</w:t>
                          </w:r>
                        </w:p>
                        <w:sdt>
                          <w:sdtPr>
                            <w:alias w:val="115-1.3.1 pp."/>
                            <w:tag w:val="part_bcc4122ac24240ba997e3afd889ee102"/>
                            <w:lock w:val="sdtLocked"/>
                            <w:richText/>
                          </w:sdtPr>
                          <w:sdtContent>
                            <w:p>
                              <w:pPr>
                                <w:ind w:firstLine="720"/>
                                <w:jc w:val="both"/>
                                <w:rPr>
                                  <w:szCs w:val="24"/>
                                </w:rPr>
                              </w:pPr>
                              <w:sdt>
                                <w:sdtPr>
                                  <w:alias w:val="Numeris"/>
                                  <w:tag w:val="nr_bcc4122ac24240ba997e3afd889ee102"/>
                                  <w:lock w:val="sdtLocked"/>
                                  <w:richText/>
                                </w:sdtPr>
                                <w:sdtContent>
                                  <w:r>
                                    <w:rPr>
                                      <w:szCs w:val="24"/>
                                    </w:rPr>
                                    <w:t>115</w:t>
                                  </w:r>
                                  <w:r>
                                    <w:rPr>
                                      <w:szCs w:val="24"/>
                                      <w:vertAlign w:val="superscript"/>
                                    </w:rPr>
                                    <w:t>1</w:t>
                                  </w:r>
                                  <w:r>
                                    <w:rPr>
                                      <w:szCs w:val="24"/>
                                    </w:rPr>
                                    <w:t>.3.1</w:t>
                                  </w:r>
                                </w:sdtContent>
                              </w:sdt>
                              <w:r>
                                <w:rPr>
                                  <w:szCs w:val="24"/>
                                </w:rPr>
                                <w:t>. veiklai naudojamo turto vertės skaičiavimo lentelę (Metodikos 2 priedas);</w:t>
                              </w:r>
                            </w:p>
                          </w:sdtContent>
                        </w:sdt>
                        <w:sdt>
                          <w:sdtPr>
                            <w:alias w:val="115-1.3.2 pp."/>
                            <w:tag w:val="part_7d7c6cff1edd42f48163144b2be74842"/>
                            <w:lock w:val="sdtLocked"/>
                            <w:richText/>
                          </w:sdtPr>
                          <w:sdtContent>
                            <w:p>
                              <w:pPr>
                                <w:ind w:firstLine="720"/>
                                <w:jc w:val="both"/>
                                <w:rPr>
                                  <w:szCs w:val="24"/>
                                </w:rPr>
                              </w:pPr>
                              <w:sdt>
                                <w:sdtPr>
                                  <w:alias w:val="Numeris"/>
                                  <w:tag w:val="nr_7d7c6cff1edd42f48163144b2be74842"/>
                                  <w:lock w:val="sdtLocked"/>
                                  <w:richText/>
                                </w:sdtPr>
                                <w:sdtContent>
                                  <w:r>
                                    <w:rPr>
                                      <w:szCs w:val="24"/>
                                    </w:rPr>
                                    <w:t>115</w:t>
                                  </w:r>
                                  <w:r>
                                    <w:rPr>
                                      <w:szCs w:val="24"/>
                                      <w:vertAlign w:val="superscript"/>
                                    </w:rPr>
                                    <w:t>1</w:t>
                                  </w:r>
                                  <w:r>
                                    <w:rPr>
                                      <w:szCs w:val="24"/>
                                    </w:rPr>
                                    <w:t>.3.2</w:t>
                                  </w:r>
                                </w:sdtContent>
                              </w:sdt>
                              <w:r>
                                <w:rPr>
                                  <w:szCs w:val="24"/>
                                </w:rPr>
                                <w:t>. duomenų suvestinę kainos viršutinei ribai koreguoti (Metodikos 13 priedas);</w:t>
                              </w:r>
                            </w:p>
                          </w:sdtContent>
                        </w:sdt>
                        <w:sdt>
                          <w:sdtPr>
                            <w:alias w:val="115-1.3.3 pp."/>
                            <w:tag w:val="part_9702f181874f4e7e80e1e3ec48897c31"/>
                            <w:lock w:val="sdtLocked"/>
                            <w:richText/>
                          </w:sdtPr>
                          <w:sdtContent>
                            <w:p>
                              <w:pPr>
                                <w:tabs>
                                  <w:tab w:val="left" w:pos="1276"/>
                                  <w:tab w:val="left" w:pos="1418"/>
                                  <w:tab w:val="left" w:pos="1843"/>
                                  <w:tab w:val="left" w:pos="2268"/>
                                </w:tabs>
                                <w:ind w:firstLine="720"/>
                                <w:jc w:val="both"/>
                                <w:rPr>
                                  <w:szCs w:val="24"/>
                                </w:rPr>
                              </w:pPr>
                              <w:sdt>
                                <w:sdtPr>
                                  <w:alias w:val="Numeris"/>
                                  <w:tag w:val="nr_9702f181874f4e7e80e1e3ec48897c31"/>
                                  <w:lock w:val="sdtLocked"/>
                                  <w:richText/>
                                </w:sdtPr>
                                <w:sdtContent>
                                  <w:r>
                                    <w:rPr>
                                      <w:szCs w:val="24"/>
                                    </w:rPr>
                                    <w:t>115</w:t>
                                  </w:r>
                                  <w:r>
                                    <w:rPr>
                                      <w:szCs w:val="24"/>
                                      <w:vertAlign w:val="superscript"/>
                                    </w:rPr>
                                    <w:t>1</w:t>
                                  </w:r>
                                  <w:r>
                                    <w:rPr>
                                      <w:szCs w:val="24"/>
                                    </w:rPr>
                                    <w:t>.3.3</w:t>
                                  </w:r>
                                </w:sdtContent>
                              </w:sdt>
                              <w:r>
                                <w:rPr>
                                  <w:szCs w:val="24"/>
                                </w:rPr>
                                <w:t>. aiškinamąjį raštą su pateiktų duomenų pagrindimu.</w:t>
                              </w:r>
                            </w:p>
                          </w:sdtContent>
                        </w:sdt>
                      </w:sdtContent>
                    </w:sdt>
                    <w:sdt>
                      <w:sdtPr>
                        <w:alias w:val="115-1.4 pp."/>
                        <w:tag w:val="part_bcea2dba80aa4019bd6df038292f12d4"/>
                        <w:lock w:val="sdtLocked"/>
                        <w:richText/>
                      </w:sdtPr>
                      <w:sdtContent>
                        <w:p>
                          <w:pPr>
                            <w:tabs>
                              <w:tab w:val="left" w:pos="1276"/>
                              <w:tab w:val="left" w:pos="1418"/>
                              <w:tab w:val="left" w:pos="1843"/>
                              <w:tab w:val="left" w:pos="2268"/>
                            </w:tabs>
                            <w:ind w:firstLine="720"/>
                            <w:jc w:val="both"/>
                            <w:rPr>
                              <w:szCs w:val="24"/>
                            </w:rPr>
                          </w:pPr>
                          <w:sdt>
                            <w:sdtPr>
                              <w:alias w:val="Numeris"/>
                              <w:tag w:val="nr_bcea2dba80aa4019bd6df038292f12d4"/>
                              <w:lock w:val="sdtLocked"/>
                              <w:richText/>
                            </w:sdtPr>
                            <w:sdtContent>
                              <w:r>
                                <w:rPr>
                                  <w:szCs w:val="24"/>
                                </w:rPr>
                                <w:t>115</w:t>
                              </w:r>
                              <w:r>
                                <w:rPr>
                                  <w:szCs w:val="24"/>
                                  <w:vertAlign w:val="superscript"/>
                                </w:rPr>
                                <w:t>1</w:t>
                              </w:r>
                              <w:r>
                                <w:rPr>
                                  <w:szCs w:val="24"/>
                                </w:rPr>
                                <w:t>.4</w:t>
                              </w:r>
                            </w:sdtContent>
                          </w:sdt>
                          <w:r>
                            <w:rPr>
                              <w:szCs w:val="24"/>
                            </w:rPr>
                            <w:t>. Visuomeninis tiekėjas:</w:t>
                          </w:r>
                        </w:p>
                        <w:sdt>
                          <w:sdtPr>
                            <w:alias w:val="115-1.4.1 pp."/>
                            <w:tag w:val="part_f7acc80af4a246c787fc0efb576a2b87"/>
                            <w:lock w:val="sdtLocked"/>
                            <w:richText/>
                          </w:sdtPr>
                          <w:sdtContent>
                            <w:p>
                              <w:pPr>
                                <w:ind w:firstLine="720"/>
                                <w:jc w:val="both"/>
                                <w:rPr>
                                  <w:szCs w:val="24"/>
                                </w:rPr>
                              </w:pPr>
                              <w:sdt>
                                <w:sdtPr>
                                  <w:alias w:val="Numeris"/>
                                  <w:tag w:val="nr_f7acc80af4a246c787fc0efb576a2b87"/>
                                  <w:lock w:val="sdtLocked"/>
                                  <w:richText/>
                                </w:sdtPr>
                                <w:sdtContent>
                                  <w:r>
                                    <w:rPr>
                                      <w:szCs w:val="24"/>
                                    </w:rPr>
                                    <w:t>115</w:t>
                                  </w:r>
                                  <w:r>
                                    <w:rPr>
                                      <w:szCs w:val="24"/>
                                      <w:vertAlign w:val="superscript"/>
                                    </w:rPr>
                                    <w:t>1</w:t>
                                  </w:r>
                                  <w:r>
                                    <w:rPr>
                                      <w:szCs w:val="24"/>
                                    </w:rPr>
                                    <w:t>.4.1</w:t>
                                  </w:r>
                                </w:sdtContent>
                              </w:sdt>
                              <w:r>
                                <w:rPr>
                                  <w:szCs w:val="24"/>
                                </w:rPr>
                                <w:t>. veiklai naudojamo turto vertės skaičiavimo lentelę (Metodikos 2 priedas);</w:t>
                              </w:r>
                            </w:p>
                          </w:sdtContent>
                        </w:sdt>
                        <w:sdt>
                          <w:sdtPr>
                            <w:alias w:val="115-1.4.2 pp."/>
                            <w:tag w:val="part_cdeb1a61a089411f85c5f25ab6dac1a9"/>
                            <w:lock w:val="sdtLocked"/>
                            <w:richText/>
                          </w:sdtPr>
                          <w:sdtContent>
                            <w:p>
                              <w:pPr>
                                <w:ind w:firstLine="720"/>
                                <w:jc w:val="both"/>
                                <w:rPr>
                                  <w:szCs w:val="24"/>
                                </w:rPr>
                              </w:pPr>
                              <w:sdt>
                                <w:sdtPr>
                                  <w:alias w:val="Numeris"/>
                                  <w:tag w:val="nr_cdeb1a61a089411f85c5f25ab6dac1a9"/>
                                  <w:lock w:val="sdtLocked"/>
                                  <w:richText/>
                                </w:sdtPr>
                                <w:sdtContent>
                                  <w:r>
                                    <w:rPr>
                                      <w:szCs w:val="24"/>
                                    </w:rPr>
                                    <w:t>115</w:t>
                                  </w:r>
                                  <w:r>
                                    <w:rPr>
                                      <w:szCs w:val="24"/>
                                      <w:vertAlign w:val="superscript"/>
                                    </w:rPr>
                                    <w:t>1</w:t>
                                  </w:r>
                                  <w:r>
                                    <w:rPr>
                                      <w:szCs w:val="24"/>
                                    </w:rPr>
                                    <w:t>.4.2</w:t>
                                  </w:r>
                                </w:sdtContent>
                              </w:sdt>
                              <w:r>
                                <w:rPr>
                                  <w:szCs w:val="24"/>
                                </w:rPr>
                                <w:t>. visuomeninio tiekėjo įsigijimo kainos apskaičiavimą (Metodikos 7 priedas);</w:t>
                              </w:r>
                            </w:p>
                          </w:sdtContent>
                        </w:sdt>
                        <w:sdt>
                          <w:sdtPr>
                            <w:alias w:val="115-1.4.3 pp."/>
                            <w:tag w:val="part_6ad310f4406649739fa97bb487e0d75b"/>
                            <w:lock w:val="sdtLocked"/>
                            <w:richText/>
                          </w:sdtPr>
                          <w:sdtContent>
                            <w:p>
                              <w:pPr>
                                <w:ind w:firstLine="720"/>
                                <w:jc w:val="both"/>
                                <w:rPr>
                                  <w:szCs w:val="24"/>
                                </w:rPr>
                              </w:pPr>
                              <w:sdt>
                                <w:sdtPr>
                                  <w:alias w:val="Numeris"/>
                                  <w:tag w:val="nr_6ad310f4406649739fa97bb487e0d75b"/>
                                  <w:lock w:val="sdtLocked"/>
                                  <w:richText/>
                                </w:sdtPr>
                                <w:sdtContent>
                                  <w:r>
                                    <w:rPr>
                                      <w:szCs w:val="24"/>
                                    </w:rPr>
                                    <w:t>115</w:t>
                                  </w:r>
                                  <w:r>
                                    <w:rPr>
                                      <w:szCs w:val="24"/>
                                      <w:vertAlign w:val="superscript"/>
                                    </w:rPr>
                                    <w:t>1</w:t>
                                  </w:r>
                                  <w:r>
                                    <w:rPr>
                                      <w:szCs w:val="24"/>
                                    </w:rPr>
                                    <w:t>.4.3</w:t>
                                  </w:r>
                                </w:sdtContent>
                              </w:sdt>
                              <w:r>
                                <w:rPr>
                                  <w:szCs w:val="24"/>
                                </w:rPr>
                                <w:t>. duomenų suvestinę kainos viršutinei ribai koreguoti (Metodikos 13 priedas);</w:t>
                              </w:r>
                            </w:p>
                          </w:sdtContent>
                        </w:sdt>
                        <w:sdt>
                          <w:sdtPr>
                            <w:alias w:val="115-1.4.4 pp."/>
                            <w:tag w:val="part_59f5e9f3c386488dbd61e2f6305f399d"/>
                            <w:lock w:val="sdtLocked"/>
                            <w:richText/>
                          </w:sdtPr>
                          <w:sdtContent>
                            <w:p>
                              <w:pPr>
                                <w:ind w:firstLine="720"/>
                                <w:jc w:val="both"/>
                                <w:rPr>
                                  <w:szCs w:val="24"/>
                                </w:rPr>
                              </w:pPr>
                              <w:sdt>
                                <w:sdtPr>
                                  <w:alias w:val="Numeris"/>
                                  <w:tag w:val="nr_59f5e9f3c386488dbd61e2f6305f399d"/>
                                  <w:lock w:val="sdtLocked"/>
                                  <w:richText/>
                                </w:sdtPr>
                                <w:sdtContent>
                                  <w:r>
                                    <w:rPr>
                                      <w:szCs w:val="24"/>
                                    </w:rPr>
                                    <w:t>115</w:t>
                                  </w:r>
                                  <w:r>
                                    <w:rPr>
                                      <w:szCs w:val="24"/>
                                      <w:vertAlign w:val="superscript"/>
                                    </w:rPr>
                                    <w:t>1</w:t>
                                  </w:r>
                                  <w:r>
                                    <w:rPr>
                                      <w:szCs w:val="24"/>
                                    </w:rPr>
                                    <w:t>.4.4</w:t>
                                  </w:r>
                                </w:sdtContent>
                              </w:sdt>
                              <w:r>
                                <w:rPr>
                                  <w:szCs w:val="24"/>
                                </w:rPr>
                                <w:t>. aiškinamąjį raštą, kuriame turi būti nurodyta:</w:t>
                              </w:r>
                            </w:p>
                            <w:sdt>
                              <w:sdtPr>
                                <w:alias w:val="115-1.4.4.1 pp."/>
                                <w:tag w:val="part_0652e0822f524360af035534aa790846"/>
                                <w:lock w:val="sdtLocked"/>
                                <w:richText/>
                              </w:sdtPr>
                              <w:sdtContent>
                                <w:p>
                                  <w:pPr>
                                    <w:tabs>
                                      <w:tab w:val="left" w:pos="993"/>
                                    </w:tabs>
                                    <w:ind w:firstLine="709"/>
                                    <w:jc w:val="both"/>
                                    <w:rPr>
                                      <w:szCs w:val="24"/>
                                    </w:rPr>
                                  </w:pPr>
                                  <w:sdt>
                                    <w:sdtPr>
                                      <w:alias w:val="Numeris"/>
                                      <w:tag w:val="nr_0652e0822f524360af035534aa790846"/>
                                      <w:lock w:val="sdtLocked"/>
                                      <w:richText/>
                                    </w:sdtPr>
                                    <w:sdtContent>
                                      <w:r>
                                        <w:rPr>
                                          <w:szCs w:val="24"/>
                                        </w:rPr>
                                        <w:t>115</w:t>
                                      </w:r>
                                      <w:r>
                                        <w:rPr>
                                          <w:szCs w:val="24"/>
                                          <w:vertAlign w:val="superscript"/>
                                        </w:rPr>
                                        <w:t>1</w:t>
                                      </w:r>
                                      <w:r>
                                        <w:rPr>
                                          <w:szCs w:val="24"/>
                                        </w:rPr>
                                        <w:t>.4.4.1</w:t>
                                      </w:r>
                                    </w:sdtContent>
                                  </w:sdt>
                                  <w:r>
                                    <w:rPr>
                                      <w:szCs w:val="24"/>
                                    </w:rPr>
                                    <w:t>. objektų, kuriems visuomeninis tiekėjas teikė elektros energijos tiekimo paslaugą 2020 m. pradžioje, skaičius;</w:t>
                                  </w:r>
                                </w:p>
                              </w:sdtContent>
                            </w:sdt>
                            <w:sdt>
                              <w:sdtPr>
                                <w:alias w:val="115-1.4.4.2 pp."/>
                                <w:tag w:val="part_db27de3c6d214345bc46f4c6fd577413"/>
                                <w:lock w:val="sdtLocked"/>
                                <w:richText/>
                              </w:sdtPr>
                              <w:sdtContent>
                                <w:p>
                                  <w:pPr>
                                    <w:ind w:firstLine="709"/>
                                    <w:jc w:val="both"/>
                                    <w:rPr>
                                      <w:szCs w:val="24"/>
                                    </w:rPr>
                                  </w:pPr>
                                  <w:sdt>
                                    <w:sdtPr>
                                      <w:alias w:val="Numeris"/>
                                      <w:tag w:val="nr_db27de3c6d214345bc46f4c6fd577413"/>
                                      <w:lock w:val="sdtLocked"/>
                                      <w:richText/>
                                    </w:sdtPr>
                                    <w:sdtContent>
                                      <w:r>
                                        <w:rPr>
                                          <w:szCs w:val="24"/>
                                        </w:rPr>
                                        <w:t>115</w:t>
                                      </w:r>
                                      <w:r>
                                        <w:rPr>
                                          <w:szCs w:val="24"/>
                                          <w:vertAlign w:val="superscript"/>
                                        </w:rPr>
                                        <w:t>1</w:t>
                                      </w:r>
                                      <w:r>
                                        <w:rPr>
                                          <w:szCs w:val="24"/>
                                        </w:rPr>
                                        <w:t>.4.4.2</w:t>
                                      </w:r>
                                    </w:sdtContent>
                                  </w:sdt>
                                  <w:r>
                                    <w:rPr>
                                      <w:szCs w:val="24"/>
                                    </w:rPr>
                                    <w:t xml:space="preserve">. prognozuojamas objektų, kuriems </w:t>
                                  </w:r>
                                  <w:r>
                                    <w:rPr>
                                      <w:i/>
                                      <w:iCs/>
                                      <w:szCs w:val="24"/>
                                    </w:rPr>
                                    <w:t xml:space="preserve">t </w:t>
                                  </w:r>
                                  <w:r>
                                    <w:rPr>
                                      <w:szCs w:val="24"/>
                                    </w:rPr>
                                    <w:t>metų pradžioje visuomeninis tiekėjas turi teikti elektros energijos tiekimo paslaugą, įvertinus Elektros energetikos įstatymo 43 straipsnio 1 dalies nuostatas, skaičius;</w:t>
                                  </w:r>
                                </w:p>
                              </w:sdtContent>
                            </w:sdt>
                            <w:sdt>
                              <w:sdtPr>
                                <w:alias w:val="115-1.4.4.3 pp."/>
                                <w:tag w:val="part_da24efafdfd24b9a8f23be8341ba74f9"/>
                                <w:lock w:val="sdtLocked"/>
                                <w:richText/>
                              </w:sdtPr>
                              <w:sdtContent>
                                <w:p>
                                  <w:pPr>
                                    <w:ind w:firstLine="720"/>
                                    <w:jc w:val="both"/>
                                    <w:rPr>
                                      <w:szCs w:val="24"/>
                                    </w:rPr>
                                  </w:pPr>
                                  <w:sdt>
                                    <w:sdtPr>
                                      <w:alias w:val="Numeris"/>
                                      <w:tag w:val="nr_da24efafdfd24b9a8f23be8341ba74f9"/>
                                      <w:lock w:val="sdtLocked"/>
                                      <w:richText/>
                                    </w:sdtPr>
                                    <w:sdtContent>
                                      <w:r>
                                        <w:rPr>
                                          <w:szCs w:val="24"/>
                                        </w:rPr>
                                        <w:t>115</w:t>
                                      </w:r>
                                      <w:r>
                                        <w:rPr>
                                          <w:szCs w:val="24"/>
                                          <w:vertAlign w:val="superscript"/>
                                        </w:rPr>
                                        <w:t>1</w:t>
                                      </w:r>
                                      <w:r>
                                        <w:rPr>
                                          <w:szCs w:val="24"/>
                                        </w:rPr>
                                        <w:t>.4.4.3</w:t>
                                      </w:r>
                                    </w:sdtContent>
                                  </w:sdt>
                                  <w:r>
                                    <w:rPr>
                                      <w:szCs w:val="24"/>
                                    </w:rPr>
                                    <w:t xml:space="preserve">. </w:t>
                                  </w:r>
                                  <w:r>
                                    <w:rPr>
                                      <w:szCs w:val="24"/>
                                      <w:lang w:eastAsia="lt-LT"/>
                                    </w:rPr>
                                    <w:t xml:space="preserve">duomenys apie elektros energijos tiekimo rinkos liberalizavimo etapo įtaką </w:t>
                                  </w:r>
                                  <w:r>
                                    <w:rPr>
                                      <w:i/>
                                      <w:iCs/>
                                      <w:szCs w:val="24"/>
                                      <w:lang w:eastAsia="lt-LT"/>
                                    </w:rPr>
                                    <w:t>t</w:t>
                                  </w:r>
                                  <w:r>
                                    <w:rPr>
                                      <w:szCs w:val="24"/>
                                      <w:lang w:eastAsia="lt-LT"/>
                                    </w:rPr>
                                    <w:t> metais ilgalaikio turto vertei (RAB</w:t>
                                  </w:r>
                                  <w:r>
                                    <w:rPr>
                                      <w:szCs w:val="24"/>
                                      <w:vertAlign w:val="subscript"/>
                                      <w:lang w:eastAsia="lt-LT"/>
                                    </w:rPr>
                                    <w:t>t</w:t>
                                  </w:r>
                                  <w:r>
                                    <w:rPr>
                                      <w:szCs w:val="24"/>
                                      <w:lang w:eastAsia="lt-LT"/>
                                    </w:rPr>
                                    <w:t>);</w:t>
                                  </w:r>
                                </w:p>
                              </w:sdtContent>
                            </w:sdt>
                            <w:sdt>
                              <w:sdtPr>
                                <w:alias w:val="115-1.4.4.4 pp."/>
                                <w:tag w:val="part_6607100ea6c94bfcb0b0bb754197a4d0"/>
                                <w:lock w:val="sdtLocked"/>
                                <w:richText/>
                              </w:sdtPr>
                              <w:sdtContent>
                                <w:p>
                                  <w:pPr>
                                    <w:ind w:firstLine="720"/>
                                    <w:jc w:val="both"/>
                                  </w:pPr>
                                  <w:sdt>
                                    <w:sdtPr>
                                      <w:alias w:val="Numeris"/>
                                      <w:tag w:val="nr_6607100ea6c94bfcb0b0bb754197a4d0"/>
                                      <w:lock w:val="sdtLocked"/>
                                      <w:richText/>
                                    </w:sdtPr>
                                    <w:sdtContent>
                                      <w:r>
                                        <w:rPr>
                                          <w:szCs w:val="24"/>
                                        </w:rPr>
                                        <w:t>115</w:t>
                                      </w:r>
                                      <w:r>
                                        <w:rPr>
                                          <w:szCs w:val="24"/>
                                          <w:vertAlign w:val="superscript"/>
                                        </w:rPr>
                                        <w:t>1</w:t>
                                      </w:r>
                                      <w:r>
                                        <w:rPr>
                                          <w:szCs w:val="24"/>
                                        </w:rPr>
                                        <w:t>.4.4.4</w:t>
                                      </w:r>
                                    </w:sdtContent>
                                  </w:sdt>
                                  <w:r>
                                    <w:rPr>
                                      <w:szCs w:val="24"/>
                                    </w:rPr>
                                    <w:t>. pateiktų duomenų pagrindimas.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15-2 p."/>
                            <w:tag w:val="part_35dda735b6524dcd82c46fd186058da9"/>
                            <w:lock w:val="sdtLocked"/>
                            <w:richText/>
                          </w:sdtPr>
                          <w:sdtContent>
                            <w:p>
                              <w:pPr>
                                <w:ind w:firstLine="720"/>
                                <w:jc w:val="both"/>
                              </w:pPr>
                              <w:sdt>
                                <w:sdtPr>
                                  <w:alias w:val="Numeris"/>
                                  <w:tag w:val="nr_35dda735b6524dcd82c46fd186058da9"/>
                                  <w:lock w:val="sdtLocked"/>
                                  <w:richText/>
                                </w:sdtPr>
                                <w:sdtContent>
                                  <w:r>
                                    <w:rPr>
                                      <w:szCs w:val="24"/>
                                    </w:rPr>
                                    <w:t>115</w:t>
                                  </w:r>
                                  <w:r>
                                    <w:rPr>
                                      <w:szCs w:val="24"/>
                                      <w:vertAlign w:val="superscript"/>
                                    </w:rPr>
                                    <w:t>2</w:t>
                                  </w:r>
                                </w:sdtContent>
                              </w:sdt>
                              <w:r>
                                <w:rPr>
                                  <w:szCs w:val="24"/>
                                </w:rPr>
                                <w:t>. Metodikos 96</w:t>
                              </w:r>
                              <w:r>
                                <w:rPr>
                                  <w:szCs w:val="24"/>
                                  <w:vertAlign w:val="superscript"/>
                                </w:rPr>
                                <w:t>1</w:t>
                              </w:r>
                              <w:r>
                                <w:rPr>
                                  <w:szCs w:val="24"/>
                                </w:rPr>
                                <w:t xml:space="preserve"> punkte nurodytų p</w:t>
                              </w:r>
                              <w:r>
                                <w:rPr>
                                  <w:rFonts w:eastAsia="MS Mincho"/>
                                  <w:szCs w:val="24"/>
                                </w:rPr>
                                <w:t xml:space="preserve">apildomų dedamųjų prie buitiniams vartotojams </w:t>
                              </w:r>
                              <w:r>
                                <w:rPr>
                                  <w:i/>
                                  <w:szCs w:val="24"/>
                                </w:rPr>
                                <w:t xml:space="preserve">t </w:t>
                              </w:r>
                              <w:r>
                                <w:rPr>
                                  <w:szCs w:val="24"/>
                                </w:rPr>
                                <w:t xml:space="preserve">metų skirstymo paslaugos kainoms apskaičiuoti visuomeninis tiekėjas (po 2023 m. sausio 1 d. – visuomenino tiekimo veiklą iki 2022 m. gruodžio 31 d. vykdęs asmuo) iki spalio 20 d. pateikia duomenis apie iki </w:t>
                              </w:r>
                              <w:r>
                                <w:rPr>
                                  <w:i/>
                                  <w:iCs/>
                                  <w:szCs w:val="24"/>
                                </w:rPr>
                                <w:t>t-1</w:t>
                              </w:r>
                              <w:r>
                                <w:rPr>
                                  <w:szCs w:val="24"/>
                                </w:rPr>
                                <w:t xml:space="preserve"> metų rugsėjo 30 d. susidariusį skirtumą tarp visuomeninio tiekėjo faktiškai surinktų lėšų ir pagrįstų sąnaudų teikiant visuomeninio tiekimo paslaugą ir šių sąnaudų pagrindimą.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2-1 p."/>
                <w:tag w:val="part_5d6e894d68994159b739d8cc4e7dc9c1"/>
                <w:lock w:val="sdtLocked"/>
                <w:richText/>
              </w:sdtPr>
              <w:sdtContent>
                <w:p>
                  <w:pPr>
                    <w:spacing w:line="276" w:lineRule="auto"/>
                    <w:ind w:firstLine="720"/>
                    <w:jc w:val="both"/>
                    <w:textAlignment w:val="baseline"/>
                    <w:rPr>
                      <w:szCs w:val="24"/>
                    </w:rPr>
                  </w:pPr>
                  <w:sdt>
                    <w:sdtPr>
                      <w:alias w:val="Numeris"/>
                      <w:tag w:val="nr_5d6e894d68994159b739d8cc4e7dc9c1"/>
                      <w:lock w:val="sdtLocked"/>
                      <w:richText/>
                    </w:sdtPr>
                    <w:sdtContent>
                      <w:r>
                        <w:rPr>
                          <w:szCs w:val="24"/>
                          <w:lang w:eastAsia="lt-LT"/>
                        </w:rPr>
                        <w:t>122</w:t>
                      </w:r>
                      <w:r>
                        <w:rPr>
                          <w:szCs w:val="24"/>
                          <w:vertAlign w:val="superscript"/>
                          <w:lang w:eastAsia="lt-LT"/>
                        </w:rPr>
                        <w:t>1</w:t>
                      </w:r>
                    </w:sdtContent>
                  </w:sdt>
                  <w:r>
                    <w:rPr>
                      <w:szCs w:val="24"/>
                      <w:lang w:eastAsia="lt-LT"/>
                    </w:rPr>
                    <w:t>. Įmonėms gali būti taikomos ir kitokios reguliacinės priemonės, nurodytos Tarybos patvirtintoje Investicijų projektų papildomų reguliacinių paskatų ir rizikų vertinimo metodikoje.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ac4be04b3911eb8d9fe110e148c770">
                    <w:r w:rsidRPr="00532B9F">
                      <w:rPr>
                        <w:rFonts w:ascii="Times New Roman" w:eastAsia="MS Mincho" w:hAnsi="Times New Roman"/>
                        <w:sz w:val="20"/>
                        <w:i/>
                        <w:iCs/>
                        <w:color w:val="0000FF" w:themeColor="hyperlink"/>
                        <w:u w:val="single"/>
                      </w:rPr>
                      <w:t>O3E-1573</w:t>
                    </w:r>
                  </w:fldSimple>
                  <w:r>
                    <w:rPr>
                      <w:rFonts w:ascii="Times New Roman" w:eastAsia="MS Mincho" w:hAnsi="Times New Roman"/>
                      <w:sz w:val="20"/>
                      <w:i/>
                      <w:iCs/>
                    </w:rPr>
                    <w:t>,
2020-12-31,
paskelbta TAR 2020-12-31, i. k. 2020-29272        </w:t>
                  </w:r>
                </w:p>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pStyle w:val="PlainText"/>
            <w:rPr>
              <w:rFonts w:ascii="Times New Roman" w:eastAsia="MS Mincho" w:hAnsi="Times New Roman"/>
              <w:sz w:val="20"/>
              <w:iCs/>
            </w:rPr>
          </w:pPr>
          <w:r>
            <w:rPr>
              <w:rFonts w:ascii="Times New Roman" w:eastAsia="MS Mincho" w:hAnsi="Times New Roman"/>
              <w:sz w:val="20"/>
              <w:iCs/>
            </w:rPr>
            <w:t>O3-3(priedas7)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
          <w:pPr>
            <w:pStyle w:val="PlainText"/>
            <w:rPr>
              <w:rFonts w:ascii="Times New Roman" w:eastAsia="MS Mincho" w:hAnsi="Times New Roman"/>
              <w:sz w:val="20"/>
              <w:iCs/>
            </w:rPr>
          </w:pPr>
          <w:r>
            <w:rPr>
              <w:rFonts w:ascii="Times New Roman" w:eastAsia="MS Mincho" w:hAnsi="Times New Roman"/>
              <w:sz w:val="20"/>
              <w:iCs/>
            </w:rPr>
            <w:t>O3-509(priedas 13) pagal pakeitimą O3-402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9.png"/>
  <Relationship Id="rId11" Type="http://schemas.openxmlformats.org/officeDocument/2006/relationships/header" Target="header40.xml"/>
  <Relationship Id="rId12" Type="http://schemas.openxmlformats.org/officeDocument/2006/relationships/header" Target="header41.xml"/>
  <Relationship Id="rId13" Type="http://schemas.openxmlformats.org/officeDocument/2006/relationships/footer" Target="footer40.xml"/>
  <Relationship Id="rId14" Type="http://schemas.openxmlformats.org/officeDocument/2006/relationships/footer" Target="footer41.xml"/>
  <Relationship Id="rId15" Type="http://schemas.openxmlformats.org/officeDocument/2006/relationships/header" Target="header42.xml"/>
  <Relationship Id="rId16" Type="http://schemas.openxmlformats.org/officeDocument/2006/relationships/footer" Target="footer4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a8da307120cc433b8c935cd72295379a">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da8081b21a7649b3b56121becd194e08"/>
  </Part>
  <Part Type="patvirtinta" Title="ELEKTROS ENERGIJOS PERDAVIMO, SKIRSTYMO IR VISUOMENINIO TIEKIMO PASLAUGŲ BEI VISUOMENINĖS KAINOS VIRŠUTINĖS RIBOS NUSTATYMO METODIKA" DocPartId="b4e6b57bfa7c49519964c5d8364ecb9e" PartId="f5137753a9d84f7d9456f106f177652c">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2a6aff355b0144f79a544d35c4c6550c"/>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apunktis" Nr="7.2.1-1" Abbr="7.2.1-1 pp." DocPartId="6778033ce7504279af21c3f1caefd4fa" PartId="69555f5d13104264b12eb3ab69dfc94a"/>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apunktis" Nr="7.2.2-1" Abbr="7.2.2-1 pp." DocPartId="9bb33244420c4502b388a255f6425883" PartId="af982d8e64bd49b19db8b49620f36587"/>
            <Part Type="punktas" Nr="7.2.3" Abbr="7.2.3 p." DocPartId="4663f3d9fd4e4de6a83929c66e97108d" PartId="4c5a252d04184e41b92b795348a8f925"/>
            <Part Type="punktas" Nr="7.2.4" Abbr="7.2.4 p." DocPartId="d8ee6e2c71fd43068d40c64febb0c5a4" PartId="3cb4b211fe6145e8a20f9ac579610300"/>
            <Part Type="punktas" Nr="7.2.4-1" Abbr="7.2.4-1 p." DocPartId="3c7681e6565d4bc890e825d8b4f180f5" PartId="88721f57e9a44899a7a1355842127a10"/>
            <Part Type="punktas" Nr="7.2.4-2" Abbr="7.2.4-2 p." DocPartId="1e93953f61c6420eb43c2f236b351f70" PartId="bac9f4954e974acab25aac7b58872621"/>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1bb8c790669e43b5848a4a5f76442a32"/>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ae22366bad4f4387984e4e69e3e4703d"/>
            <Part Type="punktas" Nr="8.1.4" Abbr="8.1.4 p." DocPartId="9d5b4abffa4e481fbd7d9ac6a10a7fe6" PartId="46fb7a56866244409fffa51d6882de7e"/>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9bed508b90c24fab9d07709ce36f636f"/>
            <Part Type="punktas" Nr="8.2.6" Abbr="8.2.6 p." DocPartId="0a84d9ce9f7744d483cae0d10a670c7d" PartId="ab280e530e5a4415aadbf5187c1a980c"/>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Type="papunktis" Nr="8.6" Abbr="8.6 pp." DocPartId="b4c8a1d36c42469d83909569fe28d58d" PartId="aaa58c275a4d415090165ad21a46580a"/>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5842de860ccf43739e4f55f6f8320af4"/>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df54a4fe1640249a7803d57230d691"/>
        <Part Type="punktas" Nr="14" Abbr="14 p." DocPartId="cff49987fea049098839d9e214d52272" PartId="a0b81fb2822d4cd58c81ae796e7cb28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4b736f70ffa946349e07b5b9ad8e1451"/>
          <Part Type="punktas" Nr="14-2.4" Abbr="14-2.4 p." DocPartId="27517d3b9ec64e4e9d9d3b33fcf097cb" PartId="22eae20d937c4c3fb4ee2e1edf90f311"/>
        </Part>
        <Part Type="punktas" Nr="15" Abbr="15 p." DocPartId="d7dbd51b560b4fb0b32e384c5ff5c986" PartId="2126e632785946178dfb7492964d09a6">
          <Part Type="papunktis" Nr="15.1" Abbr="15.1 pp." DocPartId="881b1e0841ef4985b3bf2517a6836494" PartId="f8ec411d8d5542bea61eb91ff7621c02"/>
          <Part Type="papunktis" Nr="15.2" Abbr="15.2 pp." DocPartId="c25b5bccebee4b03b2aca7d31db0d0ee" PartId="e26b17f768d3409db0aaa4ad1af7c7f1"/>
        </Part>
        <Part Type="punktas" Nr="16" Abbr="16 p." DocPartId="c7056d20c69648a187ede9395d1cb80b" PartId="83418c9b21044ecbb704429ee2d2a7c3">
          <Part Type="papunktis" Nr="16.1" Abbr="16.1 pp." DocPartId="bdb911d78bcc49b89b839465c2b35971" PartId="2e1e0235df57456293ff66b893cfb5da"/>
          <Part Type="papunktis" Nr="16.2" Abbr="16.2 pp." DocPartId="4facde6029594292a46dcfebf318f9dd" PartId="551da244879c4bae81de23b629e69458"/>
          <Part Type="papunktis" Nr="16.3" Abbr="16.3 pp." DocPartId="51ad91dfe299411c93ad92d552abeba2" PartId="99d569dd335d47edabfcab48479b854c"/>
          <Part Type="papunktis" Nr="16.4" Abbr="16.4 pp." DocPartId="069ac33683a0451f952fa546f01946d9" PartId="faef8b5901754045abc7edbc3cfefaa9"/>
          <Part Type="papunktis" Nr="16.5" Abbr="16.5 pp." DocPartId="c0021010de264bcf94eed51f4eb7f210" PartId="c2d6d6fbd43948cc94274a8af2034920"/>
        </Part>
        <Part Type="punktas" Nr="16-1" Abbr="16-1 p." DocPartId="c0e819882f614857b8cff21df9362b69" PartId="665becadb8644351aa1b872c64d829e0"/>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0c72403eb6454e6faf3d5bc0be5effbf"/>
        </Part>
        <Part Type="punktas" Nr="18-1" Abbr="18-1 p." DocPartId="735156577d1047c78615b3684025977d" PartId="b560e4e74e404fb4be78ecaa230d38ce"/>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f065980214c041928db5a873e535fa30"/>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96fba57266054e8caa7916a0d8fc75ac"/>
            <Part Type="punktas" Nr="20.2.1-1" Abbr="20.2.1-1 p." DocPartId="40e291b14e5d466894ac53c6afdcbb43" PartId="7691f0c4898f4ab998c24fbf4d787110"/>
            <Part Type="punktas" Nr="20.2.2" Abbr="20.2.2 p." DocPartId="e13f2ad23d664ce8ab31f7949fc8d152" PartId="374c285b8fe14957a597d25e3999c5de">
              <Part Type="papunktis" Nr="20.2.2.1" Abbr="20.2.2.1 pp." DocPartId="23374e2457dc425493bc946db7f27f85" PartId="e44a6229a0c544fd970fdc39f25f9448"/>
              <Part Type="papunktis" Nr="20.2.2.2" Abbr="20.2.2.2 pp." DocPartId="99127c253b4644229b3699b77db73f11" PartId="f9ab316028a64dd48deeed88c33c6ecf"/>
            </Part>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a8b62c94cf264e059255076705dd25e7"/>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8ee3478825f848eda55f6a8a075ad984"/>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a2648faba8b54f3e80fd80555b0134c5"/>
        <Part Type="punktas" Nr="27" Abbr="27 p." DocPartId="afc1a0e0a6a14396b673da21e6ec800c" PartId="ba518fd60316491fb3d30ba2ac5948a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c8aee767536d4a06996cff45bdd6d471"/>
          <Part Type="punktas" Nr="27-2.4" Abbr="27-2.4 p." DocPartId="22f67da15e2549df9a537d7e52d658e1" PartId="49cea0971b9b46428853308ee18eb7f1"/>
        </Part>
        <Part Type="punktas" Nr="28" Abbr="28 p." DocPartId="89c7f33c21fb4cfba7ce22d5b2b4779f" PartId="7ebcf4d2e8ef4ba681e6ebe6dfad0a52">
          <Part Type="papunktis" Nr="28.1" Abbr="28.1 pp." DocPartId="c60060e72d71421792fd50a1b8577eb9" PartId="21f0506564da4056a21f60629dced752"/>
          <Part Type="papunktis" Nr="28.2" Abbr="28.2 pp." DocPartId="3582299156304bb8b54e27c197c8a413" PartId="79f275d98fb14eabb0f0776109be814d"/>
        </Part>
        <Part Type="punktas" Nr="29" Abbr="29 p." DocPartId="cf942f76c70e468d93e76d6044c393c7" PartId="4cb25da9c9d34685b3a6bad16c6e196c">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7e2f6bd121b402bb88a80255f3dc008"/>
        </Part>
        <Part Type="punktas" Nr="29-1" Abbr="29-1 p." DocPartId="d18ef42a0da94215abea7948d2964049" PartId="9c7b2c38709241a29df9ea3d11f5bc28"/>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df5518129592483d9d40246fa9f7bf45"/>
          <Part Type="papunktis" Nr="31.5" Abbr="31.5 pp." DocPartId="262c3707f76f4a2ab707860c656e9343" PartId="638184c85f004b72b3a20f383d5b5d01"/>
        </Part>
        <Part Type="punktas" Nr="31-1" Abbr="31-1 p." DocPartId="10d62b130d63432d8efaf539147e4f04" PartId="3bc7b9fbf96b403c9fe7b863af93e9b2"/>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dacf653e81004660b37069d2fad4c680"/>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fa0d36174aeb48babff4a69062fc9833"/>
          <Part Type="punktas" Nr="33.6" Abbr="33.6 p." DocPartId="cbba258fef504063832681dbc38c2b20" PartId="d5997ea059b64a2dacef8ff410bbc5a3"/>
          <Part Type="punktas" Nr="33.7" Abbr="33.7 p." DocPartId="ed971f48eaa347de8b0a4ae0af4e6093" PartId="ea8bab7caacf49a098122e57546e0317"/>
          <Part Type="punktas" Nr="33.8" Abbr="33.8 p." DocPartId="ccc596f725a24d7a810d09837e5a98c5" PartId="901564fb174a4ebea53f0f0cc8e4efe3"/>
          <Part Type="punktas" Nr="33.9" Abbr="33.9 p." DocPartId="b0e5b9aafa0644e8ab75fdff35758b3b" PartId="3a851d312b29458a9961e931076c5149"/>
          <Part Type="punktas" Nr="33.10" Abbr="33.10 p." DocPartId="2efabf9fe5a34d34bf73ccccbbd33bd3" PartId="66591517dc6b49eea428145f43cfd76d"/>
          <Part Type="punktas" Nr="33.11" Abbr="33.11 p." DocPartId="22bd893f8da64b618f3d369c252aa915" PartId="1e8a39d226eb44d48d81d807b3d162ca"/>
          <Part Type="punktas" Nr="33.12" Abbr="33.12 p." DocPartId="ceda84da762c490db360a4fea1abac1b" PartId="ad833366d1b44a0c9194f8dd97d441bb"/>
          <Part Type="punktas" Nr="33.13" Abbr="33.13 p." DocPartId="3048faf527c24a85982a6a5066837859" PartId="d1f202d99ebd4f01a3cec3ad9a7591e4"/>
          <Part Type="punktas" Nr="33.14" Abbr="33.14 p." DocPartId="d22bc464f86440b7a6dc0a1445cb8851" PartId="82e6df68dc3a46cbb740862b33633436"/>
          <Part Type="punktas" Nr="33.15" Abbr="33.15 p." DocPartId="d85afd243c60446b88ddf2bcd186fe47" PartId="253404aba63e4742b4779d1c8a806f3d"/>
          <Part Type="punktas" Nr="33.16" Abbr="33.16 p." DocPartId="2388ac7932984dd1afa1a7c4395743da" PartId="797371b043b24e43a82a3b30cf58d3ec"/>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0f6fee6e1c634f4ebf1973248b3a220e"/>
        <Part Type="punktas" Nr="41" Abbr="41 p." DocPartId="b270eb1ceb2743cea62abaaaf3998738" PartId="b7cec5ccb5a44882bbaf0c068ab10583"/>
        <Part Type="punktas" Nr="41-1" Abbr="41-1 p." DocPartId="921a8e8dd4154184884a1ec467e53030" PartId="04664794c85b41648553cb16f642d0e5"/>
        <Part Type="punktas" Nr="41-2" Abbr="41-2 p." DocPartId="c89f1592207e4651a02e554dff6c7ee0" PartId="3c6c65ae595041d0a49e01afd9f06a7c"/>
        <Part Type="punktas" Nr="41-3" Abbr="41-3 p." DocPartId="6c75ab96a9e84954afff03938e337db2" PartId="381fa72013c54620bb790389fe61cd37"/>
      </Part>
      <Part Type="skirsnis" Nr="3" Title="„TREČIASIS SKIRSNIS PERDAVIMO PASLAUGOS AUKŠTOS ĮTAMPOS TINKLAIS KAINOS VIRŠUTINĖS RIBOS NUSTATYMAS IR KOREGAVIMAS“" DocPartId="20ec3ccabf9644fe872c32709d448c33" PartId="13182d181ffe4a759299e9803af06085">
        <Part Type="punktas" Nr="42" Abbr="42 p." DocPartId="0596523510e34cc9b6367a48faa17262" PartId="864be8c0cd0944e0a219cbd1b58e82d6"/>
        <Part Type="punktas" Nr="43" Abbr="43 p." DocPartId="b5f9997014b64739886c65c55f134798" PartId="c19ec538559349e686b00869e1b8be60"/>
        <Part Type="punktas" Nr="44" Abbr="44 p." DocPartId="7fd35ba71ee94b2e95010dbfa9ec43af" PartId="e3484599d7e14f868b2553b1d5e44b29"/>
        <Part Type="punktas" Nr="45" Abbr="45 p." DocPartId="72eb0af75e9a4d41852137a93613d6db" PartId="d137b6feb14249fb9ff39730c72841e6"/>
        <Part Type="punktas" Nr="46" Abbr="46 p." DocPartId="233ed392209844b9993e18b7dd71288f" PartId="e7de60edc9b9400091f9e21409300fee"/>
        <Part Type="punktas" Nr="46-1" Abbr="46-1 p." DocPartId="1d17b02d585c4c698a22724ef8bc9528" PartId="1805658f45064da6ae578533bab526a1"/>
        <Part Type="punktas" Nr="47" Abbr="47 p." DocPartId="6217a358ace5453897567c286da2f3eb" PartId="abaa7b2727394ee8816af5ec04646c02"/>
        <Part Type="punktas" Nr="47-1" Abbr="47-1 p." DocPartId="6d4acbfd36c7457a911d48eeac6bc78e" PartId="8c35e16dca8b41cb9f83dcdb385cd1f2"/>
        <Part Type="punktas" Nr="48" Abbr="48 p." DocPartId="9cb1167cacd14996884b0e49f3770819" PartId="57eb349d03194ad3ae57942343605479"/>
        <Part Type="punktas" Nr="49" Abbr="49 p." DocPartId="27868e2471ec47cba8c8fa977da9887c" PartId="9274f37809a949e887539fbf882b13dd"/>
        <Part Type="punktas" Nr="50" Abbr="50 p." DocPartId="31f3dfc3ed904a7c85f80c095ed7ed4f" PartId="a790959cac8342fdb17a306578b7e572"/>
        <Part Type="punktas" Nr="51" Abbr="51 p." DocPartId="43f884daebf547208f46b4e265e5c656" PartId="c4ead16cd4db4574b6b19d13d6228c25"/>
        <Part Type="punktas" Nr="52" Abbr="52 p." DocPartId="330021a8c8b94aef919771b0e04a0121" PartId="7b93a8d7787d4b52bfdbcb75db2047c3"/>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b54230c74ce44f5ea74b605a9760971d"/>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c3c3e904a05a42ada1409569b537c438"/>
          <Part Type="punktas" Nr="63.3" Abbr="63.3 p." DocPartId="d64890a175e64d9c95b91472bae48ed0" PartId="7b4fe49815774337a2fe0b64179f56c7"/>
          <Part Type="punktas" Nr="63.4" Abbr="63.4 p." DocPartId="69dbbb068926457cba92abeacea0ce81" PartId="6d2b580ca24142b6bdcab9f084c2e6d2"/>
        </Part>
        <Part Type="punktas" Nr="64" Abbr="64 p." DocPartId="c35aa5bd4b694d2fb0637d50070bcece" PartId="80b590c5a4454101beb0ce1c6c40ec99">
          <Part Type="punktas" Nr="64.1" Abbr="64.1 p." DocPartId="96cf3b7904cd47de93a53123f1230df1" PartId="f3fdb2dbf17d48a488d763fa79f82323"/>
          <Part Type="punktas" Nr="64.2" Abbr="64.2 p." DocPartId="60e1916520654803b5ee13fa20a62620" PartId="d534e9305cb4407a949ea93724f9fa5a"/>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0446b5c5d7cb4b078e7cc9f8a4da1571"/>
          <Part Type="punktas" Nr="66.2" Abbr="66.2 p." DocPartId="2139a89ec01d415199cae6992d377eb6" PartId="6f92364f0b724779afcb037aba14a975"/>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5f7ea2964dc0492a923c376176f8bfb6"/>
        <Part Type="punktas" Nr="69" Abbr="69 p." DocPartId="3714f8d94d7743d19eafa50a6edc7f36" PartId="6789c4eb7026404ca82194db777bf448"/>
        <Part Type="punktas" Nr="70" Abbr="70 p." DocPartId="0aa456e0c5204f28aecf35a1b64d82db" PartId="f351396db0154e25af23af8473491601"/>
        <Part Type="punktas" Nr="71" Abbr="71 p." DocPartId="161a026b794d409a85318972f3aa6583" PartId="066c81e7f7f946f9984459599957c72f"/>
      </Part>
      <Part Type="skirsnis" Nr="6" Title="„ŠEŠTASIS SKIRSNIS SKIRSTYMO ŽEMOS IR VIDUTINĖS ĮTAMPOS TINKLAIS PASLAUGOS KAINOS VIRŠUTINĖS RIBOS NUSTATYMAS IR KOREGAVIMAS“" DocPartId="4134896815ce437e9c633476e3db6448" PartId="4c3b49c5d6004535876b251115b2f576">
        <Part Type="punktas" Nr="72" Abbr="72 p." DocPartId="3f23de7b62e043a9804f4051fbbc1ba3" PartId="d9e56271ec5c4c60ac7294f16e52100a"/>
        <Part Type="punktas" Nr="73" Abbr="73 p." DocPartId="784d655024ad4285806aba15bf109af2" PartId="730a20633e5046dd839889c13217977e"/>
        <Part Type="punktas" Nr="74" Abbr="74 p." DocPartId="5edc86ba2959417aa6f80d0f83e6f14c" PartId="24aebd264ebf405b950b62074726c990"/>
        <Part Type="punktas" Nr="75" Abbr="75 p." DocPartId="8e22743784564c48902e22f377d909f0" PartId="ad6ee1976e5f41498cf65b415452ce4c"/>
        <Part Type="punktas" Nr="76" Abbr="76 p." DocPartId="3a443179329149ee837cdf8443d63474" PartId="f853f8918ada45028d05adf8282526a8"/>
        <Part Type="punktas" Nr="76-1" Abbr="76-1 p." DocPartId="b5abb5a542b1407397bb2cbbc696f8cd" PartId="e0622a6b3c8a473d9675bc670ced79f7"/>
        <Part Type="punktas" Nr="77" Abbr="77 p." DocPartId="d0e53e274d004d9ab7fa76b4c211f0a5" PartId="4fb7e3de795f4f50b49a309f4436a372"/>
        <Part Type="punktas" Nr="77-1" Abbr="77-1 p." DocPartId="6f7f4657a247473d94b68cb71b5958e4" PartId="66458081e7a64334adcf508c4efdeb08"/>
        <Part Type="punktas" Nr="78" Abbr="78 p." DocPartId="3d13c6efe5154a98bc2101685ede269d" PartId="18fb695b7f474088968159b4f52bed5e"/>
        <Part Type="punktas" Nr="79" Abbr="79 p." DocPartId="965d5c63862247edbbf3dae3eaedc2d7" PartId="1bd0b22cf83c4fb49ebd1fc455e78e09"/>
        <Part Type="punktas" Nr="80" Abbr="80 p." DocPartId="ce53486ea5e544089cb35a7e509d7f51" PartId="9a8aac153f454bcf8feff75b31e5a099"/>
        <Part Type="punktas" Nr="81" Abbr="81 p." DocPartId="16b41b059ad645c99817eefdf703f800" PartId="1d0b0e608478432f8aebd8ee5fa157ee"/>
        <Part Type="punktas" Nr="82" Abbr="82 p." DocPartId="62bcb4ae60c74a3f9fffe41e2fdf60bc" PartId="4f898f2ff51342d1ac68f14ab6824599"/>
      </Part>
    </Part>
    <Part Type="skyrius" Nr="4" Title="„IV SKYRIUS ĮMONIŲ, BESIVERČIANČIŲ SKIRSTYMO VEIKLA, KURIŲ VEIKLOS TERITORIJOJE ESANČIŲ VARTOTOJŲ SKAIČIUS MAŽESNIS NEI 100 TŪKSTANČIŲ, KAINŲ VIRŠUTINIŲ RIBŲ NUSTATYMAS IR KOREGAVIMAS“" DocPartId="ef0a5335388f49778279f1af72d98c34" PartId="7d668372387b4d80933ceb9892c81718">
      <Part Type="punktas" Nr="83" Abbr="83 p." DocPartId="c4b4ab0e0698441c8c4398dbce796f82" PartId="d2f43d752fad4c99867c52fd77e7dc5b"/>
      <Part Type="punktas" Nr="84" Abbr="84 p." DocPartId="1b19e1bb5b724c4b97b37a120babca4a" PartId="450a4abce8b447ec83d86050a2f96ec4"/>
      <Part Type="punktas" Nr="85" Abbr="85 p." DocPartId="2699098779674abfa2980100410e9f01" PartId="cde4af07b7df4092b5779d11ff32ddfc"/>
      <Part Type="punktas" Nr="86" Abbr="86 p." DocPartId="fb50fb6a990d4a8bad35a181e94696ac" PartId="dafab0cfbda74119a19f0848b65cf283"/>
      <Part Type="punktas" Nr="87" Abbr="87 p." DocPartId="a9177564def345b3be81451ca5889b82" PartId="58352c1d108a4d85b2db68dafcd3876a"/>
      <Part Type="punktas" Nr="87-1" Abbr="87-1 p." DocPartId="9d73ebbd3372450ea41c7232cbc3ca1f" PartId="2f3df9296c8f4b52b431969b50b2150f"/>
      <Part Type="punktas" Nr="88" Abbr="88 p." DocPartId="39f177e8ab2c438e94c676a55e5df435" PartId="0f781db10bce4e98b8bf1d414292fca7"/>
      <Part Type="punktas" Nr="89" Abbr="89 p." DocPartId="ac50dec955fc438c81625f1344f87b12" PartId="efe0d3187253498d8c46acf555b4e518"/>
      <Part Type="punktas" Nr="90" Abbr="90 p." DocPartId="eff548761f9547cba9d0d325dc49c4b6" PartId="b32db6115d69465aa0dcc8559b535ac8"/>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94d7b9d37a334c4caca33c1aec8da0f1"/>
      <Part Type="punktas" Nr="94" Abbr="94 p." DocPartId="fb32664327034c49b682001ff828f7a3" PartId="dacf1b08a81d4cfeb6736acfa0e05cb0"/>
      <Part Type="punktas" Nr="95" Abbr="95 p." DocPartId="5e84f53c10804340b54c768e34c06bfb" PartId="cfd52f0a7a0a437fa2d3d21938820d65"/>
      <Part Type="punktas" Nr="96" Abbr="96 p." DocPartId="dfcae0047d214ea39d81d518adbfd1dc" PartId="6a922ff9f2a24eb2b000d23a0a64d94e"/>
    </Part>
    <Part Type="skyrius" Nr="4-1" Title="SKIRSTYMO PASLAUGOS BUITINIAMS VARTOTOJAMS PAPILDOMOS DEDAMOSIOS, SKIRTOS SKIRTUMUI TARP VISUOMENINIO TIEKĖJO FAKTINIŲ IR PROGNOZUOTŲ PAGRĮSTŲ SĄNAUDŲ KOMPENSUOTI, NUSTATYMAS" DocPartId="0abc194a7e75422a989dd6de678aa49c" PartId="5a8f9770f5194706a4c51574f7e8bc7b">
      <Part Type="punktas" Nr="96-1" Abbr="96-1 p." DocPartId="a4ceb3863f814bc08df9d2b6c3e32066" PartId="ed5b4038e3014eec9ea36686415e3d17"/>
      <Part Type="punktas" Nr="96-2" Abbr="96-2 p." DocPartId="d880df82d0d2480a98d848a1a0aade6f" PartId="d558835806c54ee69d68cc4d1874ab8c"/>
      <Part Type="punktas" Nr="96-3" Abbr="96-3 p." DocPartId="8929e0b09ac04192b9dac674fdd91054" PartId="c9b2feb479c04e7191d85c9bd042480b"/>
      <Part Type="punktas" Nr="96-4" Abbr="96-4 p." DocPartId="70cf047e5b8d45eaa54e285b197ad344" PartId="3a0a9a21e7a845f497576cce484793d7"/>
      <Part Type="punktas" Nr="96-5" Abbr="96-5 p." DocPartId="631acea944f840af8326a7ece56e3035" PartId="f9b19fc629484959a94d46d5b0bc9a29"/>
      <Part Type="punktas" Nr="96-6" Abbr="96-6 p." DocPartId="a2b77a32d8c34b088b34e076b97f5258" PartId="367bc973eca2454d93600e0cdb98dee7"/>
      <Part Type="punktas" Nr="96-7" Abbr="96-7 p." DocPartId="1bd6eccba0714855a232b6212185933e" PartId="d2754ae7fe464e69a9f09740efcfd053"/>
    </Part>
    <Part Type="skyrius" Nr="5" Title="„V SKYRIUS VISUOMENINIO TIEKIMO PASLAUGOS KAINOS VIRŠUTINĖS RIBOS NUSTATYMAS IR KOREGAVIMAS“" DocPartId="374117d552e04301a7ef33cd06648067" PartId="24384c1cd70f44f5bc32cee795f53130">
      <Part Type="punktas" Nr="97" Abbr="97 p." DocPartId="eda5a4f268604cdfa9f105cda146835f" PartId="5567aeb356fe42fc9aba6c9d225b37de"/>
      <Part Type="punktas" Nr="98" Abbr="98 p." DocPartId="c0eb451f49574849b40db47debfe7d7e" PartId="0eb51f61208448f98a57ee0e9603d8ad"/>
      <Part Type="punktas" Nr="99" Abbr="99 p." DocPartId="86c831b835994a619ff9c8c8ef4ac809" PartId="27a3a9bbff6f4c42be95c9f6e38f9eab"/>
      <Part Type="punktas" Nr="100" Abbr="100 p." DocPartId="d9632dd5bfc1457d870d75a7c3e47913" PartId="513d5e15ae2e4f0599091e46dbac9630"/>
      <Part Type="punktas" Nr="101" Abbr="101 p." DocPartId="a8e9032c53ba4cfa8543309d6a98fb74" PartId="fb358af9ebc04009a11c70f8576fd6f0"/>
      <Part Type="punktas" Nr="101-1" Abbr="101-1 p." DocPartId="0ea9563299044b4a8858a44d63262209" PartId="b4d099b559ed4ab58cd417ede12ee3c7"/>
      <Part Type="punktas" Nr="101-2" Abbr="101-2 p." DocPartId="58bb32a3e3e8459bb09b0f7ba0cb2d77" PartId="7b97eb03ca914b57a38f351a8a82fe14"/>
      <Part Type="punktas" Nr="102" Abbr="102 p." DocPartId="3eba46311f484906a80077c1c00e0651" PartId="4dbbf3baa9964d9cb6577b8a3e7126f6"/>
      <Part Type="punktas" Nr="103" Abbr="103 p." DocPartId="2f528f19a1fd422d97e9a7bf78a94d03" PartId="ede463a36afb4459a68c93bd063d6111"/>
      <Part Type="punktas" Nr="104" Abbr="104 p." DocPartId="ae5034b7c0bb497eab63ab41b59e7e53" PartId="08559cafabf34b0fbf6539936f77c95f"/>
      <Part Type="punktas" Nr="105" Abbr="105 p." DocPartId="ae735727e76a4daa8e1b1927e79d873d" PartId="b02290178f604653995d31813d2211d5"/>
      <Part Type="punktas" Nr="106" Abbr="106 p." DocPartId="0a3cd77e2f2c447bac0bdaf65e5ad4b5" PartId="529a6f04b39b49bb93a83ad0a1c9bc16"/>
    </Part>
    <Part Type="skyrius" Nr="6" Title="VISUOMENINIŲ KAINŲ VIRŠUTINIŲ RIBŲ NUSTATYMAS" DocPartId="2acda749ed904e0495f38b756a7afa82" PartId="8d0ecf0a66b14fc9891da7927436df7a">
      <Part Type="punktas" Nr="107" Abbr="107 p." DocPartId="bebc8da7e04d4cb8bb3867931ed39a0a" PartId="2eee0d98769d46e08002e2c35b101a6b"/>
      <Part Type="punktas" Nr="107-1" Abbr="107-1 p." DocPartId="5ed7296a5c7f45e38efc3be600279af7" PartId="976a44bf000c4766a2c664843afe4cf7"/>
      <Part Type="punktas" Nr="107-2" Abbr="107-2 p." DocPartId="3aba05b9984c4e2aae9d05a3a4c6c9fc" PartId="8f1c7d188d2e4665954f86d772df49c4"/>
      <Part Type="punktas" Nr="108" Abbr="108 p." DocPartId="ad0f671ed9ba4d08b84d3dc77144a939" PartId="41d40088691e47409d9c37d63502b106"/>
      <Part Type="punktas" Nr="109" Abbr="109 p." DocPartId="281fbb9b4e9b4f599b45dc0cfb316841" PartId="fd30eaaf741f46b79626977889e5d863"/>
      <Part Type="punktas" Nr="109-1" Abbr="109-1 p." DocPartId="a90f4e7f2c6745a6aea79c2bfb7c567e" PartId="8877735a3b4b488c9969def334170fb4"/>
      <Part Type="punktas" Nr="109-2" Abbr="109-2 p." DocPartId="8e120231068d41029b7f26d831c8355e" PartId="c9c784ffdf8140a5abc6df725c40004a"/>
      <Part Type="punktas" Nr="110" Abbr="110 p." DocPartId="47196821a71f41968764cc435cdf759f" PartId="dc233177956d47df8fee2c653947e98b"/>
      <Part Type="punktas" Nr="111" Abbr="111 p." DocPartId="4c0acaac22a04b7abda932efbc9718e9" PartId="181b683834ab401ba49ee548aa434e27"/>
      <Part Type="punktas" Nr="111-1" Abbr="111-1 p." DocPartId="5d9e1beb46574bfabe3a25f7ba2831f1" PartId="8affc7e6c50c46268cdeebea479eccaa"/>
      <Part Type="punktas" Nr="111-2" Abbr="111-2 p." DocPartId="c7cc1f7c5fea4c98b1016444bdf75b6a" PartId="c7ccb3b106864a62acee5f20821d2021"/>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e213aec5d55e4aeea6944b59b607b416"/>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5450d29ae6b24ba780769c22d913b8f0"/>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5-1" Abbr="115-1 p." DocPartId="b9921b9f1c43443bb1677ced4ddfb4a9" PartId="9c6b351539dd46f990c68286285d2e09">
        <Part Type="punktas" Nr="115-1.1" Abbr="115-1.1p." DocPartId="33bdac443988460292f0f0559225bc51" PartId="ddf48069206d449282d47ddaeca4bcf4">
          <Part Type="papunktis" Nr="115-1.1.1" Abbr="115-1.1.1 pp." DocPartId="4fc2f100822241a9852e97d06c7422ef" PartId="55ea59bca6fe48f08144e147f77e853d"/>
          <Part Type="papunktis" Nr="115-1.1.2" Abbr="115-1.1.2 pp." DocPartId="cd37502ec0854d60a477c01cb08e1ff9" PartId="e8ded0b4cab74d8896f3cee386ccdd86"/>
          <Part Type="papunktis" Nr="115-1.1.3" Abbr="115-1.1.3 pp." DocPartId="50a61b970f1943e3bc34b806a71fe22f" PartId="454418676fba4ed2baf77b13cd01182d"/>
          <Part Type="papunktis" Nr="115-1.2" Abbr="115-1.2 pp." DocPartId="c7eda48ea2784d66a6c0a4992147fc6e" PartId="81d9e7c5ecb64bf292b8350b76729fa0">
            <Part Type="papunktis" Nr="115-1.2.1" Abbr="115-1.2.1 pp." DocPartId="6be3e27be4c242a68a73895f529e8bcb" PartId="7a314ba7f4d942d5b0153280f8ea06ef"/>
            <Part Type="papunktis" Nr="115-1.2.2" Abbr="115-1.2.2 pp." DocPartId="314729dbc16742a896ebacabd562ba8e" PartId="dc4d7c754d6a4a7396ed418c1ba62541"/>
            <Part Type="papunktis" Nr="115-1.2.3" Abbr="115-1.2.3 pp." DocPartId="b99975d6be6645fb8917a7ff88663232" PartId="55f97ffae057405b94adf6115853358c"/>
          </Part>
          <Part Type="papunktis" Nr="115-1.3" Abbr="115-1.3 pp." DocPartId="b615fa9c574249c1b19145360702c7ce" PartId="ad51456ddd344c56989c24c17aa30070">
            <Part Type="papunktis" Nr="115-1.3.1" Abbr="115-1.3.1 pp." DocPartId="2bd17b34034c44ecb972ba77715f31f3" PartId="bcc4122ac24240ba997e3afd889ee102"/>
            <Part Type="papunktis" Nr="115-1.3.2" Abbr="115-1.3.2 pp." DocPartId="5fc41cc984764a42bda24a20b3cad246" PartId="7d7c6cff1edd42f48163144b2be74842"/>
            <Part Type="papunktis" Nr="115-1.3.3" Abbr="115-1.3.3 pp." DocPartId="a1240c68268047fb8c683867e14f9815" PartId="9702f181874f4e7e80e1e3ec48897c31"/>
          </Part>
          <Part Type="papunktis" Nr="115-1.4" Abbr="115-1.4 pp." DocPartId="05a6b242960b4608a015e239779eb1a7" PartId="bcea2dba80aa4019bd6df038292f12d4">
            <Part Type="papunktis" Nr="115-1.4.1" Abbr="115-1.4.1 pp." DocPartId="1e6af901af2949e492eac42845fca6c4" PartId="f7acc80af4a246c787fc0efb576a2b87"/>
            <Part Type="papunktis" Nr="115-1.4.2" Abbr="115-1.4.2 pp." DocPartId="65584ccffae148a9a385ddb074f69264" PartId="cdeb1a61a089411f85c5f25ab6dac1a9"/>
            <Part Type="papunktis" Nr="115-1.4.3" Abbr="115-1.4.3 pp." DocPartId="2b3c4fea4e724feab3b0fdf4fa2d04e3" PartId="6ad310f4406649739fa97bb487e0d75b"/>
            <Part Type="papunktis" Nr="115-1.4.4" Abbr="115-1.4.4 pp." DocPartId="25e07bc329294bc68dd2651cb54d6e73" PartId="59f5e9f3c386488dbd61e2f6305f399d">
              <Part Type="papunktis" Nr="115-1.4.4.1" Abbr="115-1.4.4.1 pp." DocPartId="4c699dfc1a914067b2e3f2e23303657c" PartId="0652e0822f524360af035534aa790846"/>
              <Part Type="papunktis" Nr="115-1.4.4.2" Abbr="115-1.4.4.2 pp." DocPartId="1feeeee16eda4e6cac7f5bbc9f671d33" PartId="db27de3c6d214345bc46f4c6fd577413"/>
              <Part Type="papunktis" Nr="115-1.4.4.3" Abbr="115-1.4.4.3 pp." DocPartId="cf929569782a448d95294cb4ac0e8fb8" PartId="da24efafdfd24b9a8f23be8341ba74f9"/>
              <Part Type="papunktis" Nr="115-1.4.4.4" Abbr="115-1.4.4.4 pp." DocPartId="1c1ffa41f4c74384888cbe03e314421b" PartId="6607100ea6c94bfcb0b0bb754197a4d0"/>
            </Part>
            <Part Type="punktas" Nr="115-2" Abbr="115-2 p." DocPartId="70153db4ec5e4abaa1fc3864ca995431" PartId="35dda735b6524dcd82c46fd186058da9"/>
          </Part>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2-1" Abbr="122-1 p." DocPartId="1033f0fd3fc54605a35d0e5270569ca3" PartId="5d6e894d68994159b739d8cc4e7dc9c1"/>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76BEB08-75B9-4DE1-97EB-4AE959287A25}">
  <ds:schemaRefs>
    <ds:schemaRef ds:uri="http://lrs.lt/TAIS/DocParts"/>
  </ds:schemaRefs>
</ds:datastoreItem>
</file>

<file path=customXml/itemProps3.xml><?xml version="1.0" encoding="utf-8"?>
<ds:datastoreItem xmlns:ds="http://schemas.openxmlformats.org/officeDocument/2006/customXml" ds:itemID="{8E1AFDB5-0E5E-43EC-8D6C-CCFFE630604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173</TotalTime>
  <Pages>43</Pages>
  <Words>17233</Words>
  <Characters>130490</Characters>
  <Application>Microsoft Office Word</Application>
  <DocSecurity>0</DocSecurity>
  <Lines>1087</Lines>
  <Paragraphs>294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147429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BODIN Aušra</lastModifiedBy>
  <lastPrinted>2015-01-13T09:12:00Z</lastPrinted>
  <dcterms:modified xsi:type="dcterms:W3CDTF">2021-05-18T06:56:00Z</dcterms:modified>
  <revision>45</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