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custom-properties" Target="docProps/custom.xml"/>
  <Relationship Id="rId4" Type="http://schemas.openxmlformats.org/officeDocument/2006/relationships/officeDocument" Target="word/document.xml"/>
  <Relationship Id="rId5"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a8da307120cc433b8c935cd72295379a"/>
        <w:lock w:val="sdtLocked"/>
        <w:richText/>
      </w:sdtPr>
      <w:sdtContent>
        <w:p>
          <w:pPr>
            <w:jc w:val="both"/>
            <w:rPr>
              <w:rFonts w:ascii="Times New Roman" w:hAnsi="Times New Roman"/>
            </w:rPr>
          </w:pPr>
          <w:r>
            <w:rPr>
              <w:rFonts w:ascii="Times New Roman" w:hAnsi="Times New Roman"/>
              <w:b/>
              <w:i/>
            </w:rPr>
            <w:t>Suvestinė redakcija nuo 2019-10-11 iki 2020-09-25</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TAR 2015-01-16, i. k. 2015-00679</w:t>
          </w:r>
        </w:p>
        <w:p>
          <w:pPr>
            <w:jc w:val="both"/>
            <w:rPr>
              <w:rFonts w:ascii="Times New Roman" w:hAnsi="Times New Roman"/>
              <w:sz w:val="20"/>
            </w:rPr>
          </w:pPr>
        </w:p>
        <w:p>
          <w:pPr>
            <w:tabs>
              <w:tab w:val="center" w:pos="4819"/>
              <w:tab w:val="right" w:pos="9638"/>
            </w:tabs>
            <w:rPr>
              <w:szCs w:val="24"/>
              <w:lang w:val="en-GB"/>
            </w:rPr>
          </w:pPr>
        </w:p>
        <w:p>
          <w:pPr>
            <w:tabs>
              <w:tab w:val="left" w:pos="2835"/>
            </w:tabs>
            <w:suppressAutoHyphens/>
            <w:spacing w:line="240" w:lineRule="atLeast"/>
            <w:jc w:val="center"/>
            <w:rPr>
              <w:b/>
              <w:szCs w:val="24"/>
            </w:rPr>
          </w:pPr>
          <w:r>
            <w:rPr>
              <w:lang w:eastAsia="lt-LT"/>
            </w:rPr>
            <w:drawing>
              <wp:inline distT="0" distB="0" distL="0" distR="0">
                <wp:extent cx="543560" cy="595630"/>
                <wp:effectExtent l="0" t="0" r="8890" b="0"/>
                <wp:docPr id="2" name="Picture 2"/>
                <wp:cNvGraphicFramePr/>
                <a:graphic xmlns:a="http://schemas.openxmlformats.org/drawingml/2006/main">
                  <a:graphicData uri="http://schemas.openxmlformats.org/drawingml/2006/picture">
                    <pic:pic xmlns:pic="http://schemas.openxmlformats.org/drawingml/2006/picture">
                      <pic:nvPicPr>
                        <pic:cNvPr id="6" name="Picture 2"/>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43560" cy="595630"/>
                        </a:xfrm>
                        <a:prstGeom prst="rect">
                          <a:avLst/>
                        </a:prstGeom>
                        <a:noFill/>
                        <a:ln>
                          <a:noFill/>
                        </a:ln>
                      </pic:spPr>
                    </pic:pic>
                  </a:graphicData>
                </a:graphic>
              </wp:inline>
            </w:drawing>
          </w:r>
        </w:p>
        <w:p>
          <w:pPr>
            <w:tabs>
              <w:tab w:val="left" w:pos="2835"/>
            </w:tabs>
            <w:suppressAutoHyphens/>
            <w:spacing w:line="240" w:lineRule="atLeast"/>
            <w:jc w:val="center"/>
            <w:rPr>
              <w:b/>
              <w:szCs w:val="24"/>
            </w:rPr>
          </w:pPr>
          <w:r>
            <w:rPr>
              <w:b/>
              <w:szCs w:val="24"/>
            </w:rPr>
            <w:t>VALSTYBINĖ KAINŲ IR ENERGETIKOS KONTROLĖS KOMISIJA</w:t>
          </w:r>
        </w:p>
        <w:p>
          <w:pPr>
            <w:tabs>
              <w:tab w:val="left" w:pos="2835"/>
              <w:tab w:val="center" w:pos="4819"/>
              <w:tab w:val="right" w:pos="9638"/>
            </w:tabs>
            <w:spacing w:line="240" w:lineRule="atLeast"/>
            <w:jc w:val="center"/>
            <w:rPr>
              <w:caps/>
              <w:szCs w:val="24"/>
            </w:rPr>
          </w:pPr>
        </w:p>
        <w:p>
          <w:pPr>
            <w:tabs>
              <w:tab w:val="left" w:pos="2835"/>
              <w:tab w:val="center" w:pos="4819"/>
              <w:tab w:val="right" w:pos="9638"/>
            </w:tabs>
            <w:jc w:val="center"/>
            <w:rPr>
              <w:b/>
              <w:caps/>
              <w:szCs w:val="24"/>
            </w:rPr>
          </w:pPr>
          <w:r>
            <w:rPr>
              <w:b/>
              <w:caps/>
              <w:szCs w:val="24"/>
            </w:rPr>
            <w:t>Nutarimas</w:t>
          </w:r>
        </w:p>
        <w:p>
          <w:pPr>
            <w:keepLines/>
            <w:tabs>
              <w:tab w:val="left" w:pos="2835"/>
            </w:tabs>
            <w:suppressAutoHyphens/>
            <w:jc w:val="center"/>
            <w:textAlignment w:val="center"/>
            <w:rPr>
              <w:b/>
              <w:bCs/>
              <w:caps/>
              <w:szCs w:val="24"/>
            </w:rPr>
          </w:pPr>
          <w:r>
            <w:rPr>
              <w:b/>
              <w:bCs/>
              <w:caps/>
              <w:szCs w:val="24"/>
            </w:rPr>
            <w:t>DĖL Elektros energijos Perdavimo, skirstymo IR visuomeninio tiekimo paslaugų bei visuomeninės kainos viršutinės ribos nustatymo METODIKos patvirtinimo</w:t>
            <w:br/>
          </w:r>
        </w:p>
        <w:p>
          <w:pPr>
            <w:tabs>
              <w:tab w:val="left" w:pos="2835"/>
            </w:tabs>
            <w:suppressAutoHyphens/>
            <w:spacing w:line="240" w:lineRule="atLeast"/>
            <w:jc w:val="center"/>
            <w:rPr>
              <w:szCs w:val="24"/>
            </w:rPr>
          </w:pPr>
          <w:r>
            <w:rPr>
              <w:szCs w:val="24"/>
            </w:rPr>
            <w:t>2015 m. sausio 15 d. Nr. O3-3</w:t>
          </w:r>
        </w:p>
        <w:p>
          <w:pPr>
            <w:tabs>
              <w:tab w:val="left" w:pos="2835"/>
            </w:tabs>
            <w:suppressAutoHyphens/>
            <w:spacing w:line="240" w:lineRule="atLeast"/>
            <w:jc w:val="center"/>
            <w:rPr>
              <w:szCs w:val="24"/>
            </w:rPr>
          </w:pPr>
          <w:r>
            <w:rPr>
              <w:szCs w:val="24"/>
            </w:rPr>
            <w:t>Vilnius</w:t>
          </w:r>
        </w:p>
        <w:p>
          <w:pPr>
            <w:tabs>
              <w:tab w:val="left" w:pos="2835"/>
            </w:tabs>
            <w:suppressAutoHyphens/>
            <w:spacing w:line="240" w:lineRule="atLeast"/>
            <w:jc w:val="center"/>
            <w:rPr>
              <w:szCs w:val="24"/>
            </w:rPr>
          </w:pPr>
        </w:p>
        <w:p>
          <w:pPr>
            <w:tabs>
              <w:tab w:val="left" w:pos="2835"/>
            </w:tabs>
            <w:suppressAutoHyphens/>
            <w:spacing w:line="240" w:lineRule="atLeast"/>
            <w:jc w:val="center"/>
            <w:rPr>
              <w:szCs w:val="24"/>
            </w:rPr>
          </w:pPr>
        </w:p>
        <w:sdt>
          <w:sdtPr>
            <w:alias w:val="preambule"/>
            <w:tag w:val="part_724459fd21db4a9a95492b3e7d6c137f"/>
            <w:lock w:val="sdtLocked"/>
            <w:richText/>
          </w:sdtPr>
          <w:sdtContent>
            <w:p>
              <w:pPr>
                <w:tabs>
                  <w:tab w:val="left" w:pos="993"/>
                  <w:tab w:val="left" w:pos="2835"/>
                  <w:tab w:val="right" w:pos="9638"/>
                </w:tabs>
                <w:suppressAutoHyphens/>
                <w:spacing w:line="276" w:lineRule="auto"/>
                <w:ind w:firstLine="709"/>
                <w:jc w:val="both"/>
                <w:textAlignment w:val="center"/>
                <w:rPr>
                  <w:szCs w:val="24"/>
                </w:rPr>
              </w:pPr>
              <w:r>
                <w:rPr>
                  <w:szCs w:val="24"/>
                </w:rPr>
                <w:t>Vadovaudamasi Lietuvos Respublikos energetikos įstatymo 8 straipsnio 9 dalies 2 punktu, Lietuvos Respublikos elektros energetikos įstatymo 9 straipsnio 3 dalies 5 punktu, 68 straipsnio 1 ir 5 dalimis, 69 straipsnio 1 dalimi, Valstybės reguliuojamų kainų elektros energetikos sektoriuje nustatymo principų aprašu, patvirtintu Lietuvos Respublikos Vyriausybės 2014 m. rugsėjo 24 d. nutarimu Nr. 1026 „Dėl Valstybės reguliuojamų kainų elektros energetikos sektoriuje nustatymo principų aprašo patvirtinimo“, Elektros energijos perdavimo sistemos operatoriaus teikiamų paslaugų ir elektros energijos skirstomųjų tinklų operatoriaus teikiamų paslaugų ilgo laikotarpio vidutinių padidėjimo sąnaudų (LRAIC) apskaitos modelio formavimo metodinėmis gairėmis, patvirtintomis Valstybinės kainų ir energetikos kontrolės komisijos (toliau Komisija) 2013 m. liepos 5 d. nutarimu Nr. O3-287 „Dėl Elektros energijos perdavimo sistemos operatoriaus teikiamų paslaugų ir elektros energijos skirstomųjų tinklų operatoriaus teikiamų paslaugų ilgo laikotarpio vidutinių padidėjimo sąnaudų (LRAIC) apskaitos modelio formavimo metodinių gairių“ bei Elektros energijos perdavimo sistemos operatoriaus teikiamų paslaugų ir elektros energijos skirstomųjų tinklų operatoriaus teikiamų paslaugų ilgo laikotarpio vidutinių padidėjimo sąnaudų (LRAIC) techninio-technologinio ir ekonominio modelio tinkluose gairėmis, patvirtintomis Komisijos 2013 m. gruodžio 27 d. nutarimu Nr. O3-755 „Dėl Elektros energijos perdavimo sistemos operatoriaus teikiamų paslaugų ir elektros energijos skirstomųjų tinklų operatoriaus teikiamų paslaugų ilgo laikotarpio vidutinių padidėjimo sąnaudų (LRAIC) techninio-technologinio ir ekonominio modelio tinkluose gairių ir LRAIC modelio</w:t>
              </w:r>
              <w:r>
                <w:rPr>
                  <w:caps/>
                  <w:szCs w:val="24"/>
                </w:rPr>
                <w:t>“</w:t>
              </w:r>
              <w:r>
                <w:rPr>
                  <w:szCs w:val="24"/>
                </w:rPr>
                <w:t xml:space="preserve"> bei atsižvelgdama į Komisijos Dujų ir elektros departamento Elektros skyriaus 2015 m. sausio 7 d. pažymą Nr. O5-1 „</w:t>
              </w:r>
              <w:r>
                <w:rPr>
                  <w:caps/>
                  <w:szCs w:val="24"/>
                </w:rPr>
                <w:t>D</w:t>
              </w:r>
              <w:r>
                <w:rPr>
                  <w:szCs w:val="24"/>
                </w:rPr>
                <w:t>ėl</w:t>
              </w:r>
              <w:r>
                <w:rPr>
                  <w:caps/>
                  <w:szCs w:val="24"/>
                </w:rPr>
                <w:t xml:space="preserve"> E</w:t>
              </w:r>
              <w:r>
                <w:rPr>
                  <w:szCs w:val="24"/>
                </w:rPr>
                <w:t>lektros energijos perdavimo, skirstymo ir visuomeninio tiekimo paslaugų bei visuomeninės kainos viršutinės ribos nustatymo metodikos patvirtinimo“, Komisija n u t a r i a:</w:t>
              </w:r>
            </w:p>
          </w:sdtContent>
        </w:sdt>
        <w:sdt>
          <w:sdtPr>
            <w:alias w:val="1 p."/>
            <w:tag w:val="part_5339e44e9bdb4366b6d0c0ba001e949b"/>
            <w:lock w:val="sdtLocked"/>
            <w:richText/>
          </w:sdtPr>
          <w:sdtContent>
            <w:p>
              <w:pPr>
                <w:tabs>
                  <w:tab w:val="left" w:pos="993"/>
                  <w:tab w:val="right" w:pos="9638"/>
                </w:tabs>
                <w:suppressAutoHyphens/>
                <w:spacing w:line="276" w:lineRule="auto"/>
                <w:ind w:firstLine="709"/>
                <w:jc w:val="both"/>
                <w:textAlignment w:val="center"/>
                <w:rPr>
                  <w:szCs w:val="24"/>
                </w:rPr>
              </w:pPr>
              <w:sdt>
                <w:sdtPr>
                  <w:alias w:val="Numeris"/>
                  <w:tag w:val="nr_5339e44e9bdb4366b6d0c0ba001e949b"/>
                  <w:lock w:val="sdtLocked"/>
                  <w:richText/>
                </w:sdtPr>
                <w:sdtContent>
                  <w:r>
                    <w:rPr>
                      <w:szCs w:val="24"/>
                    </w:rPr>
                    <w:t>1</w:t>
                  </w:r>
                </w:sdtContent>
              </w:sdt>
              <w:r>
                <w:rPr>
                  <w:szCs w:val="24"/>
                </w:rPr>
                <w:t xml:space="preserve">. Patvirtinti </w:t>
              </w:r>
              <w:r>
                <w:rPr>
                  <w:caps/>
                  <w:szCs w:val="24"/>
                </w:rPr>
                <w:t>E</w:t>
              </w:r>
              <w:r>
                <w:rPr>
                  <w:szCs w:val="24"/>
                </w:rPr>
                <w:t>lektros energijos perdavimo, skirstymo ir visuomeninio tiekimo paslaugų bei visuomeninės kainos viršutinės ribos nustatymo metodiką (pridedama).</w:t>
              </w:r>
            </w:p>
          </w:sdtContent>
        </w:sdt>
        <w:sdt>
          <w:sdtPr>
            <w:alias w:val="2 p."/>
            <w:tag w:val="part_be1d99e9b98b459f9b21e02fd217f1f4"/>
            <w:lock w:val="sdtLocked"/>
            <w:richText/>
          </w:sdtPr>
          <w:sdtContent>
            <w:p>
              <w:pPr>
                <w:tabs>
                  <w:tab w:val="left" w:pos="993"/>
                  <w:tab w:val="right" w:pos="9638"/>
                </w:tabs>
                <w:suppressAutoHyphens/>
                <w:spacing w:line="276" w:lineRule="auto"/>
                <w:ind w:firstLine="709"/>
                <w:jc w:val="both"/>
                <w:textAlignment w:val="center"/>
                <w:rPr>
                  <w:szCs w:val="24"/>
                </w:rPr>
              </w:pPr>
              <w:sdt>
                <w:sdtPr>
                  <w:alias w:val="Numeris"/>
                  <w:tag w:val="nr_be1d99e9b98b459f9b21e02fd217f1f4"/>
                  <w:lock w:val="sdtLocked"/>
                  <w:richText/>
                </w:sdtPr>
                <w:sdtContent>
                  <w:r>
                    <w:rPr>
                      <w:szCs w:val="24"/>
                    </w:rPr>
                    <w:t>2</w:t>
                  </w:r>
                </w:sdtContent>
              </w:sdt>
              <w:r>
                <w:rPr>
                  <w:szCs w:val="24"/>
                </w:rPr>
                <w:t>. Pripažinti netekusiu galios Komisijos 2009 m. rugsėjo 25 d. nutarimą Nr. O3-139 „Dėl Elektros energijos perdavimo ir skirstymo paslaugų kainų ir jų viršutinių ribų nustatymo metodikos“ su visais pakeitimais ir papildymais.</w:t>
              </w:r>
            </w:p>
          </w:sdtContent>
        </w:sdt>
        <w:sdt>
          <w:sdtPr>
            <w:alias w:val="3 p."/>
            <w:tag w:val="part_8df18e3f615f4342a2ae88eb29697807"/>
            <w:lock w:val="sdtLocked"/>
            <w:richText/>
          </w:sdtPr>
          <w:sdtContent>
            <w:p>
              <w:pPr>
                <w:widowControl w:val="0"/>
                <w:tabs>
                  <w:tab w:val="left" w:pos="993"/>
                  <w:tab w:val="left" w:pos="1134"/>
                </w:tabs>
                <w:suppressAutoHyphens/>
                <w:spacing w:line="276" w:lineRule="auto"/>
                <w:ind w:firstLine="709"/>
                <w:contextualSpacing/>
                <w:jc w:val="both"/>
                <w:textAlignment w:val="center"/>
                <w:rPr>
                  <w:caps/>
                  <w:szCs w:val="24"/>
                </w:rPr>
              </w:pPr>
              <w:sdt>
                <w:sdtPr>
                  <w:alias w:val="Numeris"/>
                  <w:tag w:val="nr_8df18e3f615f4342a2ae88eb29697807"/>
                  <w:lock w:val="sdtLocked"/>
                  <w:richText/>
                </w:sdtPr>
                <w:sdtContent>
                  <w:r>
                    <w:rPr>
                      <w:szCs w:val="24"/>
                    </w:rPr>
                    <w:t>3</w:t>
                  </w:r>
                </w:sdtContent>
              </w:sdt>
              <w:r>
                <w:rPr>
                  <w:szCs w:val="24"/>
                </w:rPr>
                <w:t>. Pripažinti netekusiu galios Komisijos 2009 m. lapkričio 9 d. nutarimą Nr. O3-199 „Dėl Visuomeninių elektros energijos kainų, visuomeninio tiekimo paslaugos kainos ir jos viršutinės ribos nustatymo metodikos“ su visais pakeitimais ir papildymais.</w:t>
              </w:r>
            </w:p>
          </w:sdtContent>
        </w:sdt>
        <w:sdt>
          <w:sdtPr>
            <w:alias w:val="signatura"/>
            <w:tag w:val="part_da8081b21a7649b3b56121becd194e08"/>
            <w:lock w:val="sdtLocked"/>
            <w:richText/>
          </w:sdtPr>
          <w:sdtContent>
            <w:p>
              <w:pPr>
                <w:tabs>
                  <w:tab w:val="left" w:pos="993"/>
                  <w:tab w:val="left" w:pos="7938"/>
                </w:tabs>
                <w:jc w:val="both"/>
              </w:pPr>
            </w:p>
            <w:p>
              <w:pPr>
                <w:tabs>
                  <w:tab w:val="left" w:pos="993"/>
                  <w:tab w:val="left" w:pos="7938"/>
                </w:tabs>
                <w:jc w:val="both"/>
              </w:pPr>
            </w:p>
            <w:p>
              <w:pPr>
                <w:tabs>
                  <w:tab w:val="left" w:pos="993"/>
                  <w:tab w:val="left" w:pos="7938"/>
                </w:tabs>
                <w:jc w:val="both"/>
                <w:rPr>
                  <w:szCs w:val="24"/>
                </w:rPr>
              </w:pPr>
              <w:r>
                <w:rPr>
                  <w:szCs w:val="24"/>
                </w:rPr>
                <w:t>Komisijos pirmininkė</w:t>
                <w:tab/>
                <w:t>Diana Korsakaitė</w:t>
              </w:r>
            </w:p>
          </w:sdtContent>
        </w:sdt>
      </w:sdtContent>
    </w:sdt>
    <w:sdt>
      <w:sdtPr>
        <w:alias w:val="patvirtinta"/>
        <w:tag w:val="part_0c3e461b46324d0389d92e0d14fe39d8"/>
        <w:lock w:val="sdtLocked"/>
        <w:richText/>
      </w:sdtPr>
      <w:sdtContent>
        <w:p>
          <w:pPr>
            <w:keepLines/>
            <w:tabs>
              <w:tab w:val="left" w:pos="1304"/>
              <w:tab w:val="left" w:pos="1457"/>
              <w:tab w:val="left" w:pos="1604"/>
              <w:tab w:val="left" w:pos="1757"/>
            </w:tabs>
            <w:suppressAutoHyphens/>
            <w:ind w:left="5953"/>
            <w:textAlignment w:val="center"/>
            <w:sectPr>
              <w:headerReference w:type="even" r:id="rId13"/>
              <w:headerReference w:type="default" r:id="rId14"/>
              <w:footerReference w:type="even" r:id="rId15"/>
              <w:footerReference w:type="default" r:id="rId16"/>
              <w:headerReference w:type="first" r:id="rId17"/>
              <w:footerReference w:type="first" r:id="rId18"/>
              <w:pgSz w:w="11906" w:h="16838"/>
              <w:pgMar w:top="851" w:right="567" w:bottom="1134" w:left="1701" w:header="720" w:footer="720" w:gutter="0"/>
              <w:cols w:space="720"/>
              <w:noEndnote/>
              <w:titlePg/>
              <w:docGrid w:linePitch="360"/>
            </w:sectPr>
          </w:pPr>
        </w:p>
        <w:p>
          <w:pPr>
            <w:keepLines/>
            <w:tabs>
              <w:tab w:val="left" w:pos="1304"/>
              <w:tab w:val="left" w:pos="1457"/>
              <w:tab w:val="left" w:pos="1604"/>
              <w:tab w:val="left" w:pos="1757"/>
            </w:tabs>
            <w:suppressAutoHyphens/>
            <w:ind w:left="5953"/>
            <w:textAlignment w:val="center"/>
            <w:rPr>
              <w:szCs w:val="24"/>
            </w:rPr>
          </w:pPr>
          <w:r>
            <w:rPr>
              <w:szCs w:val="24"/>
            </w:rPr>
            <w:t>PATVIRTINTA</w:t>
          </w:r>
        </w:p>
        <w:p>
          <w:pPr>
            <w:keepLines/>
            <w:tabs>
              <w:tab w:val="left" w:pos="1304"/>
              <w:tab w:val="left" w:pos="1457"/>
              <w:tab w:val="left" w:pos="1604"/>
              <w:tab w:val="left" w:pos="1757"/>
            </w:tabs>
            <w:suppressAutoHyphens/>
            <w:ind w:left="5954"/>
            <w:textAlignment w:val="center"/>
            <w:rPr>
              <w:szCs w:val="24"/>
            </w:rPr>
          </w:pPr>
          <w:r>
            <w:rPr>
              <w:szCs w:val="24"/>
            </w:rPr>
            <w:t>Valstybinės kainų ir energetikos</w:t>
          </w:r>
        </w:p>
        <w:p>
          <w:pPr>
            <w:keepLines/>
            <w:tabs>
              <w:tab w:val="left" w:pos="1304"/>
              <w:tab w:val="left" w:pos="1457"/>
              <w:tab w:val="left" w:pos="1604"/>
              <w:tab w:val="left" w:pos="1757"/>
            </w:tabs>
            <w:suppressAutoHyphens/>
            <w:ind w:left="5954"/>
            <w:textAlignment w:val="center"/>
            <w:rPr>
              <w:szCs w:val="24"/>
            </w:rPr>
          </w:pPr>
          <w:r>
            <w:rPr>
              <w:szCs w:val="24"/>
            </w:rPr>
            <w:t>kontrolės komisijos</w:t>
          </w:r>
        </w:p>
        <w:p>
          <w:pPr>
            <w:keepLines/>
            <w:tabs>
              <w:tab w:val="left" w:pos="1304"/>
              <w:tab w:val="left" w:pos="1457"/>
              <w:tab w:val="left" w:pos="1604"/>
              <w:tab w:val="left" w:pos="1757"/>
            </w:tabs>
            <w:suppressAutoHyphens/>
            <w:ind w:left="5954"/>
            <w:textAlignment w:val="center"/>
            <w:rPr>
              <w:szCs w:val="24"/>
            </w:rPr>
          </w:pPr>
          <w:r>
            <w:rPr>
              <w:szCs w:val="24"/>
            </w:rPr>
            <w:t>2015 m. sausio 15 d. nutarimu</w:t>
          </w:r>
        </w:p>
        <w:p>
          <w:pPr>
            <w:keepLines/>
            <w:tabs>
              <w:tab w:val="left" w:pos="1304"/>
              <w:tab w:val="left" w:pos="1457"/>
              <w:tab w:val="left" w:pos="1604"/>
              <w:tab w:val="left" w:pos="1757"/>
            </w:tabs>
            <w:suppressAutoHyphens/>
            <w:ind w:left="5954"/>
            <w:textAlignment w:val="center"/>
            <w:rPr>
              <w:szCs w:val="24"/>
            </w:rPr>
          </w:pPr>
          <w:r>
            <w:rPr>
              <w:szCs w:val="24"/>
            </w:rPr>
            <w:t>Nr. O3-3</w:t>
          </w:r>
        </w:p>
        <w:p>
          <w:pPr>
            <w:suppressAutoHyphens/>
            <w:jc w:val="center"/>
            <w:textAlignment w:val="center"/>
            <w:rPr>
              <w:szCs w:val="24"/>
            </w:rPr>
          </w:pPr>
        </w:p>
        <w:p>
          <w:pPr>
            <w:keepLines/>
            <w:tabs>
              <w:tab w:val="left" w:pos="1304"/>
              <w:tab w:val="left" w:pos="1457"/>
              <w:tab w:val="left" w:pos="1604"/>
              <w:tab w:val="left" w:pos="1757"/>
              <w:tab w:val="left" w:pos="2835"/>
            </w:tabs>
            <w:suppressAutoHyphens/>
            <w:jc w:val="center"/>
            <w:textAlignment w:val="center"/>
            <w:rPr>
              <w:szCs w:val="24"/>
            </w:rPr>
          </w:pPr>
        </w:p>
        <w:p>
          <w:pPr>
            <w:tabs>
              <w:tab w:val="left" w:pos="2835"/>
            </w:tabs>
            <w:suppressAutoHyphens/>
            <w:jc w:val="center"/>
            <w:textAlignment w:val="center"/>
            <w:rPr>
              <w:b/>
              <w:caps/>
              <w:szCs w:val="24"/>
            </w:rPr>
          </w:pPr>
          <w:sdt>
            <w:sdtPr>
              <w:alias w:val="Pavadinimas"/>
              <w:tag w:val="title_0c3e461b46324d0389d92e0d14fe39d8"/>
              <w:lock w:val="sdtLocked"/>
              <w:richText/>
            </w:sdtPr>
            <w:sdtContent>
              <w:r>
                <w:rPr>
                  <w:b/>
                  <w:szCs w:val="24"/>
                </w:rPr>
                <w:t>E</w:t>
              </w:r>
              <w:r>
                <w:rPr>
                  <w:b/>
                  <w:caps/>
                  <w:szCs w:val="24"/>
                </w:rPr>
                <w:t>lektros energijos perdavimo, skirstymo ir visuomeninio tiekimo paslaugų bei visuomeninės kainos viršutinės ribos nustatymo metodikA</w:t>
              </w:r>
            </w:sdtContent>
          </w:sdt>
        </w:p>
        <w:p>
          <w:pPr>
            <w:tabs>
              <w:tab w:val="left" w:pos="2835"/>
            </w:tabs>
            <w:suppressAutoHyphens/>
            <w:jc w:val="center"/>
            <w:textAlignment w:val="center"/>
            <w:rPr>
              <w:b/>
              <w:bCs/>
              <w:szCs w:val="24"/>
            </w:rPr>
          </w:pPr>
        </w:p>
        <w:p>
          <w:pPr>
            <w:tabs>
              <w:tab w:val="left" w:pos="2835"/>
            </w:tabs>
            <w:suppressAutoHyphens/>
            <w:jc w:val="center"/>
            <w:textAlignment w:val="center"/>
            <w:rPr>
              <w:b/>
              <w:bCs/>
              <w:szCs w:val="24"/>
            </w:rPr>
          </w:pPr>
        </w:p>
        <w:sdt>
          <w:sdtPr>
            <w:alias w:val="skyrius"/>
            <w:tag w:val="part_6a3ae0d30f3c45c782bca9fa08a4d9df"/>
            <w:lock w:val="sdtLocked"/>
            <w:richText/>
          </w:sdtPr>
          <w:sdtContent>
            <w:p>
              <w:pPr>
                <w:keepLines/>
                <w:tabs>
                  <w:tab w:val="left" w:pos="2835"/>
                </w:tabs>
                <w:suppressAutoHyphens/>
                <w:jc w:val="center"/>
                <w:textAlignment w:val="center"/>
                <w:rPr>
                  <w:b/>
                  <w:bCs/>
                  <w:caps/>
                  <w:szCs w:val="24"/>
                </w:rPr>
              </w:pPr>
              <w:sdt>
                <w:sdtPr>
                  <w:alias w:val="Numeris"/>
                  <w:tag w:val="nr_6a3ae0d30f3c45c782bca9fa08a4d9df"/>
                  <w:lock w:val="sdtLocked"/>
                  <w:richText/>
                </w:sdtPr>
                <w:sdtContent>
                  <w:r>
                    <w:rPr>
                      <w:b/>
                      <w:bCs/>
                      <w:caps/>
                      <w:szCs w:val="24"/>
                    </w:rPr>
                    <w:t>I</w:t>
                  </w:r>
                </w:sdtContent>
              </w:sdt>
              <w:r>
                <w:rPr>
                  <w:b/>
                  <w:bCs/>
                  <w:caps/>
                  <w:szCs w:val="24"/>
                </w:rPr>
                <w:t xml:space="preserve"> SKYRIUS</w:t>
              </w:r>
            </w:p>
            <w:p>
              <w:pPr>
                <w:keepLines/>
                <w:tabs>
                  <w:tab w:val="left" w:pos="2835"/>
                </w:tabs>
                <w:suppressAutoHyphens/>
                <w:jc w:val="center"/>
                <w:textAlignment w:val="center"/>
                <w:rPr>
                  <w:b/>
                  <w:bCs/>
                  <w:caps/>
                  <w:strike/>
                  <w:szCs w:val="24"/>
                </w:rPr>
              </w:pPr>
              <w:sdt>
                <w:sdtPr>
                  <w:alias w:val="Pavadinimas"/>
                  <w:tag w:val="title_6a3ae0d30f3c45c782bca9fa08a4d9df"/>
                  <w:lock w:val="sdtLocked"/>
                  <w:richText/>
                </w:sdtPr>
                <w:sdtContent>
                  <w:r>
                    <w:rPr>
                      <w:b/>
                      <w:bCs/>
                      <w:caps/>
                      <w:szCs w:val="24"/>
                    </w:rPr>
                    <w:t>Bendrosios nuostatos</w:t>
                  </w:r>
                </w:sdtContent>
              </w:sdt>
            </w:p>
            <w:p>
              <w:pPr>
                <w:tabs>
                  <w:tab w:val="left" w:pos="1134"/>
                </w:tabs>
                <w:suppressAutoHyphens/>
                <w:jc w:val="center"/>
                <w:textAlignment w:val="center"/>
                <w:rPr>
                  <w:szCs w:val="24"/>
                </w:rPr>
              </w:pPr>
            </w:p>
            <w:p>
              <w:pPr>
                <w:tabs>
                  <w:tab w:val="left" w:pos="1134"/>
                </w:tabs>
                <w:suppressAutoHyphens/>
                <w:jc w:val="center"/>
                <w:textAlignment w:val="center"/>
                <w:rPr>
                  <w:szCs w:val="24"/>
                </w:rPr>
              </w:pPr>
            </w:p>
            <w:sdt>
              <w:sdtPr>
                <w:alias w:val="1 p."/>
                <w:tag w:val="part_dcc34cffce9d4cfcbad5b1f5d26a5728"/>
                <w:lock w:val="sdtLocked"/>
                <w:richText/>
              </w:sdtPr>
              <w:sdtContent>
                <w:p>
                  <w:pPr>
                    <w:tabs>
                      <w:tab w:val="left" w:pos="993"/>
                    </w:tabs>
                    <w:suppressAutoHyphens/>
                    <w:ind w:firstLine="709"/>
                    <w:jc w:val="both"/>
                    <w:textAlignment w:val="center"/>
                    <w:rPr>
                      <w:szCs w:val="24"/>
                    </w:rPr>
                  </w:pPr>
                  <w:sdt>
                    <w:sdtPr>
                      <w:alias w:val="Numeris"/>
                      <w:tag w:val="nr_dcc34cffce9d4cfcbad5b1f5d26a5728"/>
                      <w:lock w:val="sdtLocked"/>
                      <w:richText/>
                    </w:sdtPr>
                    <w:sdtContent>
                      <w:r>
                        <w:rPr>
                          <w:szCs w:val="24"/>
                        </w:rPr>
                        <w:t>1</w:t>
                      </w:r>
                    </w:sdtContent>
                  </w:sdt>
                  <w:r>
                    <w:rPr>
                      <w:szCs w:val="24"/>
                    </w:rPr>
                    <w:t>. Elektros energijos perdavimo, skirstymo ir visuomeninio tiekimo paslaugų bei visuomeninės kainos viršutinės ribos nustatymo metodika (toliau – Metodika) reglamentuoja elektros energetikos įmonių (toliau – Įmonė) reguliuojamų paslaugų ir (ar) produktų kainų viršutinių ribų ir konkrečių kainų nustatymą, kai reguliuojamų kainų paslaugos ir (ar) produktai patenka į:</w:t>
                  </w:r>
                </w:p>
                <w:sdt>
                  <w:sdtPr>
                    <w:alias w:val="1.1 p."/>
                    <w:tag w:val="part_a9404ff43515478ca6c1fd8c1035fd13"/>
                    <w:lock w:val="sdtLocked"/>
                    <w:richText/>
                  </w:sdtPr>
                  <w:sdtContent>
                    <w:p>
                      <w:pPr>
                        <w:tabs>
                          <w:tab w:val="left" w:pos="1134"/>
                        </w:tabs>
                        <w:ind w:firstLine="709"/>
                        <w:jc w:val="both"/>
                        <w:rPr>
                          <w:szCs w:val="24"/>
                        </w:rPr>
                      </w:pPr>
                      <w:sdt>
                        <w:sdtPr>
                          <w:alias w:val="Numeris"/>
                          <w:tag w:val="nr_a9404ff43515478ca6c1fd8c1035fd13"/>
                          <w:lock w:val="sdtLocked"/>
                          <w:richText/>
                        </w:sdtPr>
                        <w:sdtContent>
                          <w:r>
                            <w:rPr>
                              <w:szCs w:val="24"/>
                            </w:rPr>
                            <w:t>1.1</w:t>
                          </w:r>
                        </w:sdtContent>
                      </w:sdt>
                      <w:r>
                        <w:rPr>
                          <w:szCs w:val="24"/>
                        </w:rPr>
                        <w:t>. elektros energijos perdavimo veiklos verslo vienetą;</w:t>
                      </w:r>
                    </w:p>
                  </w:sdtContent>
                </w:sdt>
                <w:sdt>
                  <w:sdtPr>
                    <w:alias w:val="1.2 p."/>
                    <w:tag w:val="part_fd0f45cb0e2c4baf960b4cdff3203db7"/>
                    <w:lock w:val="sdtLocked"/>
                    <w:richText/>
                  </w:sdtPr>
                  <w:sdtContent>
                    <w:p>
                      <w:pPr>
                        <w:tabs>
                          <w:tab w:val="left" w:pos="1134"/>
                        </w:tabs>
                        <w:ind w:firstLine="709"/>
                        <w:jc w:val="both"/>
                        <w:rPr>
                          <w:szCs w:val="24"/>
                        </w:rPr>
                      </w:pPr>
                      <w:sdt>
                        <w:sdtPr>
                          <w:alias w:val="Numeris"/>
                          <w:tag w:val="nr_fd0f45cb0e2c4baf960b4cdff3203db7"/>
                          <w:lock w:val="sdtLocked"/>
                          <w:richText/>
                        </w:sdtPr>
                        <w:sdtContent>
                          <w:r>
                            <w:rPr>
                              <w:szCs w:val="24"/>
                            </w:rPr>
                            <w:t>1.2</w:t>
                          </w:r>
                        </w:sdtContent>
                      </w:sdt>
                      <w:r>
                        <w:rPr>
                          <w:szCs w:val="24"/>
                        </w:rPr>
                        <w:t>. elektros energijos skirstymo veiklos įmonių, kurių veiklos teritorijoje esančių vartotojų skaičius didesnis nei 100 tūkstančių, verslo vienetą;</w:t>
                      </w:r>
                    </w:p>
                  </w:sdtContent>
                </w:sdt>
                <w:sdt>
                  <w:sdtPr>
                    <w:alias w:val="1.3 p."/>
                    <w:tag w:val="part_c7f6f8133f9c427ebbc7d6abf41656d7"/>
                    <w:lock w:val="sdtLocked"/>
                    <w:richText/>
                  </w:sdtPr>
                  <w:sdtContent>
                    <w:p>
                      <w:pPr>
                        <w:tabs>
                          <w:tab w:val="left" w:pos="1134"/>
                        </w:tabs>
                        <w:ind w:firstLine="709"/>
                        <w:jc w:val="both"/>
                        <w:rPr>
                          <w:szCs w:val="24"/>
                        </w:rPr>
                      </w:pPr>
                      <w:sdt>
                        <w:sdtPr>
                          <w:alias w:val="Numeris"/>
                          <w:tag w:val="nr_c7f6f8133f9c427ebbc7d6abf41656d7"/>
                          <w:lock w:val="sdtLocked"/>
                          <w:richText/>
                        </w:sdtPr>
                        <w:sdtContent>
                          <w:r>
                            <w:rPr>
                              <w:szCs w:val="24"/>
                            </w:rPr>
                            <w:t>1.3</w:t>
                          </w:r>
                        </w:sdtContent>
                      </w:sdt>
                      <w:r>
                        <w:rPr>
                          <w:szCs w:val="24"/>
                        </w:rPr>
                        <w:t>. elektros energijos visuomeninio tiekimo veiklos verslo vienetą;</w:t>
                      </w:r>
                    </w:p>
                  </w:sdtContent>
                </w:sdt>
                <w:sdt>
                  <w:sdtPr>
                    <w:alias w:val="1.4 p."/>
                    <w:tag w:val="part_5d7450eb6e8e469996750ce1dab478f8"/>
                    <w:lock w:val="sdtLocked"/>
                    <w:richText/>
                  </w:sdtPr>
                  <w:sdtContent>
                    <w:p>
                      <w:pPr>
                        <w:tabs>
                          <w:tab w:val="left" w:pos="1134"/>
                        </w:tabs>
                        <w:ind w:firstLine="709"/>
                        <w:jc w:val="both"/>
                        <w:rPr>
                          <w:szCs w:val="24"/>
                        </w:rPr>
                      </w:pPr>
                      <w:sdt>
                        <w:sdtPr>
                          <w:alias w:val="Numeris"/>
                          <w:tag w:val="nr_5d7450eb6e8e469996750ce1dab478f8"/>
                          <w:lock w:val="sdtLocked"/>
                          <w:richText/>
                        </w:sdtPr>
                        <w:sdtContent>
                          <w:r>
                            <w:rPr>
                              <w:szCs w:val="24"/>
                            </w:rPr>
                            <w:t>1.4</w:t>
                          </w:r>
                        </w:sdtContent>
                      </w:sdt>
                      <w:r>
                        <w:rPr>
                          <w:szCs w:val="24"/>
                        </w:rPr>
                        <w:t>. elektros energijos skirstymo veiklos įmonių, kurių veiklos teritorijoje esančių vartotojų skaičius mažesnis nei 100 tūkstančių,</w:t>
                      </w:r>
                      <w:r>
                        <w:rPr>
                          <w:b/>
                          <w:szCs w:val="24"/>
                        </w:rPr>
                        <w:t xml:space="preserve"> </w:t>
                      </w:r>
                      <w:r>
                        <w:rPr>
                          <w:szCs w:val="24"/>
                        </w:rPr>
                        <w:t>verslo vienetą;</w:t>
                      </w:r>
                    </w:p>
                  </w:sdtContent>
                </w:sdt>
              </w:sdtContent>
            </w:sdt>
            <w:sdt>
              <w:sdtPr>
                <w:alias w:val="2 p."/>
                <w:tag w:val="part_6b92513673174e7793902e11448fa4c7"/>
                <w:lock w:val="sdtLocked"/>
                <w:richText/>
              </w:sdtPr>
              <w:sdtContent>
                <w:p>
                  <w:pPr>
                    <w:tabs>
                      <w:tab w:val="left" w:pos="993"/>
                    </w:tabs>
                    <w:suppressAutoHyphens/>
                    <w:ind w:firstLine="709"/>
                    <w:jc w:val="both"/>
                    <w:textAlignment w:val="center"/>
                    <w:rPr>
                      <w:szCs w:val="24"/>
                    </w:rPr>
                  </w:pPr>
                  <w:sdt>
                    <w:sdtPr>
                      <w:alias w:val="Numeris"/>
                      <w:tag w:val="nr_6b92513673174e7793902e11448fa4c7"/>
                      <w:lock w:val="sdtLocked"/>
                      <w:richText/>
                    </w:sdtPr>
                    <w:sdtContent>
                      <w:r>
                        <w:rPr>
                          <w:szCs w:val="24"/>
                        </w:rPr>
                        <w:t>2</w:t>
                      </w:r>
                    </w:sdtContent>
                  </w:sdt>
                  <w:r>
                    <w:rPr>
                      <w:szCs w:val="24"/>
                    </w:rPr>
                    <w:t>. Metodikos tikslas – nustatyti skaidrius, objektyvius, nediskriminuojančius principus ir konkrečius skaičiavimo metodus kainų viršutinėms riboms ir konkrečioms kainoms nustatyti.</w:t>
                  </w:r>
                </w:p>
              </w:sdtContent>
            </w:sdt>
            <w:sdt>
              <w:sdtPr>
                <w:alias w:val="3 p."/>
                <w:tag w:val="part_2a6aff355b0144f79a544d35c4c6550c"/>
                <w:lock w:val="sdtLocked"/>
                <w:richText/>
              </w:sdtPr>
              <w:sdtContent>
                <w:p>
                  <w:pPr>
                    <w:ind w:firstLine="709"/>
                    <w:jc w:val="both"/>
                    <w:rPr>
                      <w:color w:val="000000"/>
                      <w:szCs w:val="24"/>
                      <w:lang w:eastAsia="lt-LT"/>
                    </w:rPr>
                  </w:pPr>
                  <w:sdt>
                    <w:sdtPr>
                      <w:alias w:val="Numeris"/>
                      <w:tag w:val="nr_2a6aff355b0144f79a544d35c4c6550c"/>
                      <w:lock w:val="sdtLocked"/>
                      <w:richText/>
                    </w:sdtPr>
                    <w:sdtContent>
                      <w:r>
                        <w:rPr>
                          <w:color w:val="000000"/>
                          <w:szCs w:val="24"/>
                          <w:lang w:eastAsia="lt-LT"/>
                        </w:rPr>
                        <w:t>3</w:t>
                      </w:r>
                    </w:sdtContent>
                  </w:sdt>
                  <w:r>
                    <w:rPr>
                      <w:color w:val="000000"/>
                      <w:szCs w:val="24"/>
                      <w:lang w:eastAsia="lt-LT"/>
                    </w:rPr>
                    <w:t>. Metodika parengta vadovaujantis Lietuvos Respublikos energetikos įstatymu, Lietuvos Respublikos elektros energetikos įstatymu, Elektros energijos perdavimo sistemos operatoriaus teikiamų paslaugų ir elektros energijos skirstomųjų tinklų operatoriaus teikiamų paslaugų ilgo laikotarpio vidutinių padidėjimo sąnaudų (LRAIC) apskaitos modelio formavimo metodinėmis gairėmis, patvirtintomis Valstybinės kainų ir energetikos kontrolės komisijos (toliau – Komisija ar Reguliuojančioji institucija) 2013 m. liepos 5 d. nutarimu Nr. O3-287 „Dėl Elektros energijos perdavimo sistemos operatoriaus teikiamų paslaugų ir elektros energijos skirstomųjų tinklų operatoriaus teikiamų paslaugų ilgo laikotarpio vidutinių padidėjimo sąnaudų (LRAIC) apskaitos modelio formavimo metodinių gairių“, Elektros energijos perdavimo sistemos operatoriaus teikiamų paslaugų ir elektros energijos skirstomųjų tinklų operatoriaus teikiamų paslaugų ilgo laikotarpio vidutinių padidėjimo sąnaudų (LRAIC) techninio-technologinio ir ekonominio modelio tinkluose gairėmis, patvirtintomis Komisijos 2013 m. gruodžio 27 d. nutarimu Nr. O3-755 „Dėl Elektros energijos perdavimo sistemos operatoriaus teikiamų paslaugų ir elektros energijos skirstomųjų tinklų operatoriaus teikiamų paslaugų ilgo laikotarpio vidutinių padidėjimo sąnaudų (LRAIC) techninio-technologinio ir ekonominio modelio tinkluose gairių ir LRAIC modelio“, Lietuvos Respublikos Vyriausybės nutarimais, kitais Lietuvos Respublikos ir Europos Sąjungos teisės aktų reikalavimais.</w:t>
                  </w:r>
                </w:p>
                <w:p>
                  <w:pPr>
                    <w:jc w:val="both"/>
                    <w:rPr>
                      <w:i/>
                      <w:sz w:val="20"/>
                    </w:rPr>
                  </w:pPr>
                  <w:r>
                    <w:rPr>
                      <w:b/>
                      <w:i/>
                      <w:color w:val="000000"/>
                      <w:sz w:val="20"/>
                      <w:lang w:eastAsia="lt-LT"/>
                    </w:rPr>
                    <w:t>TAR pastaba.</w:t>
                  </w:r>
                  <w:r>
                    <w:rPr>
                      <w:i/>
                      <w:color w:val="000000"/>
                      <w:sz w:val="20"/>
                      <w:lang w:eastAsia="lt-LT"/>
                    </w:rPr>
                    <w:t xml:space="preserve"> 3 punkto nuostatos </w:t>
                  </w:r>
                  <w:r>
                    <w:rPr>
                      <w:bCs/>
                      <w:i/>
                      <w:color w:val="000000"/>
                      <w:sz w:val="20"/>
                      <w:lang w:eastAsia="lt-LT"/>
                    </w:rPr>
                    <w:t>taikomos nustatant arba koreguojant 2020 metų ir vėlesnių laikotarpių elektros energijos perdavimo, skirstymo ir visuomeninio tiekimo paslaugų bei visuomeninės kainos viršutines ribas.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2bc050eb6011e99681cd81dcdca52c">
                    <w:r w:rsidRPr="00532B9F">
                      <w:rPr>
                        <w:rFonts w:ascii="Times New Roman" w:eastAsia="MS Mincho" w:hAnsi="Times New Roman"/>
                        <w:sz w:val="20"/>
                        <w:i/>
                        <w:iCs/>
                        <w:color w:val="0000FF" w:themeColor="hyperlink"/>
                        <w:u w:val="single"/>
                      </w:rPr>
                      <w:t>O3E-548</w:t>
                    </w:r>
                  </w:fldSimple>
                  <w:r>
                    <w:rPr>
                      <w:rFonts w:ascii="Times New Roman" w:eastAsia="MS Mincho" w:hAnsi="Times New Roman"/>
                      <w:sz w:val="20"/>
                      <w:i/>
                      <w:iCs/>
                    </w:rPr>
                    <w:t>,
2019-10-10,
paskelbta TAR 2019-10-10, i. k. 2019-16169            </w:t>
                  </w:r>
                </w:p>
                <w:p/>
              </w:sdtContent>
            </w:sdt>
            <w:sdt>
              <w:sdtPr>
                <w:alias w:val="4 p."/>
                <w:tag w:val="part_88b02b93544a49a38568cda023dd0d82"/>
                <w:lock w:val="sdtLocked"/>
                <w:richText/>
              </w:sdtPr>
              <w:sdtContent>
                <w:p>
                  <w:pPr>
                    <w:tabs>
                      <w:tab w:val="left" w:pos="993"/>
                    </w:tabs>
                    <w:suppressAutoHyphens/>
                    <w:ind w:firstLine="709"/>
                    <w:jc w:val="both"/>
                    <w:textAlignment w:val="center"/>
                    <w:rPr>
                      <w:szCs w:val="24"/>
                    </w:rPr>
                  </w:pPr>
                  <w:sdt>
                    <w:sdtPr>
                      <w:alias w:val="Numeris"/>
                      <w:tag w:val="nr_88b02b93544a49a38568cda023dd0d82"/>
                      <w:lock w:val="sdtLocked"/>
                      <w:richText/>
                    </w:sdtPr>
                    <w:sdtContent>
                      <w:r>
                        <w:rPr>
                          <w:szCs w:val="24"/>
                        </w:rPr>
                        <w:t>4</w:t>
                      </w:r>
                    </w:sdtContent>
                  </w:sdt>
                  <w:r>
                    <w:rPr>
                      <w:szCs w:val="24"/>
                    </w:rPr>
                    <w:t>. Metodikoje vartojamos sąvokos:</w:t>
                  </w:r>
                </w:p>
                <w:p>
                  <w:pPr>
                    <w:tabs>
                      <w:tab w:val="left" w:pos="993"/>
                    </w:tabs>
                    <w:suppressAutoHyphens/>
                    <w:ind w:firstLine="709"/>
                    <w:jc w:val="both"/>
                    <w:textAlignment w:val="center"/>
                    <w:rPr>
                      <w:szCs w:val="24"/>
                    </w:rPr>
                  </w:pPr>
                  <w:r>
                    <w:rPr>
                      <w:b/>
                      <w:szCs w:val="24"/>
                    </w:rPr>
                    <w:t>Elektros energijos tranzitas</w:t>
                  </w:r>
                  <w:r>
                    <w:rPr>
                      <w:szCs w:val="24"/>
                    </w:rPr>
                    <w:t xml:space="preserve"> – elektros energijos, pagamintos valstybės, kuri nėra Europos Sąjungos narė, teritorijoje ir skirtos</w:t>
                  </w:r>
                  <w:r>
                    <w:rPr>
                      <w:b/>
                      <w:szCs w:val="24"/>
                    </w:rPr>
                    <w:t xml:space="preserve"> </w:t>
                  </w:r>
                  <w:r>
                    <w:rPr>
                      <w:szCs w:val="24"/>
                    </w:rPr>
                    <w:t>tos ir (ar)</w:t>
                  </w:r>
                  <w:r>
                    <w:rPr>
                      <w:b/>
                      <w:szCs w:val="24"/>
                    </w:rPr>
                    <w:t xml:space="preserve"> </w:t>
                  </w:r>
                  <w:r>
                    <w:rPr>
                      <w:szCs w:val="24"/>
                    </w:rPr>
                    <w:t>kitos valstybės, kuri nėra Europos Sąjungos narė teritorijai, transportavimas per šalies teritoriją.</w:t>
                  </w:r>
                </w:p>
                <w:p>
                  <w:pPr>
                    <w:tabs>
                      <w:tab w:val="num" w:pos="1211"/>
                      <w:tab w:val="left" w:pos="1843"/>
                    </w:tabs>
                    <w:ind w:firstLine="709"/>
                    <w:jc w:val="both"/>
                    <w:rPr>
                      <w:szCs w:val="24"/>
                    </w:rPr>
                  </w:pPr>
                  <w:r>
                    <w:rPr>
                      <w:b/>
                      <w:szCs w:val="24"/>
                    </w:rPr>
                    <w:t>Kainos viršutinė riba</w:t>
                  </w:r>
                  <w:r>
                    <w:rPr>
                      <w:szCs w:val="24"/>
                    </w:rPr>
                    <w:t xml:space="preserve"> – Įmonės atitinkamos reguliuojamos paslaugos kaštų bei investicijų grąžos sumos ir atitinkamos reguliuojamos veiklos elektros energijos kiekio santykis, kuris ne dažniau kaip du kartus per metus gali būti koreguojamas, kai yra vieno ar kelių veiksnių, kuriais remiantis buvo nustatytos viršutinės kainų ribos, reikšmingų pokyčių, įskaitant paslaugų apimties, infliacijos, mokesčių, kitų objektyvių (nuo Įmonės nepriklausančių) veiksnių pokytį.</w:t>
                  </w:r>
                </w:p>
                <w:p>
                  <w:pPr>
                    <w:tabs>
                      <w:tab w:val="left" w:pos="1843"/>
                    </w:tabs>
                    <w:suppressAutoHyphens/>
                    <w:ind w:firstLine="709"/>
                    <w:jc w:val="both"/>
                    <w:textAlignment w:val="center"/>
                    <w:rPr>
                      <w:szCs w:val="24"/>
                    </w:rPr>
                  </w:pPr>
                  <w:r>
                    <w:rPr>
                      <w:b/>
                      <w:szCs w:val="24"/>
                    </w:rPr>
                    <w:t>Nekoreguotos leistinos pajamos</w:t>
                  </w:r>
                  <w:r>
                    <w:rPr>
                      <w:szCs w:val="24"/>
                    </w:rPr>
                    <w:t xml:space="preserve"> – pajamos, apskaičiuojamos naudojant Ilgo laikotarpio vidutinių padidėjimo sąnaudų (LRAIC) modelį, kuris sumodeliuoja tinklą, atsižvelgiant į būsimą elektros energijos paklausą bei įvertinus visas verslo vieneto teikiamas paslaugas.</w:t>
                  </w:r>
                </w:p>
                <w:p>
                  <w:pPr>
                    <w:tabs>
                      <w:tab w:val="left" w:pos="1843"/>
                    </w:tabs>
                    <w:suppressAutoHyphens/>
                    <w:ind w:firstLine="709"/>
                    <w:jc w:val="both"/>
                    <w:textAlignment w:val="center"/>
                    <w:rPr>
                      <w:szCs w:val="24"/>
                    </w:rPr>
                  </w:pPr>
                  <w:r>
                    <w:rPr>
                      <w:szCs w:val="24"/>
                    </w:rPr>
                    <w:t>Kitos Metodikoje vartojamos sąvokos suprantamos taip, kaip jos apibrėžtos energetikos veiklą reglamentuojančiuose įstatymuose ir Verslo apskaitos standartuose.</w:t>
                  </w:r>
                </w:p>
                <w:p>
                  <w:pPr>
                    <w:tabs>
                      <w:tab w:val="left" w:pos="1418"/>
                      <w:tab w:val="left" w:pos="1843"/>
                    </w:tabs>
                    <w:suppressAutoHyphens/>
                    <w:ind w:firstLine="709"/>
                    <w:jc w:val="both"/>
                    <w:textAlignment w:val="center"/>
                    <w:rPr>
                      <w:szCs w:val="24"/>
                    </w:rPr>
                  </w:pPr>
                </w:p>
                <w:p>
                  <w:pPr>
                    <w:tabs>
                      <w:tab w:val="left" w:pos="1418"/>
                      <w:tab w:val="left" w:pos="1843"/>
                    </w:tabs>
                    <w:suppressAutoHyphens/>
                    <w:ind w:firstLine="709"/>
                    <w:jc w:val="both"/>
                    <w:textAlignment w:val="center"/>
                    <w:rPr>
                      <w:szCs w:val="24"/>
                    </w:rPr>
                  </w:pPr>
                </w:p>
              </w:sdtContent>
            </w:sdt>
          </w:sdtContent>
        </w:sdt>
        <w:sdt>
          <w:sdtPr>
            <w:alias w:val="skyrius"/>
            <w:tag w:val="part_a27c18789a0f46058ae6975ffc242403"/>
            <w:lock w:val="sdtLocked"/>
            <w:richText/>
          </w:sdtPr>
          <w:sdtContent>
            <w:p>
              <w:pPr>
                <w:tabs>
                  <w:tab w:val="left" w:pos="1843"/>
                </w:tabs>
                <w:suppressAutoHyphens/>
                <w:jc w:val="center"/>
                <w:textAlignment w:val="center"/>
                <w:rPr>
                  <w:b/>
                  <w:szCs w:val="24"/>
                </w:rPr>
              </w:pPr>
              <w:sdt>
                <w:sdtPr>
                  <w:alias w:val="Numeris"/>
                  <w:tag w:val="nr_a27c18789a0f46058ae6975ffc242403"/>
                  <w:lock w:val="sdtLocked"/>
                  <w:richText/>
                </w:sdtPr>
                <w:sdtContent>
                  <w:r>
                    <w:rPr>
                      <w:b/>
                      <w:szCs w:val="24"/>
                    </w:rPr>
                    <w:t>II</w:t>
                  </w:r>
                </w:sdtContent>
              </w:sdt>
              <w:r>
                <w:rPr>
                  <w:b/>
                  <w:szCs w:val="24"/>
                </w:rPr>
                <w:t xml:space="preserve"> SKYRIUS</w:t>
              </w:r>
            </w:p>
            <w:p>
              <w:pPr>
                <w:tabs>
                  <w:tab w:val="left" w:pos="1843"/>
                </w:tabs>
                <w:suppressAutoHyphens/>
                <w:jc w:val="center"/>
                <w:textAlignment w:val="center"/>
                <w:rPr>
                  <w:b/>
                  <w:szCs w:val="24"/>
                </w:rPr>
              </w:pPr>
              <w:sdt>
                <w:sdtPr>
                  <w:alias w:val="Pavadinimas"/>
                  <w:tag w:val="title_a27c18789a0f46058ae6975ffc242403"/>
                  <w:lock w:val="sdtLocked"/>
                  <w:richText/>
                </w:sdtPr>
                <w:sdtContent>
                  <w:r>
                    <w:rPr>
                      <w:b/>
                      <w:szCs w:val="24"/>
                    </w:rPr>
                    <w:t>ELEKTROS ENERGETIKOS SEKTORIAUS KAINODAROS TAISYKLĖS</w:t>
                  </w:r>
                </w:sdtContent>
              </w:sdt>
            </w:p>
            <w:p>
              <w:pPr>
                <w:tabs>
                  <w:tab w:val="left" w:pos="1843"/>
                </w:tabs>
                <w:suppressAutoHyphens/>
                <w:jc w:val="center"/>
                <w:textAlignment w:val="center"/>
                <w:rPr>
                  <w:b/>
                  <w:szCs w:val="24"/>
                </w:rPr>
              </w:pPr>
            </w:p>
            <w:p>
              <w:pPr>
                <w:tabs>
                  <w:tab w:val="left" w:pos="1843"/>
                </w:tabs>
                <w:suppressAutoHyphens/>
                <w:jc w:val="center"/>
                <w:textAlignment w:val="center"/>
                <w:rPr>
                  <w:b/>
                  <w:szCs w:val="24"/>
                </w:rPr>
              </w:pPr>
            </w:p>
            <w:sdt>
              <w:sdtPr>
                <w:alias w:val="5 p."/>
                <w:tag w:val="part_019ad8481cd04f7e958ade9b86cfddad"/>
                <w:lock w:val="sdtLocked"/>
                <w:richText/>
              </w:sdtPr>
              <w:sdtContent>
                <w:p>
                  <w:pPr>
                    <w:widowControl w:val="0"/>
                    <w:tabs>
                      <w:tab w:val="left" w:pos="900"/>
                    </w:tabs>
                    <w:ind w:firstLine="709"/>
                    <w:jc w:val="both"/>
                    <w:rPr>
                      <w:szCs w:val="24"/>
                    </w:rPr>
                  </w:pPr>
                  <w:sdt>
                    <w:sdtPr>
                      <w:alias w:val="Numeris"/>
                      <w:tag w:val="nr_019ad8481cd04f7e958ade9b86cfddad"/>
                      <w:lock w:val="sdtLocked"/>
                      <w:richText/>
                    </w:sdtPr>
                    <w:sdtContent>
                      <w:r>
                        <w:rPr>
                          <w:szCs w:val="24"/>
                        </w:rPr>
                        <w:t>5</w:t>
                      </w:r>
                    </w:sdtContent>
                  </w:sdt>
                  <w:r>
                    <w:rPr>
                      <w:szCs w:val="24"/>
                    </w:rPr>
                    <w:t>. Reguliuojamų paslaugų kainų viršutinės ribos:</w:t>
                  </w:r>
                </w:p>
                <w:sdt>
                  <w:sdtPr>
                    <w:alias w:val="5.1 p."/>
                    <w:tag w:val="part_15f8d38010fc445b94ba236940f44ec5"/>
                    <w:lock w:val="sdtLocked"/>
                    <w:richText/>
                  </w:sdtPr>
                  <w:sdtContent>
                    <w:p>
                      <w:pPr>
                        <w:widowControl w:val="0"/>
                        <w:tabs>
                          <w:tab w:val="left" w:pos="142"/>
                          <w:tab w:val="left" w:pos="1134"/>
                        </w:tabs>
                        <w:ind w:firstLine="709"/>
                        <w:jc w:val="both"/>
                        <w:rPr>
                          <w:szCs w:val="24"/>
                        </w:rPr>
                      </w:pPr>
                      <w:sdt>
                        <w:sdtPr>
                          <w:alias w:val="Numeris"/>
                          <w:tag w:val="nr_15f8d38010fc445b94ba236940f44ec5"/>
                          <w:lock w:val="sdtLocked"/>
                          <w:richText/>
                        </w:sdtPr>
                        <w:sdtContent>
                          <w:r>
                            <w:rPr>
                              <w:szCs w:val="24"/>
                            </w:rPr>
                            <w:t>5.1</w:t>
                          </w:r>
                        </w:sdtContent>
                      </w:sdt>
                      <w:r>
                        <w:rPr>
                          <w:szCs w:val="24"/>
                        </w:rPr>
                        <w:t>. nurodytos Metodikos III skyriuje, nustatomos taikant Ilgo laikotarpio vidutinių padidėjimo sąnaudų (LRAIC) modelį (toliau – Modelis), kuris remiasi prielaida, kad ilguoju laikotarpiu elektros energijos perdavimo sistemos operatoriaus ir skirstymo tinklų operatoriaus kaštai yra kintantys, išskyrus reguliuojamų paslaugų kainas, kurios teikiamos Įmonių, savo veiklos teritorijoje yra mažiau nei 100 000 sistemos naudotojų;</w:t>
                      </w:r>
                    </w:p>
                  </w:sdtContent>
                </w:sdt>
                <w:sdt>
                  <w:sdtPr>
                    <w:alias w:val="5.2 p."/>
                    <w:tag w:val="part_024a3355756b413ba326cba1d6fa817f"/>
                    <w:lock w:val="sdtLocked"/>
                    <w:richText/>
                  </w:sdtPr>
                  <w:sdtContent>
                    <w:p>
                      <w:pPr>
                        <w:widowControl w:val="0"/>
                        <w:tabs>
                          <w:tab w:val="left" w:pos="142"/>
                          <w:tab w:val="left" w:pos="1134"/>
                        </w:tabs>
                        <w:ind w:firstLine="709"/>
                        <w:jc w:val="both"/>
                        <w:rPr>
                          <w:szCs w:val="24"/>
                        </w:rPr>
                      </w:pPr>
                      <w:sdt>
                        <w:sdtPr>
                          <w:alias w:val="Numeris"/>
                          <w:tag w:val="nr_024a3355756b413ba326cba1d6fa817f"/>
                          <w:lock w:val="sdtLocked"/>
                          <w:richText/>
                        </w:sdtPr>
                        <w:sdtContent>
                          <w:r>
                            <w:rPr>
                              <w:szCs w:val="24"/>
                            </w:rPr>
                            <w:t>5.2</w:t>
                          </w:r>
                        </w:sdtContent>
                      </w:sdt>
                      <w:r>
                        <w:rPr>
                          <w:szCs w:val="24"/>
                        </w:rPr>
                        <w:t>. nurodytos Metodikos IV ir V skyriuose – nustatomos atsižvelgiant į reguliuojamų kainų paslaugų teikimo ekonomiškai pagrįstus kaštus, įskaitant protingumo kriterijų atitinkančią investicijų grąžą;</w:t>
                      </w:r>
                    </w:p>
                  </w:sdtContent>
                </w:sdt>
                <w:sdt>
                  <w:sdtPr>
                    <w:alias w:val="5.3 p."/>
                    <w:tag w:val="part_3ce99e68b06743fa9aa8f47951e6e431"/>
                    <w:lock w:val="sdtLocked"/>
                    <w:richText/>
                  </w:sdtPr>
                  <w:sdtContent>
                    <w:p>
                      <w:pPr>
                        <w:widowControl w:val="0"/>
                        <w:tabs>
                          <w:tab w:val="left" w:pos="142"/>
                          <w:tab w:val="left" w:pos="1134"/>
                        </w:tabs>
                        <w:ind w:firstLine="709"/>
                        <w:jc w:val="both"/>
                        <w:rPr>
                          <w:szCs w:val="24"/>
                        </w:rPr>
                      </w:pPr>
                      <w:sdt>
                        <w:sdtPr>
                          <w:alias w:val="Numeris"/>
                          <w:tag w:val="nr_3ce99e68b06743fa9aa8f47951e6e431"/>
                          <w:lock w:val="sdtLocked"/>
                          <w:richText/>
                        </w:sdtPr>
                        <w:sdtContent>
                          <w:r>
                            <w:rPr>
                              <w:szCs w:val="24"/>
                            </w:rPr>
                            <w:t>5.3</w:t>
                          </w:r>
                        </w:sdtContent>
                      </w:sdt>
                      <w:r>
                        <w:rPr>
                          <w:szCs w:val="24"/>
                        </w:rPr>
                        <w:t>. nurodytos Metodikos VI skyriuje, nustatomos atsižvelgiant į reguliuojamų paslaugų kainų viršutinių ribų bei Komisijos suderintos elektros energijos įsigijimo kainos buitiniams vartotojams sumą.</w:t>
                      </w:r>
                    </w:p>
                    <w:p>
                      <w:pPr>
                        <w:widowControl w:val="0"/>
                        <w:tabs>
                          <w:tab w:val="left" w:pos="142"/>
                          <w:tab w:val="left" w:pos="993"/>
                        </w:tabs>
                        <w:ind w:left="567"/>
                        <w:jc w:val="center"/>
                        <w:rPr>
                          <w:szCs w:val="24"/>
                        </w:rPr>
                      </w:pPr>
                    </w:p>
                    <w:p>
                      <w:pPr>
                        <w:widowControl w:val="0"/>
                        <w:tabs>
                          <w:tab w:val="left" w:pos="142"/>
                          <w:tab w:val="left" w:pos="993"/>
                        </w:tabs>
                        <w:ind w:left="567"/>
                        <w:jc w:val="center"/>
                        <w:rPr>
                          <w:szCs w:val="24"/>
                        </w:rPr>
                      </w:pPr>
                    </w:p>
                  </w:sdtContent>
                </w:sdt>
              </w:sdtContent>
            </w:sdt>
            <w:sdt>
              <w:sdtPr>
                <w:alias w:val="skirsnis"/>
                <w:tag w:val="part_d69dbd7253de4520a578741e18b5308a"/>
                <w:lock w:val="sdtLocked"/>
                <w:richText/>
              </w:sdtPr>
              <w:sdtContent>
                <w:p>
                  <w:pPr>
                    <w:widowControl w:val="0"/>
                    <w:tabs>
                      <w:tab w:val="left" w:pos="993"/>
                      <w:tab w:val="left" w:pos="1843"/>
                    </w:tabs>
                    <w:jc w:val="center"/>
                    <w:rPr>
                      <w:b/>
                      <w:szCs w:val="24"/>
                    </w:rPr>
                  </w:pPr>
                  <w:sdt>
                    <w:sdtPr>
                      <w:alias w:val="Numeris"/>
                      <w:tag w:val="nr_d69dbd7253de4520a578741e18b5308a"/>
                      <w:lock w:val="sdtLocked"/>
                      <w:richText/>
                    </w:sdtPr>
                    <w:sdtContent>
                      <w:r>
                        <w:rPr>
                          <w:b/>
                          <w:szCs w:val="24"/>
                        </w:rPr>
                        <w:t>PIRMASIS</w:t>
                      </w:r>
                    </w:sdtContent>
                  </w:sdt>
                  <w:r>
                    <w:rPr>
                      <w:b/>
                      <w:szCs w:val="24"/>
                    </w:rPr>
                    <w:t xml:space="preserve"> SKIRSNIS</w:t>
                  </w:r>
                </w:p>
                <w:p>
                  <w:pPr>
                    <w:widowControl w:val="0"/>
                    <w:tabs>
                      <w:tab w:val="left" w:pos="993"/>
                      <w:tab w:val="left" w:pos="1843"/>
                    </w:tabs>
                    <w:jc w:val="center"/>
                    <w:rPr>
                      <w:b/>
                      <w:szCs w:val="24"/>
                    </w:rPr>
                  </w:pPr>
                  <w:sdt>
                    <w:sdtPr>
                      <w:alias w:val="Pavadinimas"/>
                      <w:tag w:val="title_d69dbd7253de4520a578741e18b5308a"/>
                      <w:lock w:val="sdtLocked"/>
                      <w:richText/>
                    </w:sdtPr>
                    <w:sdtContent>
                      <w:r>
                        <w:rPr>
                          <w:b/>
                          <w:szCs w:val="24"/>
                        </w:rPr>
                        <w:t>ĮMONIŲ, BESIVERČIANČIŲ ELEKTROS ENERGIJOS PERDAVIMO, ELEKTROS ENERGIJOS SKIRSTYMO VEIKLA, IŠSKYRUS SKIRSTYMO TINKLŲ ĮMONES, KURIŲ VEIKLOS TERITORIJOJE ESANČIŲ VARTOTOJŲ SKAIČIUS MAŽESNIS NEI 100 TŪKSTANČIŲ, KAINODAROS TAISYKLĖS</w:t>
                      </w:r>
                    </w:sdtContent>
                  </w:sdt>
                </w:p>
                <w:p>
                  <w:pPr>
                    <w:widowControl w:val="0"/>
                    <w:tabs>
                      <w:tab w:val="left" w:pos="993"/>
                      <w:tab w:val="left" w:pos="1843"/>
                    </w:tabs>
                    <w:jc w:val="center"/>
                    <w:rPr>
                      <w:szCs w:val="24"/>
                    </w:rPr>
                  </w:pPr>
                </w:p>
                <w:p>
                  <w:pPr>
                    <w:widowControl w:val="0"/>
                    <w:tabs>
                      <w:tab w:val="left" w:pos="993"/>
                      <w:tab w:val="left" w:pos="1843"/>
                    </w:tabs>
                    <w:jc w:val="center"/>
                    <w:rPr>
                      <w:szCs w:val="24"/>
                    </w:rPr>
                  </w:pPr>
                </w:p>
                <w:sdt>
                  <w:sdtPr>
                    <w:alias w:val="6 p."/>
                    <w:tag w:val="part_6d7974fc9b7b4d4dbe84f950d8863159"/>
                    <w:lock w:val="sdtLocked"/>
                    <w:richText/>
                  </w:sdtPr>
                  <w:sdtContent>
                    <w:p>
                      <w:pPr>
                        <w:tabs>
                          <w:tab w:val="left" w:pos="993"/>
                          <w:tab w:val="left" w:pos="1843"/>
                        </w:tabs>
                        <w:ind w:firstLine="709"/>
                        <w:contextualSpacing/>
                        <w:jc w:val="both"/>
                        <w:rPr>
                          <w:szCs w:val="24"/>
                        </w:rPr>
                      </w:pPr>
                      <w:sdt>
                        <w:sdtPr>
                          <w:alias w:val="Numeris"/>
                          <w:tag w:val="nr_6d7974fc9b7b4d4dbe84f950d8863159"/>
                          <w:lock w:val="sdtLocked"/>
                          <w:richText/>
                        </w:sdtPr>
                        <w:sdtContent>
                          <w:r>
                            <w:rPr>
                              <w:szCs w:val="24"/>
                            </w:rPr>
                            <w:t>6</w:t>
                          </w:r>
                        </w:sdtContent>
                      </w:sdt>
                      <w:r>
                        <w:rPr>
                          <w:szCs w:val="24"/>
                        </w:rPr>
                        <w:t>. Įmonių reguliuojamų paslaugų kainų viršutinės ribos nustatomos 5 metų reguliavimo periodui. Įmonės leistinas metinis pajamų lygis nustatomas susumavus Įmonės ekonomiškai pagrįstus (būtinus) metinius kaštus konkrečiai paslaugai teikti. Reguliuojamiems perdavimo ir skirstymo verslo vieneto kaštams priskiriami ekonomiškai pagrįsti kaštai, būtini Įmonės reguliuojamai veiklai vykdyti. Būtini kaštai suprantami kaip kaštai, kurių nepatyrusi Įmonė negalėtų saugiai ir efektyviai vykdyti reguliuojamos veiklos bei su ja susijusių teisės aktų įpareigojimų. Finansinės-investicinės veiklos kaštai nepriskiriami prie reguliuojamos veiklos kaštų.</w:t>
                      </w:r>
                    </w:p>
                  </w:sdtContent>
                </w:sdt>
                <w:sdt>
                  <w:sdtPr>
                    <w:alias w:val="7 p."/>
                    <w:tag w:val="part_f8fdeb7d5d8f4a62bbd440768f4198c2"/>
                    <w:lock w:val="sdtLocked"/>
                    <w:richText/>
                  </w:sdtPr>
                  <w:sdtContent>
                    <w:p>
                      <w:pPr>
                        <w:tabs>
                          <w:tab w:val="left" w:pos="993"/>
                          <w:tab w:val="left" w:pos="1418"/>
                          <w:tab w:val="left" w:pos="1843"/>
                        </w:tabs>
                        <w:ind w:firstLine="709"/>
                        <w:contextualSpacing/>
                        <w:jc w:val="both"/>
                        <w:rPr>
                          <w:szCs w:val="24"/>
                        </w:rPr>
                      </w:pPr>
                      <w:sdt>
                        <w:sdtPr>
                          <w:alias w:val="Numeris"/>
                          <w:tag w:val="nr_f8fdeb7d5d8f4a62bbd440768f4198c2"/>
                          <w:lock w:val="sdtLocked"/>
                          <w:richText/>
                        </w:sdtPr>
                        <w:sdtContent>
                          <w:r>
                            <w:rPr>
                              <w:szCs w:val="24"/>
                            </w:rPr>
                            <w:t>7</w:t>
                          </w:r>
                        </w:sdtContent>
                      </w:sdt>
                      <w:r>
                        <w:rPr>
                          <w:szCs w:val="24"/>
                        </w:rPr>
                        <w:t>. Ekonomiškai pagrįsti (būtini) metiniai kapitalo kaštai (toliau – Kapitalo kaštai) apskaičiuojami kiekvieniems metams atsižvelgiant į:</w:t>
                      </w:r>
                    </w:p>
                    <w:sdt>
                      <w:sdtPr>
                        <w:alias w:val="7.1 p."/>
                        <w:tag w:val="part_2bd022f385c84e8ea2ba3fe7fa2ce2c2"/>
                        <w:lock w:val="sdtLocked"/>
                        <w:richText/>
                      </w:sdtPr>
                      <w:sdtContent>
                        <w:p>
                          <w:pPr>
                            <w:tabs>
                              <w:tab w:val="left" w:pos="1134"/>
                            </w:tabs>
                            <w:ind w:firstLine="709"/>
                            <w:contextualSpacing/>
                            <w:jc w:val="both"/>
                            <w:rPr>
                              <w:szCs w:val="24"/>
                            </w:rPr>
                          </w:pPr>
                          <w:sdt>
                            <w:sdtPr>
                              <w:alias w:val="Numeris"/>
                              <w:tag w:val="nr_2bd022f385c84e8ea2ba3fe7fa2ce2c2"/>
                              <w:lock w:val="sdtLocked"/>
                              <w:richText/>
                            </w:sdtPr>
                            <w:sdtContent>
                              <w:r>
                                <w:rPr>
                                  <w:szCs w:val="24"/>
                                </w:rPr>
                                <w:t>7.1</w:t>
                              </w:r>
                            </w:sdtContent>
                          </w:sdt>
                          <w:r>
                            <w:rPr>
                              <w:szCs w:val="24"/>
                            </w:rPr>
                            <w:t>. nusidėvėjimo kaštų dydį, kuris apskaičiuotas:</w:t>
                          </w:r>
                        </w:p>
                        <w:sdt>
                          <w:sdtPr>
                            <w:alias w:val="7.1.1 p."/>
                            <w:tag w:val="part_a663b0a74eed4da8add18c149716dffa"/>
                            <w:lock w:val="sdtLocked"/>
                            <w:richText/>
                          </w:sdtPr>
                          <w:sdtContent>
                            <w:p>
                              <w:pPr>
                                <w:tabs>
                                  <w:tab w:val="left" w:pos="1276"/>
                                </w:tabs>
                                <w:ind w:firstLine="709"/>
                                <w:contextualSpacing/>
                                <w:jc w:val="both"/>
                                <w:rPr>
                                  <w:szCs w:val="24"/>
                                </w:rPr>
                              </w:pPr>
                              <w:sdt>
                                <w:sdtPr>
                                  <w:alias w:val="Numeris"/>
                                  <w:tag w:val="nr_a663b0a74eed4da8add18c149716dffa"/>
                                  <w:lock w:val="sdtLocked"/>
                                  <w:richText/>
                                </w:sdtPr>
                                <w:sdtContent>
                                  <w:r>
                                    <w:rPr>
                                      <w:szCs w:val="24"/>
                                    </w:rPr>
                                    <w:t>7.1.1</w:t>
                                  </w:r>
                                </w:sdtContent>
                              </w:sdt>
                              <w:r>
                                <w:rPr>
                                  <w:szCs w:val="24"/>
                                </w:rPr>
                                <w:t>. taikant tiesiogiai proporcingą (tiesinį) nusidėvėjimo metodą;</w:t>
                              </w:r>
                            </w:p>
                          </w:sdtContent>
                        </w:sdt>
                        <w:sdt>
                          <w:sdtPr>
                            <w:alias w:val="7.1.2 p."/>
                            <w:tag w:val="part_c385c1474b764b648c4986f584c9cd9b"/>
                            <w:lock w:val="sdtLocked"/>
                            <w:richText/>
                          </w:sdtPr>
                          <w:sdtContent>
                            <w:p>
                              <w:pPr>
                                <w:tabs>
                                  <w:tab w:val="left" w:pos="1276"/>
                                </w:tabs>
                                <w:ind w:firstLine="709"/>
                                <w:contextualSpacing/>
                                <w:jc w:val="both"/>
                                <w:rPr>
                                  <w:szCs w:val="24"/>
                                </w:rPr>
                              </w:pPr>
                              <w:sdt>
                                <w:sdtPr>
                                  <w:alias w:val="Numeris"/>
                                  <w:tag w:val="nr_c385c1474b764b648c4986f584c9cd9b"/>
                                  <w:lock w:val="sdtLocked"/>
                                  <w:richText/>
                                </w:sdtPr>
                                <w:sdtContent>
                                  <w:r>
                                    <w:rPr>
                                      <w:szCs w:val="24"/>
                                    </w:rPr>
                                    <w:t>7.1.2</w:t>
                                  </w:r>
                                </w:sdtContent>
                              </w:sdt>
                              <w:r>
                                <w:rPr>
                                  <w:szCs w:val="24"/>
                                </w:rPr>
                                <w:t>. taikant konkrečiam ilgalaikiam turtui (konkretiems tinklo elementams ar jų grupėms) nustatytus nusidėvėjimo (amortizacijos) normatyvus, nurodytus Elektros energetikos įmonių apskaitos atskyrimo, sąnaudų paskirstymo ir su apskaitos atskyrimu susijusių reikalavimų aprašo, patvirtinto Komisijos 2014 m. balandžio 29 d. nutarimu Nr. O3-112 „Dėl Elektros energetikos įmonių apskaitos atskyrimo, sąnaudų paskirstymo ir su apskaitos atskyrimu susijusių reikalavimų aprašo patvirtinimo“ (toliau – Aprašas) 5 priede;</w:t>
                              </w:r>
                            </w:p>
                          </w:sdtContent>
                        </w:sdt>
                        <w:sdt>
                          <w:sdtPr>
                            <w:alias w:val="7.1.3 p."/>
                            <w:tag w:val="part_1e13d518d42649eb8dc1e1a01acad04f"/>
                            <w:lock w:val="sdtLocked"/>
                            <w:richText/>
                          </w:sdtPr>
                          <w:sdtContent>
                            <w:p>
                              <w:pPr>
                                <w:tabs>
                                  <w:tab w:val="left" w:pos="1276"/>
                                </w:tabs>
                                <w:ind w:firstLine="709"/>
                                <w:contextualSpacing/>
                                <w:jc w:val="both"/>
                                <w:rPr>
                                  <w:szCs w:val="24"/>
                                </w:rPr>
                              </w:pPr>
                              <w:sdt>
                                <w:sdtPr>
                                  <w:alias w:val="Numeris"/>
                                  <w:tag w:val="nr_1e13d518d42649eb8dc1e1a01acad04f"/>
                                  <w:lock w:val="sdtLocked"/>
                                  <w:richText/>
                                </w:sdtPr>
                                <w:sdtContent>
                                  <w:r>
                                    <w:rPr>
                                      <w:szCs w:val="24"/>
                                    </w:rPr>
                                    <w:t>7.1.3</w:t>
                                  </w:r>
                                </w:sdtContent>
                              </w:sdt>
                              <w:r>
                                <w:rPr>
                                  <w:szCs w:val="24"/>
                                </w:rPr>
                                <w:t>. eliminuojant Metodikos 7.2.4 ir 7.2.5 punktuose nurodyto ilgalaikio turto nusidėvėjimo kaštus (apskaičiuotus pagal konkrečius tinklo elementus ar jų grupes);</w:t>
                              </w:r>
                            </w:p>
                          </w:sdtContent>
                        </w:sdt>
                        <w:sdt>
                          <w:sdtPr>
                            <w:alias w:val="7.1.4 p."/>
                            <w:tag w:val="part_cabb3fc2035145dd87939929244c49f5"/>
                            <w:lock w:val="sdtLocked"/>
                            <w:richText/>
                          </w:sdtPr>
                          <w:sdtContent>
                            <w:p>
                              <w:pPr>
                                <w:ind w:firstLine="709"/>
                                <w:jc w:val="both"/>
                              </w:pPr>
                              <w:sdt>
                                <w:sdtPr>
                                  <w:alias w:val="Numeris"/>
                                  <w:tag w:val="nr_cabb3fc2035145dd87939929244c49f5"/>
                                  <w:lock w:val="sdtLocked"/>
                                  <w:richText/>
                                </w:sdtPr>
                                <w:sdtContent>
                                  <w:r>
                                    <w:t>7.1.4</w:t>
                                  </w:r>
                                </w:sdtContent>
                              </w:sdt>
                              <w:r>
                                <w:t>. atsižvelgiant į finansavimą už Europos Sąjungos struktūrinių fondų lėšas, gautas subsidijas, dotacijas ir už elektros energijos vartotojų įrenginių prijungimą prie tinklų sumokėtas įmokas;</w:t>
                              </w:r>
                            </w:p>
                          </w:sdtContent>
                        </w:sdt>
                      </w:sdtContent>
                    </w:sdt>
                    <w:sdt>
                      <w:sdtPr>
                        <w:alias w:val="7.2 p."/>
                        <w:tag w:val="part_3a7624613bc54eb68bb54f64fdb04892"/>
                        <w:lock w:val="sdtLocked"/>
                        <w:richText/>
                      </w:sdtPr>
                      <w:sdtContent>
                        <w:p>
                          <w:pPr>
                            <w:tabs>
                              <w:tab w:val="left" w:pos="1134"/>
                              <w:tab w:val="left" w:pos="1843"/>
                            </w:tabs>
                            <w:ind w:firstLine="709"/>
                            <w:contextualSpacing/>
                            <w:jc w:val="both"/>
                            <w:rPr>
                              <w:szCs w:val="24"/>
                            </w:rPr>
                          </w:pPr>
                          <w:sdt>
                            <w:sdtPr>
                              <w:alias w:val="Numeris"/>
                              <w:tag w:val="nr_3a7624613bc54eb68bb54f64fdb04892"/>
                              <w:lock w:val="sdtLocked"/>
                              <w:richText/>
                            </w:sdtPr>
                            <w:sdtContent>
                              <w:r>
                                <w:rPr>
                                  <w:szCs w:val="24"/>
                                </w:rPr>
                                <w:t>7.2</w:t>
                              </w:r>
                            </w:sdtContent>
                          </w:sdt>
                          <w:r>
                            <w:rPr>
                              <w:szCs w:val="24"/>
                            </w:rPr>
                            <w:t>. reguliuojamai veiklai vykdyti būtino turto vertę, apskaičiuojamą įvertinant:</w:t>
                          </w:r>
                        </w:p>
                        <w:sdt>
                          <w:sdtPr>
                            <w:alias w:val="7.2.1 p."/>
                            <w:tag w:val="part_9cd00deaaa56405e8f66ed456e619e6b"/>
                            <w:lock w:val="sdtLocked"/>
                            <w:richText/>
                          </w:sdtPr>
                          <w:sdtContent>
                            <w:p>
                              <w:pPr>
                                <w:tabs>
                                  <w:tab w:val="left" w:pos="1276"/>
                                </w:tabs>
                                <w:ind w:firstLine="709"/>
                                <w:contextualSpacing/>
                                <w:jc w:val="both"/>
                                <w:rPr>
                                  <w:szCs w:val="24"/>
                                </w:rPr>
                              </w:pPr>
                              <w:sdt>
                                <w:sdtPr>
                                  <w:alias w:val="Numeris"/>
                                  <w:tag w:val="nr_9cd00deaaa56405e8f66ed456e619e6b"/>
                                  <w:lock w:val="sdtLocked"/>
                                  <w:richText/>
                                </w:sdtPr>
                                <w:sdtContent>
                                  <w:r>
                                    <w:rPr>
                                      <w:szCs w:val="24"/>
                                    </w:rPr>
                                    <w:t>7.2.1</w:t>
                                  </w:r>
                                </w:sdtContent>
                              </w:sdt>
                              <w:r>
                                <w:rPr>
                                  <w:szCs w:val="24"/>
                                </w:rPr>
                                <w:t>. Modelio sumodeliuotą tinklo elementų (Modelio pagalba gali būti optimizuojamos elektros energijos persiuntimo oro ir kabelinės linijos bei galios transformatoriai (žemos, vidutinės, aukštos ir ypatingai aukštos įtampos), kurių naudingo tarnavimo laikotarpis, nustatytas pagal Komisijos Aprašo 5 priede patvirtintus ilgalaikio turto nusidėvėjimo (amortizacijos) normatyvus, yra pasibaigęs arba baigiasi per reguliavimo laikotarpį, kuriam nustatomos reguliuojamų paslaugų kainos, vertę (reguliuojamos paslaugos ir (ar) produkto turto vertę), išskyrus turto dalį, kuri Modelio pagalba negali būti optimizuojama. Tokių sumodeliuotų tinklo elementų vertė apskaičiuota:</w:t>
                              </w:r>
                            </w:p>
                            <w:sdt>
                              <w:sdtPr>
                                <w:alias w:val="7.2.1.1 p."/>
                                <w:tag w:val="part_3c25f85c69e54e7b842cd3f09fdcdeb0"/>
                                <w:lock w:val="sdtLocked"/>
                                <w:richText/>
                              </w:sdtPr>
                              <w:sdtContent>
                                <w:p>
                                  <w:pPr>
                                    <w:tabs>
                                      <w:tab w:val="left" w:pos="1276"/>
                                      <w:tab w:val="left" w:pos="1418"/>
                                    </w:tabs>
                                    <w:ind w:firstLine="709"/>
                                    <w:contextualSpacing/>
                                    <w:jc w:val="both"/>
                                    <w:rPr>
                                      <w:szCs w:val="24"/>
                                    </w:rPr>
                                  </w:pPr>
                                  <w:sdt>
                                    <w:sdtPr>
                                      <w:alias w:val="Numeris"/>
                                      <w:tag w:val="nr_3c25f85c69e54e7b842cd3f09fdcdeb0"/>
                                      <w:lock w:val="sdtLocked"/>
                                      <w:richText/>
                                    </w:sdtPr>
                                    <w:sdtContent>
                                      <w:r>
                                        <w:rPr>
                                          <w:szCs w:val="24"/>
                                        </w:rPr>
                                        <w:t>7.2.1.1</w:t>
                                      </w:r>
                                    </w:sdtContent>
                                  </w:sdt>
                                  <w:r>
                                    <w:rPr>
                                      <w:szCs w:val="24"/>
                                    </w:rPr>
                                    <w:t>. taikant sąnaudų apskaitos einamąja verte metodą, t. y. apskaitant turtą einamąja verte, turtas vertinamas pagal dabartinę atkuriamąją vertę, o turtas, kuriuo nebeprekiaujama rinkoje dėl technologijų pažangos ir kuris yra technologiškai pasenęs, vertinamas pagal modernaus ekvivalentiško turto kriterijų;</w:t>
                                  </w:r>
                                </w:p>
                              </w:sdtContent>
                            </w:sdt>
                            <w:sdt>
                              <w:sdtPr>
                                <w:alias w:val="7.2.1.2 p."/>
                                <w:tag w:val="part_530c938ff58b423da9f2b725fb25c56f"/>
                                <w:lock w:val="sdtLocked"/>
                                <w:richText/>
                              </w:sdtPr>
                              <w:sdtContent>
                                <w:p>
                                  <w:pPr>
                                    <w:tabs>
                                      <w:tab w:val="left" w:pos="1276"/>
                                    </w:tabs>
                                    <w:ind w:firstLine="709"/>
                                    <w:contextualSpacing/>
                                    <w:jc w:val="both"/>
                                  </w:pPr>
                                  <w:sdt>
                                    <w:sdtPr>
                                      <w:alias w:val="Numeris"/>
                                      <w:tag w:val="nr_530c938ff58b423da9f2b725fb25c56f"/>
                                      <w:lock w:val="sdtLocked"/>
                                      <w:richText/>
                                    </w:sdtPr>
                                    <w:sdtContent>
                                      <w:r>
                                        <w:rPr>
                                          <w:szCs w:val="24"/>
                                        </w:rPr>
                                        <w:t>7.2.1.2</w:t>
                                      </w:r>
                                    </w:sdtContent>
                                  </w:sdt>
                                  <w:r>
                                    <w:rPr>
                                      <w:szCs w:val="24"/>
                                    </w:rPr>
                                    <w:t>. įskaičiuojant kitus su tinklo elementų įsigijimu susijusius kaštus, t. y. išlaidas, kurios neįeina į bazinę tam tikro tinklo elemento kainą, bet įeina į įrangos įsigijimo kaštus ir yra įrangos įsigijimo išlaidų dalis;</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7.2.2 p."/>
                            <w:tag w:val="part_8f037961bf86424b8439523f1a2d3359"/>
                            <w:lock w:val="sdtLocked"/>
                            <w:richText/>
                          </w:sdtPr>
                          <w:sdtContent>
                            <w:p>
                              <w:pPr>
                                <w:tabs>
                                  <w:tab w:val="left" w:pos="1276"/>
                                </w:tabs>
                                <w:ind w:firstLine="709"/>
                                <w:contextualSpacing/>
                                <w:jc w:val="both"/>
                                <w:rPr>
                                  <w:szCs w:val="24"/>
                                </w:rPr>
                              </w:pPr>
                              <w:sdt>
                                <w:sdtPr>
                                  <w:alias w:val="Numeris"/>
                                  <w:tag w:val="nr_8f037961bf86424b8439523f1a2d3359"/>
                                  <w:lock w:val="sdtLocked"/>
                                  <w:richText/>
                                </w:sdtPr>
                                <w:sdtContent>
                                  <w:r>
                                    <w:rPr>
                                      <w:szCs w:val="24"/>
                                    </w:rPr>
                                    <w:t>7.2.2</w:t>
                                  </w:r>
                                </w:sdtContent>
                              </w:sdt>
                              <w:r>
                                <w:rPr>
                                  <w:szCs w:val="24"/>
                                </w:rPr>
                                <w:t>. tinklo elementų, kurių naudingo tarnavimo laikotarpis, nustatytas pagal Komisijos Aprašo 5 priede patvirtintus ilgalaikio turto nusidėvėjimo (amortizacijos) normatyvus, nėra pasibaigęs arba nesibaigia reguliavimo laikotarpiu, kuriam nustatomos reguliuojamų paslaugų kainos, vertę (reguliuojamos paslaugos ir (ar) produkto turto vertę), kuri apskaičiuota:</w:t>
                              </w:r>
                            </w:p>
                            <w:sdt>
                              <w:sdtPr>
                                <w:alias w:val="7.2.2.1 p."/>
                                <w:tag w:val="part_626712c82fdb41e2b2e17918ccbd73e7"/>
                                <w:lock w:val="sdtLocked"/>
                                <w:richText/>
                              </w:sdtPr>
                              <w:sdtContent>
                                <w:p>
                                  <w:pPr>
                                    <w:tabs>
                                      <w:tab w:val="left" w:pos="1276"/>
                                      <w:tab w:val="left" w:pos="1418"/>
                                    </w:tabs>
                                    <w:ind w:firstLine="709"/>
                                    <w:contextualSpacing/>
                                    <w:jc w:val="both"/>
                                    <w:rPr>
                                      <w:szCs w:val="24"/>
                                    </w:rPr>
                                  </w:pPr>
                                  <w:sdt>
                                    <w:sdtPr>
                                      <w:alias w:val="Numeris"/>
                                      <w:tag w:val="nr_626712c82fdb41e2b2e17918ccbd73e7"/>
                                      <w:lock w:val="sdtLocked"/>
                                      <w:richText/>
                                    </w:sdtPr>
                                    <w:sdtContent>
                                      <w:r>
                                        <w:rPr>
                                          <w:szCs w:val="24"/>
                                        </w:rPr>
                                        <w:t>7.2.2.1</w:t>
                                      </w:r>
                                    </w:sdtContent>
                                  </w:sdt>
                                  <w:r>
                                    <w:rPr>
                                      <w:szCs w:val="24"/>
                                    </w:rPr>
                                    <w:t>. taikant sąnaudų apskaitos istorine verte metodą, t. y. nepripažįstant turto vertės pasikeitimų atliktų po 2001 m. gruodžio 31 d.;</w:t>
                                  </w:r>
                                </w:p>
                              </w:sdtContent>
                            </w:sdt>
                            <w:sdt>
                              <w:sdtPr>
                                <w:alias w:val="7.2.2.2 p."/>
                                <w:tag w:val="part_0768699c1d3146c3b133f53114ea1d5a"/>
                                <w:lock w:val="sdtLocked"/>
                                <w:richText/>
                              </w:sdtPr>
                              <w:sdtContent>
                                <w:p>
                                  <w:pPr>
                                    <w:tabs>
                                      <w:tab w:val="left" w:pos="1276"/>
                                    </w:tabs>
                                    <w:ind w:firstLine="709"/>
                                    <w:contextualSpacing/>
                                    <w:jc w:val="both"/>
                                  </w:pPr>
                                  <w:sdt>
                                    <w:sdtPr>
                                      <w:alias w:val="Numeris"/>
                                      <w:tag w:val="nr_0768699c1d3146c3b133f53114ea1d5a"/>
                                      <w:lock w:val="sdtLocked"/>
                                      <w:richText/>
                                    </w:sdtPr>
                                    <w:sdtContent>
                                      <w:r>
                                        <w:rPr>
                                          <w:szCs w:val="24"/>
                                        </w:rPr>
                                        <w:t>7.2.2.2</w:t>
                                      </w:r>
                                    </w:sdtContent>
                                  </w:sdt>
                                  <w:r>
                                    <w:rPr>
                                      <w:szCs w:val="24"/>
                                    </w:rPr>
                                    <w:t>. įskaičiuojant kitus su tinklo elementų įsigijimu susijusius kaštus, t. y. išlaidas, kurios neįeina į bazinę tam tikro tinklo elemento kainą, bet įeina į įrangos įsigijimo kaštus ir yra įrangos įsigijimo išlaidų dalis;</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7.2.3 p."/>
                            <w:tag w:val="part_9f36e45131e74cea856985b4d7d9b751"/>
                            <w:lock w:val="sdtLocked"/>
                            <w:richText/>
                          </w:sdtPr>
                          <w:sdtContent>
                            <w:p>
                              <w:pPr>
                                <w:tabs>
                                  <w:tab w:val="left" w:pos="993"/>
                                </w:tabs>
                                <w:ind w:firstLine="709"/>
                                <w:jc w:val="both"/>
                                <w:rPr>
                                  <w:szCs w:val="24"/>
                                </w:rPr>
                              </w:pPr>
                              <w:sdt>
                                <w:sdtPr>
                                  <w:alias w:val="Numeris"/>
                                  <w:tag w:val="nr_9f36e45131e74cea856985b4d7d9b751"/>
                                  <w:lock w:val="sdtLocked"/>
                                  <w:richText/>
                                </w:sdtPr>
                                <w:sdtContent>
                                  <w:r>
                                    <w:rPr>
                                      <w:szCs w:val="24"/>
                                    </w:rPr>
                                    <w:t>7.2.3</w:t>
                                  </w:r>
                                </w:sdtContent>
                              </w:sdt>
                              <w:r>
                                <w:rPr>
                                  <w:szCs w:val="24"/>
                                </w:rPr>
                                <w:t>. pagalbinių tinklo elementų ir kito reguliuojamai veiklai naudojamo turto vertę, apskaičiuojamą pagal formulę:</w:t>
                              </w:r>
                            </w:p>
                            <w:p>
                              <w:pPr>
                                <w:tabs>
                                  <w:tab w:val="left" w:pos="993"/>
                                </w:tabs>
                                <w:ind w:firstLine="709"/>
                                <w:jc w:val="both"/>
                                <w:rPr>
                                  <w:szCs w:val="24"/>
                                </w:rPr>
                              </w:pPr>
                            </w:p>
                            <w:p>
                              <w:pPr>
                                <w:tabs>
                                  <w:tab w:val="left" w:pos="993"/>
                                  <w:tab w:val="left" w:pos="9356"/>
                                </w:tabs>
                                <w:ind w:firstLine="9356"/>
                                <w:jc w:val="both"/>
                                <w:rPr>
                                  <w:szCs w:val="24"/>
                                </w:rPr>
                              </w:pPr>
                              <w:r>
                                <w:rPr>
                                  <w:szCs w:val="24"/>
                                </w:rPr>
                                <w:tab/>
                              </w:r>
                              <m:oMath>
                                <m:sSub>
                                  <m:sSubPr>
                                    <m:ctrlPr>
                                      <w:rPr>
                                        <w:rFonts w:ascii="Cambria Math" w:hAnsi="Cambria Math"/>
                                        <w:i/>
                                        <w:szCs w:val="24"/>
                                      </w:rPr>
                                    </m:ctrlPr>
                                  </m:sSubPr>
                                  <m:e>
                                    <m:r>
                                      <w:rPr>
                                        <w:rFonts w:ascii="Cambria Math" w:hAnsi="Cambria Math"/>
                                        <w:szCs w:val="24"/>
                                      </w:rPr>
                                      <m:t>RAB</m:t>
                                    </m:r>
                                  </m:e>
                                  <m:sub>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RAB</m:t>
                                    </m:r>
                                  </m:e>
                                  <m:sub>
                                    <m:r>
                                      <w:rPr>
                                        <w:rFonts w:ascii="Cambria Math" w:hAnsi="Cambria Math"/>
                                        <w:szCs w:val="24"/>
                                      </w:rPr>
                                      <m:t>t</m:t>
                                    </m:r>
                                    <m:r>
                                      <w:rPr>
                                        <w:rFonts w:ascii="Cambria Math" w:hAnsi="Cambria Math"/>
                                        <w:szCs w:val="24"/>
                                      </w:rPr>
                                      <m:t>-1</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I</m:t>
                                    </m:r>
                                  </m:e>
                                  <m:sub>
                                    <m:r>
                                      <w:rPr>
                                        <w:rFonts w:ascii="Cambria Math" w:hAnsi="Cambria Math"/>
                                        <w:szCs w:val="24"/>
                                      </w:rPr>
                                      <m:t>t</m:t>
                                    </m:r>
                                    <m:r>
                                      <w:rPr>
                                        <w:rFonts w:ascii="Cambria Math" w:hAnsi="Cambria Math"/>
                                        <w:szCs w:val="24"/>
                                      </w:rPr>
                                      <m:t>-1</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N</m:t>
                                    </m:r>
                                  </m:e>
                                  <m:sub>
                                    <m:r>
                                      <w:rPr>
                                        <w:rFonts w:ascii="Cambria Math" w:hAnsi="Cambria Math"/>
                                        <w:szCs w:val="24"/>
                                      </w:rPr>
                                      <m:t>t</m:t>
                                    </m:r>
                                    <m:r>
                                      <w:rPr>
                                        <w:rFonts w:ascii="Cambria Math" w:hAnsi="Cambria Math"/>
                                        <w:szCs w:val="24"/>
                                      </w:rPr>
                                      <m:t>-1</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R</m:t>
                                    </m:r>
                                  </m:e>
                                  <m:sub>
                                    <m:r>
                                      <w:rPr>
                                        <w:rFonts w:ascii="Cambria Math" w:hAnsi="Cambria Math"/>
                                        <w:szCs w:val="24"/>
                                      </w:rPr>
                                      <m:t>t</m:t>
                                    </m:r>
                                    <m:r>
                                      <w:rPr>
                                        <w:rFonts w:ascii="Cambria Math" w:hAnsi="Cambria Math"/>
                                        <w:szCs w:val="24"/>
                                      </w:rPr>
                                      <m:t>-1</m:t>
                                    </m:r>
                                  </m:sub>
                                </m:sSub>
                              </m:oMath>
                              <w:r>
                                <w:rPr>
                                  <w:szCs w:val="24"/>
                                </w:rPr>
                                <w:tab/>
                                <w:t>(1)</w:t>
                              </w:r>
                            </w:p>
                            <w:p>
                              <w:pPr>
                                <w:tabs>
                                  <w:tab w:val="left" w:pos="993"/>
                                  <w:tab w:val="left" w:pos="9356"/>
                                </w:tabs>
                                <w:ind w:firstLine="709"/>
                                <w:jc w:val="both"/>
                                <w:rPr>
                                  <w:szCs w:val="24"/>
                                </w:rPr>
                              </w:pPr>
                            </w:p>
                            <w:p>
                              <w:pPr>
                                <w:tabs>
                                  <w:tab w:val="left" w:pos="993"/>
                                </w:tabs>
                                <w:jc w:val="both"/>
                                <w:rPr>
                                  <w:i/>
                                  <w:iCs/>
                                  <w:szCs w:val="24"/>
                                </w:rPr>
                              </w:pPr>
                              <w:r>
                                <w:rPr>
                                  <w:i/>
                                  <w:iCs/>
                                  <w:szCs w:val="24"/>
                                </w:rPr>
                                <w:t>čia:</w:t>
                              </w:r>
                            </w:p>
                            <w:p>
                              <w:pPr>
                                <w:tabs>
                                  <w:tab w:val="left" w:pos="993"/>
                                </w:tabs>
                                <w:jc w:val="both"/>
                                <w:rPr>
                                  <w:szCs w:val="24"/>
                                </w:rPr>
                              </w:pPr>
                              <w:r>
                                <w:rPr>
                                  <w:i/>
                                  <w:iCs/>
                                  <w:szCs w:val="24"/>
                                </w:rPr>
                                <w:t>RAB</w:t>
                              </w:r>
                              <w:r>
                                <w:rPr>
                                  <w:i/>
                                  <w:iCs/>
                                  <w:szCs w:val="24"/>
                                  <w:vertAlign w:val="subscript"/>
                                </w:rPr>
                                <w:t>t</w:t>
                              </w:r>
                              <w:r>
                                <w:rPr>
                                  <w:szCs w:val="24"/>
                                </w:rPr>
                                <w:t xml:space="preserve">– paslaugos teikėjo pagalbinių tinklo elementų ir kito reguliuojamai veiklai naudojamo turto vertė </w:t>
                              </w:r>
                              <w:r>
                                <w:rPr>
                                  <w:i/>
                                  <w:iCs/>
                                  <w:szCs w:val="24"/>
                                </w:rPr>
                                <w:t xml:space="preserve">t </w:t>
                              </w:r>
                              <w:r>
                                <w:rPr>
                                  <w:iCs/>
                                  <w:szCs w:val="24"/>
                                </w:rPr>
                                <w:t>metų pradžiai</w:t>
                              </w:r>
                              <w:r>
                                <w:rPr>
                                  <w:szCs w:val="24"/>
                                </w:rPr>
                                <w:t>, EUR;</w:t>
                              </w:r>
                            </w:p>
                            <w:p>
                              <w:pPr>
                                <w:tabs>
                                  <w:tab w:val="left" w:pos="993"/>
                                </w:tabs>
                                <w:jc w:val="both"/>
                                <w:rPr>
                                  <w:szCs w:val="24"/>
                                </w:rPr>
                              </w:pPr>
                              <w:r>
                                <w:rPr>
                                  <w:i/>
                                  <w:iCs/>
                                  <w:szCs w:val="24"/>
                                </w:rPr>
                                <w:t>RAB</w:t>
                              </w:r>
                              <w:r>
                                <w:rPr>
                                  <w:i/>
                                  <w:iCs/>
                                  <w:szCs w:val="24"/>
                                  <w:vertAlign w:val="subscript"/>
                                </w:rPr>
                                <w:t xml:space="preserve">t-1 </w:t>
                              </w:r>
                              <w:r>
                                <w:rPr>
                                  <w:szCs w:val="24"/>
                                </w:rPr>
                                <w:t xml:space="preserve">– paslaugos teikėjo pagalbinių tinklo elementų ir kito reguliuojamai veiklai naudojamo turto vertė </w:t>
                              </w:r>
                              <w:r>
                                <w:rPr>
                                  <w:i/>
                                  <w:iCs/>
                                  <w:szCs w:val="24"/>
                                </w:rPr>
                                <w:t xml:space="preserve">t-1 </w:t>
                              </w:r>
                              <w:r>
                                <w:rPr>
                                  <w:iCs/>
                                  <w:szCs w:val="24"/>
                                </w:rPr>
                                <w:t>metų pradžiai</w:t>
                              </w:r>
                              <w:r>
                                <w:rPr>
                                  <w:szCs w:val="24"/>
                                </w:rPr>
                                <w:t xml:space="preserve">, EUR. Pirmaisiais reguliavimo periodo metais turto vertei apskaičiuoti bus naudojama paslaugos teikėjo pagalbinių tinklo elementų ir kito reguliuojamai veiklai naudojamo turto vertė lygi šių elementų neperkainotai grynajai buhalterinei vertei 2001 m. gruodžio 31 d., įvertinant investicijas (į eksploataciją įvestą turtą), turto nusidėvėjimą, nurašymus ir pardavimus laikotarpiu tarp šios datos ir metų </w:t>
                              </w:r>
                              <w:r>
                                <w:rPr>
                                  <w:i/>
                                  <w:iCs/>
                                  <w:szCs w:val="24"/>
                                </w:rPr>
                                <w:t xml:space="preserve">t-2 </w:t>
                              </w:r>
                              <w:r>
                                <w:rPr>
                                  <w:szCs w:val="24"/>
                                </w:rPr>
                                <w:t>pabaigo</w:t>
                              </w:r>
                              <w:r>
                                <w:rPr>
                                  <w:i/>
                                  <w:iCs/>
                                  <w:szCs w:val="24"/>
                                </w:rPr>
                                <w:t>s</w:t>
                              </w:r>
                              <w:r>
                                <w:rPr>
                                  <w:szCs w:val="24"/>
                                </w:rPr>
                                <w:t>;</w:t>
                              </w:r>
                            </w:p>
                            <w:p>
                              <w:pPr>
                                <w:tabs>
                                  <w:tab w:val="left" w:pos="993"/>
                                </w:tabs>
                                <w:jc w:val="both"/>
                                <w:rPr>
                                  <w:szCs w:val="24"/>
                                </w:rPr>
                              </w:pPr>
                              <w:r>
                                <w:rPr>
                                  <w:i/>
                                  <w:iCs/>
                                  <w:szCs w:val="24"/>
                                </w:rPr>
                                <w:t>I</w:t>
                              </w:r>
                              <w:r>
                                <w:rPr>
                                  <w:i/>
                                  <w:iCs/>
                                  <w:szCs w:val="24"/>
                                  <w:vertAlign w:val="subscript"/>
                                </w:rPr>
                                <w:t xml:space="preserve">t-1 </w:t>
                              </w:r>
                              <w:r>
                                <w:rPr>
                                  <w:szCs w:val="24"/>
                                </w:rPr>
                                <w:t xml:space="preserve">– paslaugos teikėjo investicijos (eksploatuojamas turtas) į ilgalaikį pagalbinių tinklo elementų ir kitą reguliuojamai veiklai naudojamą turtą metais </w:t>
                              </w:r>
                              <w:r>
                                <w:rPr>
                                  <w:i/>
                                  <w:iCs/>
                                  <w:szCs w:val="24"/>
                                </w:rPr>
                                <w:t>t-1</w:t>
                              </w:r>
                              <w:r>
                                <w:rPr>
                                  <w:szCs w:val="24"/>
                                </w:rPr>
                                <w:t>, EUR;</w:t>
                              </w:r>
                            </w:p>
                            <w:p>
                              <w:pPr>
                                <w:tabs>
                                  <w:tab w:val="left" w:pos="993"/>
                                </w:tabs>
                                <w:jc w:val="both"/>
                                <w:rPr>
                                  <w:szCs w:val="24"/>
                                </w:rPr>
                              </w:pPr>
                              <w:r>
                                <w:rPr>
                                  <w:i/>
                                  <w:iCs/>
                                  <w:szCs w:val="24"/>
                                </w:rPr>
                                <w:t>N</w:t>
                              </w:r>
                              <w:r>
                                <w:rPr>
                                  <w:i/>
                                  <w:iCs/>
                                  <w:szCs w:val="24"/>
                                  <w:vertAlign w:val="subscript"/>
                                </w:rPr>
                                <w:t xml:space="preserve">t-1 </w:t>
                              </w:r>
                              <w:r>
                                <w:rPr>
                                  <w:szCs w:val="24"/>
                                </w:rPr>
                                <w:t xml:space="preserve">– paslaugos teikėjo pagalbinių tinklo elementų ir kito reguliuojamai veiklai naudojamo turto nusidėvėjimo kaštai metais </w:t>
                              </w:r>
                              <w:r>
                                <w:rPr>
                                  <w:i/>
                                  <w:iCs/>
                                  <w:szCs w:val="24"/>
                                </w:rPr>
                                <w:t>t-1</w:t>
                              </w:r>
                              <w:r>
                                <w:rPr>
                                  <w:szCs w:val="24"/>
                                </w:rPr>
                                <w:t>, EUR;</w:t>
                              </w:r>
                            </w:p>
                            <w:p>
                              <w:pPr>
                                <w:tabs>
                                  <w:tab w:val="left" w:pos="993"/>
                                </w:tabs>
                                <w:jc w:val="both"/>
                                <w:rPr>
                                  <w:szCs w:val="24"/>
                                </w:rPr>
                              </w:pPr>
                              <w:r>
                                <w:rPr>
                                  <w:i/>
                                  <w:iCs/>
                                  <w:szCs w:val="24"/>
                                </w:rPr>
                                <w:t>R</w:t>
                              </w:r>
                              <w:r>
                                <w:rPr>
                                  <w:i/>
                                  <w:iCs/>
                                  <w:szCs w:val="24"/>
                                  <w:vertAlign w:val="subscript"/>
                                </w:rPr>
                                <w:t xml:space="preserve">t-1 </w:t>
                              </w:r>
                              <w:r>
                                <w:rPr>
                                  <w:szCs w:val="24"/>
                                </w:rPr>
                                <w:t xml:space="preserve">– paslaugos teikėjo nurašytas ir parduotas pagalbinių tinklo elementų ir kitas reguliuojamai veiklai naudotas turtas, metais </w:t>
                              </w:r>
                              <w:r>
                                <w:rPr>
                                  <w:i/>
                                  <w:iCs/>
                                  <w:szCs w:val="24"/>
                                </w:rPr>
                                <w:t>t-1</w:t>
                              </w:r>
                              <w:r>
                                <w:rPr>
                                  <w:szCs w:val="24"/>
                                </w:rPr>
                                <w:t>, EUR;</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7.2.4 p."/>
                            <w:tag w:val="part_c1d2a734a119409986393d1ba531d93f"/>
                            <w:lock w:val="sdtLocked"/>
                            <w:richText/>
                          </w:sdtPr>
                          <w:sdtContent>
                            <w:p>
                              <w:pPr>
                                <w:tabs>
                                  <w:tab w:val="left" w:pos="993"/>
                                </w:tabs>
                                <w:ind w:firstLine="709"/>
                                <w:jc w:val="both"/>
                              </w:pPr>
                              <w:sdt>
                                <w:sdtPr>
                                  <w:alias w:val="Numeris"/>
                                  <w:tag w:val="nr_c1d2a734a119409986393d1ba531d93f"/>
                                  <w:lock w:val="sdtLocked"/>
                                  <w:richText/>
                                </w:sdtPr>
                                <w:sdtContent>
                                  <w:r>
                                    <w:rPr>
                                      <w:szCs w:val="24"/>
                                    </w:rPr>
                                    <w:t>7.2.4</w:t>
                                  </w:r>
                                </w:sdtContent>
                              </w:sdt>
                              <w:r>
                                <w:rPr>
                                  <w:szCs w:val="24"/>
                                </w:rPr>
                                <w:t xml:space="preserve">. neįtraukiant turto (sumodeliuotų tinklo elementų), kuris yra nudėvėtas, išskyrus turtą, kuris per modeliuojamą periodą taikant Metodikos III skyriuje nustatytą LRAIC modeliavimo principą  yra optimizuojamas, nesusijęs su reguliuojama paslauga ir (ar) produktu, nenaudojamas, nebaigtos statybos, likviduotas, pripažintas neefektyviomis investicijomis (Komisijos 2008 m. gruodžio 18 d. protokolo Nr. O2-40 sprendimu arba optimizuojant tinklo elementus LRAIC modeliu pripažintos neefektyvios investicijos), nurašytas, esantis atsargose, užkonservuotas, investicinis, finansinis, neįvestas į eksploataciją turtas (</w:t>
                              </w:r>
                              <w:r>
                                <w:rPr>
                                  <w:bCs/>
                                  <w:szCs w:val="24"/>
                                </w:rPr>
                                <w:t>išskyrus strateginius projektus),</w:t>
                              </w:r>
                              <w:r>
                                <w:rPr>
                                  <w:szCs w:val="24"/>
                                </w:rPr>
                                <w:t xml:space="preserve"> taip pat turtas (ar jo dalis), įsigytas už Europos Sąjungos struktūrinių fondų lėšas, gautas subsidijas, dotacijas ar joms prilygintas lėšas ir už elektros energijos gamintojų ir vartotojų įrenginių prijungimą prie tinklų sumokėtas įmokas;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7.2.4-1 p."/>
                            <w:tag w:val="part_88721f57e9a44899a7a1355842127a10"/>
                            <w:lock w:val="sdtLocked"/>
                            <w:richText/>
                          </w:sdtPr>
                          <w:sdtContent>
                            <w:p>
                              <w:pPr>
                                <w:tabs>
                                  <w:tab w:val="left" w:pos="1134"/>
                                  <w:tab w:val="left" w:pos="1276"/>
                                </w:tabs>
                                <w:ind w:firstLine="709"/>
                                <w:jc w:val="both"/>
                                <w:rPr>
                                  <w:szCs w:val="24"/>
                                </w:rPr>
                              </w:pPr>
                              <w:sdt>
                                <w:sdtPr>
                                  <w:alias w:val="Numeris"/>
                                  <w:tag w:val="nr_88721f57e9a44899a7a1355842127a10"/>
                                  <w:lock w:val="sdtLocked"/>
                                  <w:richText/>
                                </w:sdtPr>
                                <w:sdtContent>
                                  <w:r>
                                    <w:rPr>
                                      <w:bCs/>
                                      <w:szCs w:val="24"/>
                                    </w:rPr>
                                    <w:t>7.2.4</w:t>
                                  </w:r>
                                  <w:r>
                                    <w:rPr>
                                      <w:bCs/>
                                      <w:szCs w:val="24"/>
                                      <w:vertAlign w:val="superscript"/>
                                    </w:rPr>
                                    <w:t>1</w:t>
                                  </w:r>
                                </w:sdtContent>
                              </w:sdt>
                              <w:r>
                                <w:rPr>
                                  <w:bCs/>
                                  <w:szCs w:val="24"/>
                                </w:rPr>
                                <w:t>.</w:t>
                              </w:r>
                              <w:r>
                                <w:rPr>
                                  <w:szCs w:val="24"/>
                                </w:rPr>
                                <w:t xml:space="preserve"> </w:t>
                              </w:r>
                              <w:r>
                                <w:rPr>
                                  <w:bCs/>
                                  <w:szCs w:val="24"/>
                                </w:rPr>
                                <w:t>įtraukiant išnuomotą ar panaudos pagrindais perduotą turtą, kuris ir nevykdant nereguliuojamos veiklos visa apimtimi naudojamas reguliuojamoje elektros energetikos įmonės veikloje bei 50 proc. turto dalies, kuri buvo finansuota kitų infrastruktūrinių įmonių dėl inžinerinių darbų sąnaudų pasidalinimo, kaip nurodyta Aprašo 19</w:t>
                              </w:r>
                              <w:r>
                                <w:rPr>
                                  <w:bCs/>
                                  <w:szCs w:val="24"/>
                                  <w:vertAlign w:val="superscript"/>
                                </w:rPr>
                                <w:t>1</w:t>
                              </w:r>
                              <w:r>
                                <w:rPr>
                                  <w:bCs/>
                                  <w:szCs w:val="24"/>
                                </w:rPr>
                                <w:t xml:space="preserve"> punkte;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7.2.4-2 p."/>
                            <w:tag w:val="part_bac9f4954e974acab25aac7b58872621"/>
                            <w:lock w:val="sdtLocked"/>
                            <w:richText/>
                          </w:sdtPr>
                          <w:sdtContent>
                            <w:p>
                              <w:pPr>
                                <w:tabs>
                                  <w:tab w:val="left" w:pos="758"/>
                                </w:tabs>
                                <w:ind w:firstLine="709"/>
                                <w:jc w:val="both"/>
                                <w:rPr>
                                  <w:szCs w:val="24"/>
                                </w:rPr>
                              </w:pPr>
                              <w:sdt>
                                <w:sdtPr>
                                  <w:alias w:val="Numeris"/>
                                  <w:tag w:val="nr_bac9f4954e974acab25aac7b58872621"/>
                                  <w:lock w:val="sdtLocked"/>
                                  <w:richText/>
                                </w:sdtPr>
                                <w:sdtContent>
                                  <w:r>
                                    <w:rPr>
                                      <w:szCs w:val="24"/>
                                    </w:rPr>
                                    <w:t>7.2.4</w:t>
                                  </w:r>
                                  <w:r>
                                    <w:rPr>
                                      <w:szCs w:val="24"/>
                                      <w:vertAlign w:val="superscript"/>
                                    </w:rPr>
                                    <w:t>2</w:t>
                                  </w:r>
                                </w:sdtContent>
                              </w:sdt>
                              <w:r>
                                <w:rPr>
                                  <w:szCs w:val="24"/>
                                </w:rPr>
                                <w:t xml:space="preserve">. įtraukiant būtinas ir pagrįstas investicijas </w:t>
                              </w:r>
                              <w:r>
                                <w:rPr>
                                  <w:bCs/>
                                  <w:kern w:val="32"/>
                                  <w:szCs w:val="24"/>
                                </w:rPr>
                                <w:t>į energijos vartojimo efektyvumo didinimo priemones, įskaitant išmaniųjų elektros tinklų plėtrą, kurios leistų Įmonėms efektyviau vykdyti reguliuojamą veiklą ir teikti papildomas paslaugas asmenims, įgyvendinantiems energijos vartojimo efektyvumą didinančias priemones. Nustatant tokių investicijų pagrįstumą ir būtinumą, turi būti įvertinami kiekvienos energijos efektyvumą didinančios priemonės kaštai ir nauda.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c032f0bd5511e688d0ed775a2e782a">
                                <w:r w:rsidRPr="00532B9F">
                                  <w:rPr>
                                    <w:rFonts w:ascii="Times New Roman" w:eastAsia="MS Mincho" w:hAnsi="Times New Roman"/>
                                    <w:sz w:val="20"/>
                                    <w:i/>
                                    <w:iCs/>
                                    <w:color w:val="0000FF" w:themeColor="hyperlink"/>
                                    <w:u w:val="single"/>
                                  </w:rPr>
                                  <w:t>O3-416</w:t>
                                </w:r>
                              </w:fldSimple>
                              <w:r>
                                <w:rPr>
                                  <w:rFonts w:ascii="Times New Roman" w:eastAsia="MS Mincho" w:hAnsi="Times New Roman"/>
                                  <w:sz w:val="20"/>
                                  <w:i/>
                                  <w:iCs/>
                                </w:rPr>
                                <w:t>,
2016-12-08,
paskelbta TAR 2016-12-09, i. k. 2016-28524        </w:t>
                              </w:r>
                            </w:p>
                            <w:p/>
                          </w:sdtContent>
                        </w:sdt>
                        <w:sdt>
                          <w:sdtPr>
                            <w:alias w:val="7.2.5 p."/>
                            <w:tag w:val="part_5f492a967a5a4b88a4026cdab3754ad1"/>
                            <w:lock w:val="sdtLocked"/>
                            <w:richText/>
                          </w:sdtPr>
                          <w:sdtContent>
                            <w:p>
                              <w:pPr>
                                <w:tabs>
                                  <w:tab w:val="left" w:pos="1134"/>
                                  <w:tab w:val="left" w:pos="1276"/>
                                </w:tabs>
                                <w:ind w:firstLine="709"/>
                                <w:jc w:val="both"/>
                                <w:rPr>
                                  <w:szCs w:val="24"/>
                                </w:rPr>
                              </w:pPr>
                              <w:sdt>
                                <w:sdtPr>
                                  <w:alias w:val="Numeris"/>
                                  <w:tag w:val="nr_5f492a967a5a4b88a4026cdab3754ad1"/>
                                  <w:lock w:val="sdtLocked"/>
                                  <w:richText/>
                                </w:sdtPr>
                                <w:sdtContent>
                                  <w:r>
                                    <w:rPr>
                                      <w:szCs w:val="24"/>
                                    </w:rPr>
                                    <w:t>7.2.5</w:t>
                                  </w:r>
                                </w:sdtContent>
                              </w:sdt>
                              <w:r>
                                <w:rPr>
                                  <w:szCs w:val="24"/>
                                </w:rPr>
                                <w:t xml:space="preserve">. nepripažįstant su Komisija nesuderintų, Energetikos įmonių investicijų vertinimo ir derinimo Valstybinėje kainų ir energetikos kontrolės komisijoje tvarkos apraše, patvirtintame Komisijos 2009 m. liepos 10 d. nutarimu Nr. O3-100 „Dėl Valstybinės kainų ir energetikos kontrolės komisijos 2003 m. birželio 17 d. nutarimo Nr. O3-35 „Dėl Energetikos įmonių investicijų projektų derinimo Valstybinėje kainų ir energetikos kontrolės komisijoje tvarkos patvirtinimo“ pakeitimo“ (toliau –  Investicijų aprašas) nustatyta tvarka ir investicijų į tinklo elementus, viršijančių Modeliu suskaičiuotą jų vertę lėšų sumos;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Content>
                    </w:sdt>
                    <w:sdt>
                      <w:sdtPr>
                        <w:alias w:val="7.3 p."/>
                        <w:tag w:val="part_976544cfacfa4563bca3849fade52456"/>
                        <w:lock w:val="sdtLocked"/>
                        <w:richText/>
                      </w:sdtPr>
                      <w:sdtContent>
                        <w:p>
                          <w:pPr>
                            <w:tabs>
                              <w:tab w:val="left" w:pos="1080"/>
                              <w:tab w:val="left" w:pos="1134"/>
                            </w:tabs>
                            <w:ind w:firstLine="709"/>
                            <w:contextualSpacing/>
                            <w:jc w:val="both"/>
                            <w:rPr>
                              <w:szCs w:val="24"/>
                            </w:rPr>
                          </w:pPr>
                          <w:sdt>
                            <w:sdtPr>
                              <w:alias w:val="Numeris"/>
                              <w:tag w:val="nr_976544cfacfa4563bca3849fade52456"/>
                              <w:lock w:val="sdtLocked"/>
                              <w:richText/>
                            </w:sdtPr>
                            <w:sdtContent>
                              <w:r>
                                <w:rPr>
                                  <w:szCs w:val="24"/>
                                </w:rPr>
                                <w:t>7.3</w:t>
                              </w:r>
                            </w:sdtContent>
                          </w:sdt>
                          <w:r>
                            <w:rPr>
                              <w:szCs w:val="24"/>
                            </w:rPr>
                            <w:t>. Protingumo kriterijus atitinkančią investicijų grąžą, kuri apskaičiuota atsižvelgiant į:</w:t>
                          </w:r>
                        </w:p>
                        <w:sdt>
                          <w:sdtPr>
                            <w:alias w:val="7.3.1 p."/>
                            <w:tag w:val="part_70ceca9f228d4b0eb0f6c3d720adf6eb"/>
                            <w:lock w:val="sdtLocked"/>
                            <w:richText/>
                          </w:sdtPr>
                          <w:sdtContent>
                            <w:p>
                              <w:pPr>
                                <w:tabs>
                                  <w:tab w:val="left" w:pos="0"/>
                                  <w:tab w:val="left" w:pos="1276"/>
                                  <w:tab w:val="left" w:pos="1843"/>
                                </w:tabs>
                                <w:ind w:firstLine="709"/>
                                <w:contextualSpacing/>
                                <w:jc w:val="both"/>
                                <w:rPr>
                                  <w:szCs w:val="24"/>
                                </w:rPr>
                              </w:pPr>
                              <w:sdt>
                                <w:sdtPr>
                                  <w:alias w:val="Numeris"/>
                                  <w:tag w:val="nr_70ceca9f228d4b0eb0f6c3d720adf6eb"/>
                                  <w:lock w:val="sdtLocked"/>
                                  <w:richText/>
                                </w:sdtPr>
                                <w:sdtContent>
                                  <w:r>
                                    <w:rPr>
                                      <w:szCs w:val="24"/>
                                    </w:rPr>
                                    <w:t>7.3.1</w:t>
                                  </w:r>
                                </w:sdtContent>
                              </w:sdt>
                              <w:r>
                                <w:rPr>
                                  <w:szCs w:val="24"/>
                                </w:rPr>
                                <w:t>. Komisijos nustatytai paslaugai ir (ar) produktui priskirtino reguliuojamo turto vertę pagal Metodikos 7.2 punkto nuostatas;</w:t>
                              </w:r>
                            </w:p>
                          </w:sdtContent>
                        </w:sdt>
                        <w:sdt>
                          <w:sdtPr>
                            <w:alias w:val="7.3.2 p."/>
                            <w:tag w:val="part_87e2f9ff0e2e4d3286a745f43814c226"/>
                            <w:lock w:val="sdtLocked"/>
                            <w:richText/>
                          </w:sdtPr>
                          <w:sdtContent>
                            <w:p>
                              <w:pPr>
                                <w:ind w:firstLine="720"/>
                                <w:jc w:val="both"/>
                                <w:rPr>
                                  <w:szCs w:val="24"/>
                                </w:rPr>
                              </w:pPr>
                              <w:sdt>
                                <w:sdtPr>
                                  <w:alias w:val="Numeris"/>
                                  <w:tag w:val="nr_87e2f9ff0e2e4d3286a745f43814c226"/>
                                  <w:lock w:val="sdtLocked"/>
                                  <w:richText/>
                                </w:sdtPr>
                                <w:sdtContent>
                                  <w:r>
                                    <w:rPr>
                                      <w:szCs w:val="24"/>
                                    </w:rPr>
                                    <w:t>7.3.2</w:t>
                                  </w:r>
                                </w:sdtContent>
                              </w:sdt>
                              <w:r>
                                <w:rPr>
                                  <w:szCs w:val="24"/>
                                </w:rPr>
                                <w:t xml:space="preserve">. p rotingumo kriterijų atitinkančios investicijų grąžos normą,  nustatomą vadovaujantis Investicijų grąžos normos nustatymo metodika, patvirtinta Komisijos 2015 m.       d. nutarimu Nr. O3-     „Dėl Investicijų grąžos normos nustatymo metodikos tvirtinimo“ (toliau – Investicijų grąžos normos nustatymo metodika), pagal formulę:</w:t>
                              </w:r>
                            </w:p>
                            <w:p>
                              <w:pPr>
                                <w:tabs>
                                  <w:tab w:val="left" w:pos="0"/>
                                  <w:tab w:val="left" w:pos="1276"/>
                                  <w:tab w:val="left" w:pos="1843"/>
                                </w:tabs>
                                <w:contextualSpacing/>
                                <w:jc w:val="both"/>
                                <w:rPr>
                                  <w:szCs w:val="24"/>
                                </w:rPr>
                              </w:pPr>
                            </w:p>
                            <w:p>
                              <w:pPr>
                                <w:tabs>
                                  <w:tab w:val="left" w:pos="9356"/>
                                </w:tabs>
                                <w:jc w:val="both"/>
                                <w:rPr>
                                  <w:szCs w:val="24"/>
                                </w:rPr>
                              </w:pPr>
                              <w:r>
                                <w:rPr>
                                  <w:szCs w:val="24"/>
                                </w:rPr>
                                <w:t>ROI</w:t>
                              </w:r>
                              <w:r>
                                <w:rPr>
                                  <w:szCs w:val="24"/>
                                  <w:vertAlign w:val="subscript"/>
                                </w:rPr>
                                <w:t>i</w:t>
                              </w:r>
                              <w:r>
                                <w:rPr>
                                  <w:szCs w:val="24"/>
                                </w:rPr>
                                <w:t>=r×RAB</w:t>
                              </w:r>
                              <w:r>
                                <w:rPr>
                                  <w:szCs w:val="24"/>
                                  <w:vertAlign w:val="subscript"/>
                                </w:rPr>
                                <w:t xml:space="preserve">i </w:t>
                              </w:r>
                              <w:r>
                                <w:rPr>
                                  <w:szCs w:val="24"/>
                                </w:rPr>
                                <w:tab/>
                                <w:t>(2)</w:t>
                              </w:r>
                            </w:p>
                            <w:p>
                              <w:pPr>
                                <w:tabs>
                                  <w:tab w:val="left" w:pos="9214"/>
                                </w:tabs>
                                <w:jc w:val="both"/>
                                <w:rPr>
                                  <w:szCs w:val="24"/>
                                </w:rPr>
                              </w:pPr>
                            </w:p>
                            <w:p>
                              <w:pPr>
                                <w:tabs>
                                  <w:tab w:val="left" w:pos="1843"/>
                                </w:tabs>
                                <w:jc w:val="both"/>
                                <w:rPr>
                                  <w:i/>
                                  <w:szCs w:val="24"/>
                                </w:rPr>
                              </w:pPr>
                              <w:r>
                                <w:rPr>
                                  <w:i/>
                                  <w:szCs w:val="24"/>
                                </w:rPr>
                                <w:t>čia:</w:t>
                              </w:r>
                            </w:p>
                            <w:p>
                              <w:pPr>
                                <w:tabs>
                                  <w:tab w:val="left" w:pos="1843"/>
                                </w:tabs>
                                <w:jc w:val="both"/>
                                <w:rPr>
                                  <w:szCs w:val="24"/>
                                </w:rPr>
                              </w:pPr>
                              <w:r>
                                <w:rPr>
                                  <w:szCs w:val="24"/>
                                </w:rPr>
                                <w:t>ROI</w:t>
                              </w:r>
                              <w:r>
                                <w:rPr>
                                  <w:szCs w:val="24"/>
                                  <w:vertAlign w:val="subscript"/>
                                </w:rPr>
                                <w:t>i</w:t>
                              </w:r>
                              <w:r>
                                <w:rPr>
                                  <w:szCs w:val="24"/>
                                </w:rPr>
                                <w:t xml:space="preserve"> – investicijų grąža, priskirtina paslaugai, EUR;</w:t>
                              </w:r>
                            </w:p>
                            <w:p>
                              <w:pPr>
                                <w:tabs>
                                  <w:tab w:val="left" w:pos="1843"/>
                                </w:tabs>
                                <w:jc w:val="both"/>
                                <w:rPr>
                                  <w:szCs w:val="24"/>
                                </w:rPr>
                              </w:pPr>
                              <w:r>
                                <w:rPr>
                                  <w:szCs w:val="24"/>
                                </w:rPr>
                                <w:t>i – reguliuojamų kainų paslauga;</w:t>
                              </w:r>
                            </w:p>
                            <w:p>
                              <w:pPr>
                                <w:tabs>
                                  <w:tab w:val="left" w:pos="1843"/>
                                </w:tabs>
                                <w:jc w:val="both"/>
                                <w:rPr>
                                  <w:szCs w:val="24"/>
                                </w:rPr>
                              </w:pPr>
                              <w:r>
                                <w:rPr>
                                  <w:szCs w:val="24"/>
                                </w:rPr>
                                <w:t>r – protingumo kriterijų atitinkanti investicijų grąžos norma, proc.;</w:t>
                              </w:r>
                            </w:p>
                            <w:p>
                              <w:pPr>
                                <w:tabs>
                                  <w:tab w:val="left" w:pos="0"/>
                                  <w:tab w:val="left" w:pos="1276"/>
                                  <w:tab w:val="left" w:pos="1843"/>
                                </w:tabs>
                                <w:ind w:firstLine="709"/>
                                <w:contextualSpacing/>
                                <w:jc w:val="both"/>
                                <w:rPr>
                                  <w:szCs w:val="24"/>
                                </w:rPr>
                              </w:pPr>
                              <w:r>
                                <w:rPr>
                                  <w:szCs w:val="24"/>
                                </w:rPr>
                                <w:t>RAB</w:t>
                              </w:r>
                              <w:r>
                                <w:rPr>
                                  <w:szCs w:val="24"/>
                                  <w:vertAlign w:val="subscript"/>
                                </w:rPr>
                                <w:t>i</w:t>
                              </w:r>
                              <w:r>
                                <w:rPr>
                                  <w:szCs w:val="24"/>
                                </w:rPr>
                                <w:t xml:space="preserve"> – i-tajai paslaugai priskirtino reguliuojamo turto vertė, EUR.</w:t>
                              </w:r>
                            </w:p>
                            <w:sdt>
                              <w:sdtPr>
                                <w:alias w:val="7.3.2.1 p."/>
                                <w:tag w:val="part_54700e9d18c346059d17a084d7288982"/>
                                <w:lock w:val="sdtLocked"/>
                                <w:richText/>
                              </w:sdtPr>
                              <w:sdtContent>
                                <w:p>
                                  <w:pPr>
                                    <w:pStyle w:val="PlainText"/>
                                    <w:ind w:firstLine="567"/>
                                    <w:jc w:val="both"/>
                                    <w:rPr>
                                      <w:rFonts w:ascii="Times New Roman" w:hAnsi="Times New Roman"/>
                                      <w:b/>
                                      <w:bCs/>
                                      <w:sz w:val="22"/>
                                    </w:rPr>
                                  </w:pPr>
                                  <w:r>
                                    <w:rPr>
                                      <w:rFonts w:ascii="Times New Roman" w:hAnsi="Times New Roman"/>
                                      <w:sz w:val="22"/>
                                    </w:rPr>
                                    <w:t>7.3.2.1</w:t>
                                  </w:r>
                                  <w:r>
                                    <w:rPr>
                                      <w:rFonts w:ascii="Times New Roman" w:hAnsi="Times New Roman"/>
                                      <w:sz w:val="22"/>
                                    </w:rPr>
                                    <w:t>.</w:t>
                                  </w:r>
                                  <w:r>
                                    <w:rPr>
                                      <w:rFonts w:ascii="Times New Roman" w:eastAsia="MS Mincho" w:hAnsi="Times New Roman"/>
                                      <w:sz w:val="20"/>
                                      <w:i/>
                                      <w:iCs/>
                                    </w:rPr>
                                    <w:t xml:space="preserve"> Neteko galios nuo 2015-09-23</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7.3.2.2 p."/>
                                <w:tag w:val="part_e1d60074850b4e24b9476c58137bf06c"/>
                                <w:lock w:val="sdtLocked"/>
                                <w:richText/>
                              </w:sdtPr>
                              <w:sdtContent>
                                <w:p>
                                  <w:pPr>
                                    <w:pStyle w:val="PlainText"/>
                                    <w:ind w:firstLine="567"/>
                                    <w:jc w:val="both"/>
                                    <w:rPr>
                                      <w:rFonts w:ascii="Times New Roman" w:hAnsi="Times New Roman"/>
                                      <w:b/>
                                      <w:bCs/>
                                      <w:sz w:val="22"/>
                                    </w:rPr>
                                  </w:pPr>
                                  <w:r>
                                    <w:rPr>
                                      <w:rFonts w:ascii="Times New Roman" w:hAnsi="Times New Roman"/>
                                      <w:sz w:val="22"/>
                                    </w:rPr>
                                    <w:t>7.3.2.2</w:t>
                                  </w:r>
                                  <w:r>
                                    <w:rPr>
                                      <w:rFonts w:ascii="Times New Roman" w:hAnsi="Times New Roman"/>
                                      <w:sz w:val="22"/>
                                    </w:rPr>
                                    <w:t>.</w:t>
                                  </w:r>
                                  <w:r>
                                    <w:rPr>
                                      <w:rFonts w:ascii="Times New Roman" w:eastAsia="MS Mincho" w:hAnsi="Times New Roman"/>
                                      <w:sz w:val="20"/>
                                      <w:i/>
                                      <w:iCs/>
                                    </w:rPr>
                                    <w:t xml:space="preserve"> Neteko galios nuo 2015-09-23</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7.3.2.3 p."/>
                                <w:tag w:val="part_d9aa63753ef5461ca96687f862a24066"/>
                                <w:lock w:val="sdtLocked"/>
                                <w:richText/>
                              </w:sdtPr>
                              <w:sdtContent>
                                <w:p>
                                  <w:pPr>
                                    <w:pStyle w:val="PlainText"/>
                                    <w:ind w:firstLine="567"/>
                                    <w:jc w:val="both"/>
                                    <w:rPr>
                                      <w:rFonts w:ascii="Times New Roman" w:hAnsi="Times New Roman"/>
                                      <w:b/>
                                      <w:bCs/>
                                      <w:sz w:val="22"/>
                                    </w:rPr>
                                  </w:pPr>
                                  <w:r>
                                    <w:rPr>
                                      <w:rFonts w:ascii="Times New Roman" w:hAnsi="Times New Roman"/>
                                      <w:sz w:val="22"/>
                                    </w:rPr>
                                    <w:t>7.3.2.3</w:t>
                                  </w:r>
                                  <w:r>
                                    <w:rPr>
                                      <w:rFonts w:ascii="Times New Roman" w:hAnsi="Times New Roman"/>
                                      <w:sz w:val="22"/>
                                    </w:rPr>
                                    <w:t>.</w:t>
                                  </w:r>
                                  <w:r>
                                    <w:rPr>
                                      <w:rFonts w:ascii="Times New Roman" w:eastAsia="MS Mincho" w:hAnsi="Times New Roman"/>
                                      <w:sz w:val="20"/>
                                      <w:i/>
                                      <w:iCs/>
                                    </w:rPr>
                                    <w:t xml:space="preserve"> Neteko galios nuo 2015-09-23</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7.3.3 p."/>
                            <w:tag w:val="part_cfde20a664364c4585a3c30ee9e876bb"/>
                            <w:lock w:val="sdtLocked"/>
                            <w:richText/>
                          </w:sdtPr>
                          <w:sdtContent>
                            <w:p>
                              <w:pPr>
                                <w:tabs>
                                  <w:tab w:val="left" w:pos="1134"/>
                                  <w:tab w:val="left" w:pos="1276"/>
                                </w:tabs>
                                <w:ind w:firstLine="709"/>
                                <w:jc w:val="both"/>
                              </w:pPr>
                              <w:sdt>
                                <w:sdtPr>
                                  <w:alias w:val="Numeris"/>
                                  <w:tag w:val="nr_cfde20a664364c4585a3c30ee9e876bb"/>
                                  <w:lock w:val="sdtLocked"/>
                                  <w:richText/>
                                </w:sdtPr>
                                <w:sdtContent>
                                  <w:r>
                                    <w:rPr>
                                      <w:szCs w:val="24"/>
                                    </w:rPr>
                                    <w:t>7.3.3</w:t>
                                  </w:r>
                                </w:sdtContent>
                              </w:sdt>
                              <w:r>
                                <w:rPr>
                                  <w:szCs w:val="24"/>
                                </w:rPr>
                                <w:t>. Elektros energetikos įmonių strategiškai svarbioms investicijoms, padedančioms siekti nacionalinės ir Europos Sąjungos energetikos politikos tikslų, pagal Metodikos 7.3.2 papunktį nustatyta investicijų grąžos norma Komisijos sprendimu gali būti padidinama;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Content>
                    </w:sdt>
                  </w:sdtContent>
                </w:sdt>
                <w:sdt>
                  <w:sdtPr>
                    <w:alias w:val="8 p."/>
                    <w:tag w:val="part_4163c70c3af343c69072c0dd9d53b0c8"/>
                    <w:lock w:val="sdtLocked"/>
                    <w:richText/>
                  </w:sdtPr>
                  <w:sdtContent>
                    <w:p>
                      <w:pPr>
                        <w:tabs>
                          <w:tab w:val="left" w:pos="993"/>
                        </w:tabs>
                        <w:ind w:firstLine="709"/>
                        <w:jc w:val="both"/>
                        <w:rPr>
                          <w:szCs w:val="24"/>
                        </w:rPr>
                      </w:pPr>
                      <w:sdt>
                        <w:sdtPr>
                          <w:alias w:val="Numeris"/>
                          <w:tag w:val="nr_4163c70c3af343c69072c0dd9d53b0c8"/>
                          <w:lock w:val="sdtLocked"/>
                          <w:richText/>
                        </w:sdtPr>
                        <w:sdtContent>
                          <w:r>
                            <w:rPr>
                              <w:szCs w:val="24"/>
                            </w:rPr>
                            <w:t>8</w:t>
                          </w:r>
                        </w:sdtContent>
                      </w:sdt>
                      <w:r>
                        <w:rPr>
                          <w:szCs w:val="24"/>
                        </w:rPr>
                        <w:t>. Ekonomiškai pagrįsti (būtini) metiniai operaciniai kaštai (toliau – OPEX) apskaičiuojami kiekvieniems metams:</w:t>
                      </w:r>
                    </w:p>
                    <w:sdt>
                      <w:sdtPr>
                        <w:alias w:val="8.1 p."/>
                        <w:tag w:val="part_198f0b6b449b4bf3815ed4cef082a5ab"/>
                        <w:lock w:val="sdtLocked"/>
                        <w:richText/>
                      </w:sdtPr>
                      <w:sdtContent>
                        <w:p>
                          <w:pPr>
                            <w:tabs>
                              <w:tab w:val="left" w:pos="1134"/>
                            </w:tabs>
                            <w:ind w:firstLine="709"/>
                            <w:jc w:val="both"/>
                            <w:rPr>
                              <w:szCs w:val="24"/>
                            </w:rPr>
                          </w:pPr>
                          <w:sdt>
                            <w:sdtPr>
                              <w:alias w:val="Numeris"/>
                              <w:tag w:val="nr_198f0b6b449b4bf3815ed4cef082a5ab"/>
                              <w:lock w:val="sdtLocked"/>
                              <w:richText/>
                            </w:sdtPr>
                            <w:sdtContent>
                              <w:r>
                                <w:rPr>
                                  <w:szCs w:val="24"/>
                                </w:rPr>
                                <w:t>8.1</w:t>
                              </w:r>
                            </w:sdtContent>
                          </w:sdt>
                          <w:r>
                            <w:rPr>
                              <w:szCs w:val="24"/>
                            </w:rPr>
                            <w:t>. remonto, priežiūros, eksploatavimo kaštų, personalo kaštų (išskyrus darbo užmokesčio kaštus), administracinių kaštų, rinkodaros ir pardavimo kaštų, kitų paskirstomų kaštų atveju atsižvelgiama į:</w:t>
                          </w:r>
                        </w:p>
                        <w:sdt>
                          <w:sdtPr>
                            <w:alias w:val="8.1.1 p."/>
                            <w:tag w:val="part_a8683c0632b14239bd321be54d0b63c2"/>
                            <w:lock w:val="sdtLocked"/>
                            <w:richText/>
                          </w:sdtPr>
                          <w:sdtContent>
                            <w:p>
                              <w:pPr>
                                <w:tabs>
                                  <w:tab w:val="left" w:pos="993"/>
                                </w:tabs>
                                <w:ind w:firstLine="709"/>
                                <w:jc w:val="both"/>
                              </w:pPr>
                              <w:sdt>
                                <w:sdtPr>
                                  <w:alias w:val="Numeris"/>
                                  <w:tag w:val="nr_a8683c0632b14239bd321be54d0b63c2"/>
                                  <w:lock w:val="sdtLocked"/>
                                  <w:richText/>
                                </w:sdtPr>
                                <w:sdtContent>
                                  <w:r>
                                    <w:rPr>
                                      <w:szCs w:val="24"/>
                                    </w:rPr>
                                    <w:t>8.1.1</w:t>
                                  </w:r>
                                </w:sdtContent>
                              </w:sdt>
                              <w:r>
                                <w:rPr>
                                  <w:szCs w:val="24"/>
                                </w:rPr>
                                <w:t xml:space="preserve">.  praėjusio reguliavimo  periodo priešpaskutinių metų  Komisijos nustatytą šių kaštų metinę apimtį arba faktinę pagrįstą šių kaštų metinę apimtį, įvertinus prognozuojamą vidutinio metinio vartotojų kainų indekso (VKI) pokytį, pakoreguotą efektyvumo  rodikliu, kuris yra lygus  1 proc.. Jeigu Įmonė per praėjusį reguliavimo periodą veikė efektyviai, t. y. praėjusio reguliavimo periodo priešpaskutinių metų faktinė pagrįsta OPEX apimtis (remonto, priežiūros, eksploatavimo kaštų, personalo kaštų (išskyrus darbo užmokesčio kaštus), administracinių kaštų, rinkodaros ir pardavimo kaštų, kitų paskirstomų kaštų dalyje) buvo mažesnė už Komisijos nustatytą, – atsižvelgiama į faktinę pagrįstą šių kaštų metinę apimtį. Jeigu Įmonė per praėjusį reguliavimo periodą veikė neefektyviai, t. y. praėjusio reguliavimo periodo priešpaskutinių metų OPEX buvo didesnė už Komisijos nustatytą  – atsižvelgiama į faktinę pagrįstą šių kaštų metinę apimtį.</w:t>
                              </w:r>
                              <w:r>
                                <w:t xml:space="preserve"> </w:t>
                              </w:r>
                            </w:p>
                          </w:sdtContent>
                        </w:sdt>
                        <w:sdt>
                          <w:sdtPr>
                            <w:alias w:val="8.1.1-1 p."/>
                            <w:tag w:val="part_a0c4a1997f5243ce88b34f59bdeb7a51"/>
                            <w:lock w:val="sdtLocked"/>
                            <w:richText/>
                          </w:sdtPr>
                          <w:sdtContent>
                            <w:p>
                              <w:pPr>
                                <w:tabs>
                                  <w:tab w:val="left" w:pos="1134"/>
                                  <w:tab w:val="left" w:pos="1276"/>
                                </w:tabs>
                                <w:ind w:firstLine="709"/>
                                <w:jc w:val="both"/>
                                <w:rPr>
                                  <w:bCs/>
                                  <w:szCs w:val="24"/>
                                </w:rPr>
                              </w:pPr>
                              <w:sdt>
                                <w:sdtPr>
                                  <w:alias w:val="Numeris"/>
                                  <w:tag w:val="nr_a0c4a1997f5243ce88b34f59bdeb7a51"/>
                                  <w:lock w:val="sdtLocked"/>
                                  <w:richText/>
                                </w:sdtPr>
                                <w:sdtContent>
                                  <w:r>
                                    <w:rPr>
                                      <w:szCs w:val="24"/>
                                    </w:rPr>
                                    <w:t>8.1.1</w:t>
                                  </w:r>
                                  <w:r>
                                    <w:rPr>
                                      <w:szCs w:val="24"/>
                                      <w:vertAlign w:val="superscript"/>
                                    </w:rPr>
                                    <w:t>1</w:t>
                                  </w:r>
                                </w:sdtContent>
                              </w:sdt>
                              <w:r>
                                <w:rPr>
                                  <w:bCs/>
                                  <w:szCs w:val="24"/>
                                </w:rPr>
                                <w:t xml:space="preserve">. Įmonėms, kurioms Komisija yra atlikusi reguliuojamų paslaugų sąnaudų pagrįstumo (būtinumo) patikrinimą, naujo reguliavimo periodo pagrįstų metinių OPEX  kaštų (išskyrus darbo užmokesčio kaštus) dydis nustatomas:</w:t>
                              </w:r>
                            </w:p>
                            <w:sdt>
                              <w:sdtPr>
                                <w:alias w:val="8.1.1-1.1 p."/>
                                <w:tag w:val="part_b4e06b7607c3457a87ad416593db413a"/>
                                <w:lock w:val="sdtLocked"/>
                                <w:richText/>
                              </w:sdtPr>
                              <w:sdtContent>
                                <w:p>
                                  <w:pPr>
                                    <w:tabs>
                                      <w:tab w:val="left" w:pos="1134"/>
                                      <w:tab w:val="left" w:pos="1276"/>
                                    </w:tabs>
                                    <w:ind w:firstLine="709"/>
                                    <w:jc w:val="both"/>
                                    <w:rPr>
                                      <w:bCs/>
                                      <w:szCs w:val="24"/>
                                    </w:rPr>
                                  </w:pPr>
                                  <w:sdt>
                                    <w:sdtPr>
                                      <w:alias w:val="Numeris"/>
                                      <w:tag w:val="nr_b4e06b7607c3457a87ad416593db413a"/>
                                      <w:lock w:val="sdtLocked"/>
                                      <w:richText/>
                                    </w:sdtPr>
                                    <w:sdtContent>
                                      <w:r>
                                        <w:rPr>
                                          <w:szCs w:val="24"/>
                                        </w:rPr>
                                        <w:t>8.1.1</w:t>
                                      </w:r>
                                      <w:r>
                                        <w:rPr>
                                          <w:szCs w:val="24"/>
                                          <w:vertAlign w:val="superscript"/>
                                        </w:rPr>
                                        <w:t>1</w:t>
                                      </w:r>
                                      <w:r>
                                        <w:rPr>
                                          <w:szCs w:val="24"/>
                                        </w:rPr>
                                        <w:t>.1</w:t>
                                      </w:r>
                                    </w:sdtContent>
                                  </w:sdt>
                                  <w:r>
                                    <w:rPr>
                                      <w:szCs w:val="24"/>
                                    </w:rPr>
                                    <w:t xml:space="preserve">. </w:t>
                                  </w:r>
                                  <w:r>
                                    <w:rPr>
                                      <w:bCs/>
                                      <w:szCs w:val="24"/>
                                    </w:rPr>
                                    <w:t>Komisijos atlikto paskutinių reguliuojamų paslaugų sąnaudų pagrįstumo (būtinumo) patikrinimo metų pagrįstą šių kaštų dydį, pakoreguojant prognozuojamu vidutinio metinio vartotojų kainų indekso (VKI) pokyčiu;</w:t>
                                  </w:r>
                                </w:p>
                              </w:sdtContent>
                            </w:sdt>
                            <w:sdt>
                              <w:sdtPr>
                                <w:alias w:val="8.1.1-1.2 p."/>
                                <w:tag w:val="part_860948df349e434397c0a49542f63bc0"/>
                                <w:lock w:val="sdtLocked"/>
                                <w:richText/>
                              </w:sdtPr>
                              <w:sdtContent>
                                <w:p>
                                  <w:pPr>
                                    <w:tabs>
                                      <w:tab w:val="left" w:pos="1134"/>
                                      <w:tab w:val="left" w:pos="1276"/>
                                    </w:tabs>
                                    <w:ind w:firstLine="709"/>
                                    <w:jc w:val="both"/>
                                    <w:rPr>
                                      <w:bCs/>
                                      <w:szCs w:val="24"/>
                                    </w:rPr>
                                  </w:pPr>
                                  <w:sdt>
                                    <w:sdtPr>
                                      <w:alias w:val="Numeris"/>
                                      <w:tag w:val="nr_860948df349e434397c0a49542f63bc0"/>
                                      <w:lock w:val="sdtLocked"/>
                                      <w:richText/>
                                    </w:sdtPr>
                                    <w:sdtContent>
                                      <w:r>
                                        <w:rPr>
                                          <w:szCs w:val="24"/>
                                        </w:rPr>
                                        <w:t>8.1.1</w:t>
                                      </w:r>
                                      <w:r>
                                        <w:rPr>
                                          <w:szCs w:val="24"/>
                                          <w:vertAlign w:val="superscript"/>
                                        </w:rPr>
                                        <w:t>1</w:t>
                                      </w:r>
                                      <w:r>
                                        <w:rPr>
                                          <w:szCs w:val="24"/>
                                        </w:rPr>
                                        <w:t>.2</w:t>
                                      </w:r>
                                    </w:sdtContent>
                                  </w:sdt>
                                  <w:r>
                                    <w:rPr>
                                      <w:szCs w:val="24"/>
                                    </w:rPr>
                                    <w:t xml:space="preserve">. </w:t>
                                  </w:r>
                                  <w:r>
                                    <w:rPr>
                                      <w:bCs/>
                                      <w:szCs w:val="24"/>
                                    </w:rPr>
                                    <w:t>įvertinus efektyvumo rodiklį, pagal atitinkamais metais galiojusią Komisijos patvirtintą Elektros energijos perdavimo, skirstymo ir visuomeninio tiekimo paslaugų bei visuomeninės kainos viršutinės ribos nustatymo metodiką;</w:t>
                                  </w:r>
                                </w:p>
                              </w:sdtContent>
                            </w:sdt>
                            <w:sdt>
                              <w:sdtPr>
                                <w:alias w:val="8.1.1-1.3 p."/>
                                <w:tag w:val="part_dc634b3f54944a88b14c3e2b7a60bffb"/>
                                <w:lock w:val="sdtLocked"/>
                                <w:richText/>
                              </w:sdtPr>
                              <w:sdtContent>
                                <w:p>
                                  <w:pPr>
                                    <w:tabs>
                                      <w:tab w:val="left" w:pos="1134"/>
                                      <w:tab w:val="left" w:pos="1276"/>
                                    </w:tabs>
                                    <w:ind w:firstLine="709"/>
                                    <w:jc w:val="both"/>
                                  </w:pPr>
                                  <w:sdt>
                                    <w:sdtPr>
                                      <w:alias w:val="Numeris"/>
                                      <w:tag w:val="nr_dc634b3f54944a88b14c3e2b7a60bffb"/>
                                      <w:lock w:val="sdtLocked"/>
                                      <w:richText/>
                                    </w:sdtPr>
                                    <w:sdtContent>
                                      <w:r>
                                        <w:rPr>
                                          <w:bCs/>
                                          <w:szCs w:val="24"/>
                                        </w:rPr>
                                        <w:t>8.1.1</w:t>
                                      </w:r>
                                      <w:r>
                                        <w:rPr>
                                          <w:bCs/>
                                          <w:szCs w:val="24"/>
                                          <w:vertAlign w:val="superscript"/>
                                        </w:rPr>
                                        <w:t>1</w:t>
                                      </w:r>
                                      <w:r>
                                        <w:rPr>
                                          <w:bCs/>
                                          <w:szCs w:val="24"/>
                                        </w:rPr>
                                        <w:t>.3</w:t>
                                      </w:r>
                                    </w:sdtContent>
                                  </w:sdt>
                                  <w:r>
                                    <w:rPr>
                                      <w:bCs/>
                                      <w:szCs w:val="24"/>
                                    </w:rPr>
                                    <w:t xml:space="preserve">. </w:t>
                                  </w:r>
                                  <w:r>
                                    <w:rPr>
                                      <w:szCs w:val="24"/>
                                    </w:rPr>
                                    <w:t xml:space="preserve">įvertinus </w:t>
                                  </w:r>
                                  <w:r>
                                    <w:rPr>
                                      <w:bCs/>
                                      <w:szCs w:val="24"/>
                                    </w:rPr>
                                    <w:t xml:space="preserve">Apraše </w:t>
                                  </w:r>
                                  <w:r>
                                    <w:rPr>
                                      <w:szCs w:val="24"/>
                                    </w:rPr>
                                    <w:t>nustatytą reguliuojamai veiklai vykdyti būtinųjų leistinų sąnaudų procentą</w:t>
                                  </w:r>
                                  <w:r>
                                    <w:rPr>
                                      <w:bCs/>
                                      <w:szCs w:val="24"/>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8.1.2 p."/>
                            <w:tag w:val="part_d86ba2c9ee2845228be76d3d905024e0"/>
                            <w:lock w:val="sdtLocked"/>
                            <w:richText/>
                          </w:sdtPr>
                          <w:sdtContent>
                            <w:p>
                              <w:pPr>
                                <w:tabs>
                                  <w:tab w:val="left" w:pos="1134"/>
                                </w:tabs>
                                <w:ind w:firstLine="709"/>
                                <w:jc w:val="both"/>
                                <w:rPr>
                                  <w:szCs w:val="24"/>
                                </w:rPr>
                              </w:pPr>
                              <w:sdt>
                                <w:sdtPr>
                                  <w:alias w:val="Numeris"/>
                                  <w:tag w:val="nr_d86ba2c9ee2845228be76d3d905024e0"/>
                                  <w:lock w:val="sdtLocked"/>
                                  <w:richText/>
                                </w:sdtPr>
                                <w:sdtContent>
                                  <w:r>
                                    <w:rPr>
                                      <w:szCs w:val="24"/>
                                    </w:rPr>
                                    <w:t>8.1.2</w:t>
                                  </w:r>
                                </w:sdtContent>
                              </w:sdt>
                              <w:r>
                                <w:rPr>
                                  <w:szCs w:val="24"/>
                                </w:rPr>
                                <w:t>. priežasčių, kurias Įmonė nurodė kaip lemiančias šių kaštų apimties pokyčius, pagrįstumą, pateikiant per reguliavimo periodą numatomų remontų planus ir investicijų programą;</w:t>
                              </w:r>
                            </w:p>
                          </w:sdtContent>
                        </w:sdt>
                        <w:sdt>
                          <w:sdtPr>
                            <w:alias w:val="8.1.3 p."/>
                            <w:tag w:val="part_35d7d45b63864a3e8d75429f8f04fbe1"/>
                            <w:lock w:val="sdtLocked"/>
                            <w:richText/>
                          </w:sdtPr>
                          <w:sdtContent>
                            <w:p>
                              <w:pPr>
                                <w:tabs>
                                  <w:tab w:val="left" w:pos="993"/>
                                  <w:tab w:val="left" w:pos="1134"/>
                                </w:tabs>
                                <w:ind w:firstLine="709"/>
                                <w:jc w:val="both"/>
                                <w:rPr>
                                  <w:szCs w:val="24"/>
                                </w:rPr>
                              </w:pPr>
                              <w:sdt>
                                <w:sdtPr>
                                  <w:alias w:val="Numeris"/>
                                  <w:tag w:val="nr_35d7d45b63864a3e8d75429f8f04fbe1"/>
                                  <w:lock w:val="sdtLocked"/>
                                  <w:richText/>
                                </w:sdtPr>
                                <w:sdtContent>
                                  <w:r>
                                    <w:rPr>
                                      <w:szCs w:val="24"/>
                                    </w:rPr>
                                    <w:t>8.1.3</w:t>
                                  </w:r>
                                </w:sdtContent>
                              </w:sdt>
                              <w:r>
                                <w:rPr>
                                  <w:szCs w:val="24"/>
                                </w:rPr>
                                <w:t>. Ekonomiškai pagrįstas metinis remonto, priežiūros, eksploatavimo kaštų, personalo kaštų (išskyrus darbo užmokesčio kaštus), administracinių kaštų, rinkodaros ir pardavimo kaštų, kitų paskirstomų kaštų dydis pirmiems reguliavimo periodo metams, išskyrus Metodikos 8.1.1</w:t>
                              </w:r>
                              <w:r>
                                <w:rPr>
                                  <w:szCs w:val="24"/>
                                  <w:vertAlign w:val="superscript"/>
                                </w:rPr>
                                <w:t>1</w:t>
                              </w:r>
                              <w:r>
                                <w:rPr>
                                  <w:szCs w:val="24"/>
                                </w:rPr>
                                <w:t xml:space="preserve"> punkto atveju, yra apskaičiuojamas pagal formulę:</w:t>
                              </w:r>
                            </w:p>
                            <w:p>
                              <w:pPr>
                                <w:tabs>
                                  <w:tab w:val="left" w:pos="993"/>
                                  <w:tab w:val="left" w:pos="1134"/>
                                </w:tabs>
                                <w:ind w:left="709"/>
                                <w:jc w:val="both"/>
                                <w:rPr>
                                  <w:szCs w:val="24"/>
                                </w:rPr>
                              </w:pPr>
                            </w:p>
                            <w:p>
                              <w:pPr>
                                <w:tabs>
                                  <w:tab w:val="left" w:pos="993"/>
                                  <w:tab w:val="left" w:pos="1134"/>
                                </w:tabs>
                                <w:ind w:left="709"/>
                                <w:jc w:val="both"/>
                                <w:rPr>
                                  <w:szCs w:val="24"/>
                                </w:rPr>
                              </w:pPr>
                            </w:p>
                            <w:p>
                              <w:pPr>
                                <w:tabs>
                                  <w:tab w:val="left" w:pos="993"/>
                                  <w:tab w:val="left" w:pos="1134"/>
                                </w:tabs>
                                <w:jc w:val="both"/>
                                <w:rPr>
                                  <w:i/>
                                  <w:szCs w:val="24"/>
                                  <w:lang w:val="en-US"/>
                                </w:rPr>
                              </w:pPr>
                              <w:r>
                                <w:rPr>
                                  <w:i/>
                                  <w:szCs w:val="24"/>
                                </w:rPr>
                                <w:t>OPEX</w:t>
                              </w:r>
                              <w:r>
                                <w:rPr>
                                  <w:i/>
                                  <w:szCs w:val="24"/>
                                  <w:vertAlign w:val="subscript"/>
                                </w:rPr>
                                <w:t xml:space="preserve">t(be DU) </w:t>
                              </w:r>
                              <w:r>
                                <w:rPr>
                                  <w:i/>
                                  <w:szCs w:val="24"/>
                                  <w:lang w:val="en-US"/>
                                </w:rPr>
                                <w:t>= OPEX</w:t>
                              </w:r>
                              <w:r>
                                <w:rPr>
                                  <w:i/>
                                  <w:szCs w:val="24"/>
                                  <w:vertAlign w:val="subscript"/>
                                  <w:lang w:val="en-US"/>
                                </w:rPr>
                                <w:t xml:space="preserve">t-2(be DU) </w:t>
                              </w:r>
                              <w:r>
                                <w:rPr>
                                  <w:i/>
                                  <w:szCs w:val="24"/>
                                  <w:lang w:val="en-US"/>
                                </w:rPr>
                                <w:t xml:space="preserve">× ( </w:t>
                              </w:r>
                              <m:oMath>
                                <m:f>
                                  <m:fPr>
                                    <m:ctrlPr>
                                      <w:rPr>
                                        <w:rFonts w:ascii="Cambria Math" w:hAnsi="Cambria Math"/>
                                        <w:i/>
                                        <w:szCs w:val="24"/>
                                        <w:lang w:val="en-US"/>
                                      </w:rPr>
                                    </m:ctrlPr>
                                  </m:fPr>
                                  <m:num>
                                    <m:sSub>
                                      <m:sSubPr>
                                        <m:ctrlPr>
                                          <w:rPr>
                                            <w:rFonts w:ascii="Cambria Math" w:hAnsi="Cambria Math"/>
                                            <w:i/>
                                            <w:szCs w:val="24"/>
                                            <w:lang w:val="en-US"/>
                                          </w:rPr>
                                        </m:ctrlPr>
                                      </m:sSubPr>
                                      <m:e>
                                        <m:r>
                                          <w:rPr>
                                            <w:rFonts w:ascii="Cambria Math" w:hAnsi="Cambria Math"/>
                                            <w:szCs w:val="24"/>
                                            <w:lang w:val="en-US"/>
                                          </w:rPr>
                                          <m:t>i</m:t>
                                        </m:r>
                                      </m:e>
                                      <m:sub>
                                        <m:r>
                                          <w:rPr>
                                            <w:rFonts w:ascii="Cambria Math" w:hAnsi="Cambria Math"/>
                                            <w:szCs w:val="24"/>
                                            <w:lang w:val="en-US"/>
                                          </w:rPr>
                                          <m:t>t</m:t>
                                        </m:r>
                                        <m:r>
                                          <w:rPr>
                                            <w:rFonts w:ascii="Cambria Math" w:hAnsi="Cambria Math"/>
                                            <w:szCs w:val="24"/>
                                            <w:lang w:val="en-US"/>
                                          </w:rPr>
                                          <m:t>-1</m:t>
                                        </m:r>
                                      </m:sub>
                                    </m:sSub>
                                    <m:r>
                                      <w:rPr>
                                        <w:rFonts w:ascii="Cambria Math" w:hAnsi="Cambria Math"/>
                                        <w:szCs w:val="24"/>
                                        <w:lang w:val="en-US"/>
                                      </w:rPr>
                                      <m:t>-</m:t>
                                    </m:r>
                                    <m:r>
                                      <w:rPr>
                                        <w:rFonts w:ascii="Cambria Math" w:hAnsi="Cambria Math"/>
                                        <w:szCs w:val="24"/>
                                        <w:lang w:val="en-US"/>
                                      </w:rPr>
                                      <m:t>e</m:t>
                                    </m:r>
                                    <m:r>
                                      <w:rPr>
                                        <w:rFonts w:ascii="Cambria Math" w:hAnsi="Cambria Math"/>
                                        <w:szCs w:val="24"/>
                                        <w:lang w:val="en-US"/>
                                      </w:rPr>
                                      <m:t xml:space="preserve"> </m:t>
                                    </m:r>
                                  </m:num>
                                  <m:den>
                                    <m:r>
                                      <w:rPr>
                                        <w:rFonts w:ascii="Cambria Math" w:hAnsi="Cambria Math"/>
                                        <w:szCs w:val="24"/>
                                        <w:lang w:val="en-US"/>
                                      </w:rPr>
                                      <m:t>100</m:t>
                                    </m:r>
                                  </m:den>
                                </m:f>
                                <m:r>
                                  <w:rPr>
                                    <w:rFonts w:ascii="Cambria Math" w:hAnsi="Cambria Math"/>
                                    <w:szCs w:val="24"/>
                                    <w:lang w:val="en-US"/>
                                  </w:rPr>
                                  <m:t xml:space="preserve"> </m:t>
                                </m:r>
                              </m:oMath>
                              <w:r>
                                <w:rPr>
                                  <w:i/>
                                  <w:szCs w:val="24"/>
                                  <w:lang w:val="en-US"/>
                                </w:rPr>
                                <w:t xml:space="preserve"> + 1) × (</w:t>
                              </w:r>
                              <m:oMath>
                                <m:r>
                                  <w:rPr>
                                    <w:rFonts w:ascii="Cambria Math" w:hAnsi="Cambria Math"/>
                                    <w:szCs w:val="24"/>
                                    <w:lang w:val="en-US"/>
                                  </w:rPr>
                                  <m:t xml:space="preserve"> </m:t>
                                </m:r>
                                <m:f>
                                  <m:fPr>
                                    <m:ctrlPr>
                                      <w:rPr>
                                        <w:rFonts w:ascii="Cambria Math" w:hAnsi="Cambria Math"/>
                                        <w:i/>
                                        <w:szCs w:val="24"/>
                                        <w:lang w:val="en-US"/>
                                      </w:rPr>
                                    </m:ctrlPr>
                                  </m:fPr>
                                  <m:num>
                                    <m:sSub>
                                      <m:sSubPr>
                                        <m:ctrlPr>
                                          <w:rPr>
                                            <w:rFonts w:ascii="Cambria Math" w:hAnsi="Cambria Math"/>
                                            <w:i/>
                                            <w:szCs w:val="24"/>
                                            <w:lang w:val="en-US"/>
                                          </w:rPr>
                                        </m:ctrlPr>
                                      </m:sSubPr>
                                      <m:e>
                                        <m:r>
                                          <w:rPr>
                                            <w:rFonts w:ascii="Cambria Math" w:hAnsi="Cambria Math"/>
                                            <w:szCs w:val="24"/>
                                            <w:lang w:val="en-US"/>
                                          </w:rPr>
                                          <m:t xml:space="preserve"> </m:t>
                                        </m:r>
                                        <m:r>
                                          <w:rPr>
                                            <w:rFonts w:ascii="Cambria Math" w:hAnsi="Cambria Math"/>
                                            <w:szCs w:val="24"/>
                                            <w:lang w:val="en-US"/>
                                          </w:rPr>
                                          <m:t>i</m:t>
                                        </m:r>
                                      </m:e>
                                      <m:sub>
                                        <m:r>
                                          <w:rPr>
                                            <w:rFonts w:ascii="Cambria Math" w:hAnsi="Cambria Math"/>
                                            <w:szCs w:val="24"/>
                                            <w:lang w:val="en-US"/>
                                          </w:rPr>
                                          <m:t>t</m:t>
                                        </m:r>
                                      </m:sub>
                                    </m:sSub>
                                    <m:r>
                                      <w:rPr>
                                        <w:rFonts w:ascii="Cambria Math" w:hAnsi="Cambria Math"/>
                                        <w:szCs w:val="24"/>
                                        <w:lang w:val="en-US"/>
                                      </w:rPr>
                                      <m:t>-</m:t>
                                    </m:r>
                                    <m:r>
                                      <w:rPr>
                                        <w:rFonts w:ascii="Cambria Math" w:hAnsi="Cambria Math"/>
                                        <w:szCs w:val="24"/>
                                        <w:lang w:val="en-US"/>
                                      </w:rPr>
                                      <m:t>e</m:t>
                                    </m:r>
                                    <m:r>
                                      <w:rPr>
                                        <w:rFonts w:ascii="Cambria Math" w:hAnsi="Cambria Math"/>
                                        <w:szCs w:val="24"/>
                                        <w:lang w:val="en-US"/>
                                      </w:rPr>
                                      <m:t xml:space="preserve"> </m:t>
                                    </m:r>
                                  </m:num>
                                  <m:den>
                                    <m:r>
                                      <w:rPr>
                                        <w:rFonts w:ascii="Cambria Math" w:hAnsi="Cambria Math"/>
                                        <w:szCs w:val="24"/>
                                        <w:lang w:val="en-US"/>
                                      </w:rPr>
                                      <m:t>100</m:t>
                                    </m:r>
                                  </m:den>
                                </m:f>
                                <m:r>
                                  <w:rPr>
                                    <w:rFonts w:ascii="Cambria Math" w:hAnsi="Cambria Math"/>
                                    <w:szCs w:val="24"/>
                                    <w:lang w:val="en-US"/>
                                  </w:rPr>
                                  <m:t xml:space="preserve"> </m:t>
                                </m:r>
                              </m:oMath>
                              <w:r>
                                <w:rPr>
                                  <w:i/>
                                  <w:szCs w:val="24"/>
                                  <w:lang w:val="en-US"/>
                                </w:rPr>
                                <w:t xml:space="preserve"> + 1) </w:t>
                                <w:tab/>
                                <w:tab/>
                                <w:tab/>
                                <w:t>(3)</w:t>
                              </w:r>
                            </w:p>
                            <w:p>
                              <w:pPr>
                                <w:tabs>
                                  <w:tab w:val="left" w:pos="993"/>
                                  <w:tab w:val="left" w:pos="1134"/>
                                </w:tabs>
                                <w:ind w:left="709"/>
                                <w:jc w:val="both"/>
                                <w:rPr>
                                  <w:szCs w:val="24"/>
                                </w:rPr>
                              </w:pPr>
                            </w:p>
                            <w:p>
                              <w:pPr>
                                <w:tabs>
                                  <w:tab w:val="left" w:pos="993"/>
                                  <w:tab w:val="left" w:pos="1134"/>
                                </w:tabs>
                                <w:ind w:left="709"/>
                                <w:jc w:val="both"/>
                                <w:rPr>
                                  <w:szCs w:val="24"/>
                                </w:rPr>
                              </w:pPr>
                            </w:p>
                            <w:p>
                              <w:pPr>
                                <w:jc w:val="both"/>
                                <w:rPr>
                                  <w:i/>
                                  <w:szCs w:val="24"/>
                                  <w:lang w:eastAsia="lt-LT"/>
                                </w:rPr>
                              </w:pPr>
                              <w:r>
                                <w:rPr>
                                  <w:i/>
                                  <w:szCs w:val="24"/>
                                  <w:lang w:eastAsia="lt-LT"/>
                                </w:rPr>
                                <w:t xml:space="preserve">čia: </w:t>
                              </w:r>
                            </w:p>
                            <w:p>
                              <w:pPr>
                                <w:jc w:val="both"/>
                                <w:rPr>
                                  <w:szCs w:val="24"/>
                                  <w:lang w:eastAsia="lt-LT"/>
                                </w:rPr>
                              </w:pPr>
                              <w:r>
                                <w:rPr>
                                  <w:szCs w:val="24"/>
                                  <w:lang w:eastAsia="lt-LT"/>
                                </w:rPr>
                                <w:t>OPEX</w:t>
                              </w:r>
                              <w:r>
                                <w:rPr>
                                  <w:szCs w:val="24"/>
                                  <w:vertAlign w:val="subscript"/>
                                  <w:lang w:eastAsia="lt-LT"/>
                                </w:rPr>
                                <w:t>t</w:t>
                              </w:r>
                              <w:r>
                                <w:rPr>
                                  <w:szCs w:val="24"/>
                                  <w:lang w:eastAsia="lt-LT"/>
                                </w:rPr>
                                <w:t xml:space="preserve"> </w:t>
                              </w:r>
                              <w:r>
                                <w:rPr>
                                  <w:szCs w:val="24"/>
                                  <w:vertAlign w:val="subscript"/>
                                  <w:lang w:eastAsia="lt-LT"/>
                                </w:rPr>
                                <w:t>(be DU)</w:t>
                              </w:r>
                              <w:r>
                                <w:rPr>
                                  <w:szCs w:val="24"/>
                                  <w:lang w:eastAsia="lt-LT"/>
                                </w:rPr>
                                <w:t xml:space="preserve"> – remonto, priežiūros, eksploatavimo kaštai, personalo kaštai  (išskyrus darbo užmokesčio kaštus), administraciniai kaštai, rinkodaros ir pardavimo kaštai,  kiti paskirstomi kaštai metais t (pirmaisiais reguliavimo metais); </w:t>
                              </w:r>
                            </w:p>
                            <w:p>
                              <w:pPr>
                                <w:jc w:val="both"/>
                                <w:rPr>
                                  <w:szCs w:val="24"/>
                                  <w:lang w:eastAsia="lt-LT"/>
                                </w:rPr>
                              </w:pPr>
                              <w:r>
                                <w:rPr>
                                  <w:szCs w:val="24"/>
                                  <w:lang w:eastAsia="lt-LT"/>
                                </w:rPr>
                                <w:t>OPEX</w:t>
                              </w:r>
                              <w:r>
                                <w:rPr>
                                  <w:szCs w:val="24"/>
                                  <w:vertAlign w:val="subscript"/>
                                  <w:lang w:eastAsia="lt-LT"/>
                                </w:rPr>
                                <w:t xml:space="preserve">t-2 (be DU) </w:t>
                              </w:r>
                              <w:r>
                                <w:rPr>
                                  <w:szCs w:val="24"/>
                                  <w:lang w:eastAsia="lt-LT"/>
                                </w:rPr>
                                <w:t xml:space="preserve">– remonto, priežiūros, eksploatavimo kaštai, personalo kaštai (išskyrus darbo užmokesčio kaštus), administraciniai kaštai, rinkodaros ir pardavimo kaštai,  kiti paskirstomi kaštai metais t-2; </w:t>
                              </w:r>
                            </w:p>
                            <w:p>
                              <w:pPr>
                                <w:jc w:val="both"/>
                                <w:rPr>
                                  <w:szCs w:val="24"/>
                                  <w:lang w:eastAsia="lt-LT"/>
                                </w:rPr>
                              </w:pPr>
                              <w:r>
                                <w:rPr>
                                  <w:szCs w:val="24"/>
                                  <w:lang w:eastAsia="lt-LT"/>
                                </w:rPr>
                                <w:t>i</w:t>
                              </w:r>
                              <w:r>
                                <w:rPr>
                                  <w:szCs w:val="24"/>
                                  <w:vertAlign w:val="subscript"/>
                                  <w:lang w:eastAsia="lt-LT"/>
                                </w:rPr>
                                <w:t>t</w:t>
                              </w:r>
                              <w:r>
                                <w:rPr>
                                  <w:szCs w:val="24"/>
                                  <w:lang w:eastAsia="lt-LT"/>
                                </w:rPr>
                                <w:t xml:space="preserve"> – vidutinio metinio vartotojų kainų indekso (VKI) pokytis metais t lyginant su atitinkamu indeksu metais t-1, %. Jis nustatomas pagal Finansų ministerijos duomenis. Nesant Finansų ministerijos duomenų, nustatoma pagal Lietuvos banko duomenis; </w:t>
                              </w:r>
                            </w:p>
                            <w:p>
                              <w:pPr>
                                <w:jc w:val="both"/>
                                <w:rPr>
                                  <w:szCs w:val="24"/>
                                  <w:lang w:eastAsia="lt-LT"/>
                                </w:rPr>
                              </w:pPr>
                              <w:r>
                                <w:rPr>
                                  <w:szCs w:val="24"/>
                                  <w:lang w:eastAsia="lt-LT"/>
                                </w:rPr>
                                <w:t>i</w:t>
                              </w:r>
                              <w:r>
                                <w:rPr>
                                  <w:szCs w:val="24"/>
                                  <w:vertAlign w:val="subscript"/>
                                  <w:lang w:eastAsia="lt-LT"/>
                                </w:rPr>
                                <w:t>t-1</w:t>
                              </w:r>
                              <w:r>
                                <w:rPr>
                                  <w:szCs w:val="24"/>
                                  <w:lang w:eastAsia="lt-LT"/>
                                </w:rPr>
                                <w:t xml:space="preserve">  –  vidutinio metinio vartotojų kainų indekso (VKI) pokytis metais t-1 lyginant su atitinkamu indeksu metais t-2, %. Jis nustatomas pagal Finansų ministerijos duomenis. Nesant Finansų ministerijos duomenų, nustatoma pagal Lietuvos banko duomenis; </w:t>
                              </w:r>
                            </w:p>
                            <w:p>
                              <w:pPr>
                                <w:jc w:val="both"/>
                              </w:pPr>
                              <w:r>
                                <w:rPr>
                                  <w:szCs w:val="24"/>
                                  <w:lang w:eastAsia="lt-LT"/>
                                </w:rPr>
                                <w:t xml:space="preserve">e – efektyvumo koeficientas, %;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8.1.4 p."/>
                            <w:tag w:val="part_a5234e5a81964f87bf84bfbca29b89a6"/>
                            <w:lock w:val="sdtLocked"/>
                            <w:richText/>
                          </w:sdtPr>
                          <w:sdtContent>
                            <w:p>
                              <w:pPr>
                                <w:tabs>
                                  <w:tab w:val="left" w:pos="993"/>
                                  <w:tab w:val="left" w:pos="1134"/>
                                </w:tabs>
                                <w:ind w:firstLine="709"/>
                                <w:jc w:val="both"/>
                                <w:rPr>
                                  <w:szCs w:val="24"/>
                                </w:rPr>
                              </w:pPr>
                              <w:sdt>
                                <w:sdtPr>
                                  <w:alias w:val="Numeris"/>
                                  <w:tag w:val="nr_a5234e5a81964f87bf84bfbca29b89a6"/>
                                  <w:lock w:val="sdtLocked"/>
                                  <w:richText/>
                                </w:sdtPr>
                                <w:sdtContent>
                                  <w:r>
                                    <w:rPr>
                                      <w:szCs w:val="24"/>
                                    </w:rPr>
                                    <w:t>8.1.4</w:t>
                                  </w:r>
                                </w:sdtContent>
                              </w:sdt>
                              <w:r>
                                <w:rPr>
                                  <w:szCs w:val="24"/>
                                </w:rPr>
                                <w:t>. Visais kitais metais, einančiais po pirmųjų naujojo reguliavimo periodo metų, šių kaštų apimtis kiekvieniems metams nustatoma įvertinus Finansų ministerijos prognozuojamos metinės infliacijos dydį ir efektyvumo rodiklį, kuris yra lygus 1 proc.</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8.2 p."/>
                        <w:tag w:val="part_54842da0eb6e4e66ab65af0345f9e3ad"/>
                        <w:lock w:val="sdtLocked"/>
                        <w:richText/>
                      </w:sdtPr>
                      <w:sdtContent>
                        <w:p>
                          <w:pPr>
                            <w:tabs>
                              <w:tab w:val="left" w:pos="1134"/>
                            </w:tabs>
                            <w:ind w:firstLine="709"/>
                            <w:jc w:val="both"/>
                            <w:rPr>
                              <w:szCs w:val="24"/>
                            </w:rPr>
                          </w:pPr>
                          <w:sdt>
                            <w:sdtPr>
                              <w:alias w:val="Numeris"/>
                              <w:tag w:val="nr_54842da0eb6e4e66ab65af0345f9e3ad"/>
                              <w:lock w:val="sdtLocked"/>
                              <w:richText/>
                            </w:sdtPr>
                            <w:sdtContent>
                              <w:r>
                                <w:rPr>
                                  <w:szCs w:val="24"/>
                                </w:rPr>
                                <w:t>8.2</w:t>
                              </w:r>
                            </w:sdtContent>
                          </w:sdt>
                          <w:r>
                            <w:rPr>
                              <w:szCs w:val="24"/>
                            </w:rPr>
                            <w:t>. darbo užmokesčio kaštų atveju atsižvelgiama į:</w:t>
                          </w:r>
                        </w:p>
                        <w:sdt>
                          <w:sdtPr>
                            <w:alias w:val="8.2.1 p."/>
                            <w:tag w:val="part_08b41af5f0844f36923854bbd9e4c604"/>
                            <w:lock w:val="sdtLocked"/>
                            <w:richText/>
                          </w:sdtPr>
                          <w:sdtContent>
                            <w:p>
                              <w:pPr>
                                <w:tabs>
                                  <w:tab w:val="left" w:pos="993"/>
                                </w:tabs>
                                <w:ind w:firstLine="709"/>
                                <w:jc w:val="both"/>
                              </w:pPr>
                              <w:sdt>
                                <w:sdtPr>
                                  <w:alias w:val="Numeris"/>
                                  <w:tag w:val="nr_08b41af5f0844f36923854bbd9e4c604"/>
                                  <w:lock w:val="sdtLocked"/>
                                  <w:richText/>
                                </w:sdtPr>
                                <w:sdtContent>
                                  <w:r>
                                    <w:rPr>
                                      <w:szCs w:val="24"/>
                                    </w:rPr>
                                    <w:t>8.2.1</w:t>
                                  </w:r>
                                </w:sdtContent>
                              </w:sdt>
                              <w:r>
                                <w:rPr>
                                  <w:szCs w:val="24"/>
                                </w:rPr>
                                <w:t xml:space="preserve">.  praėjusio reguliavimo  periodo priešpaskutinių metų  Komisijos nustatytą šių kaštų metinę apimtį arba faktinę pagrįstą šių kaštų metinę apimtį, įvertinus Finansų ministerijos prognozuojamą realaus vidutinio darbo užmokesčio pokytį, pakoreguotą efektyvumo  rodikliu, kuris yra lygus  1 proc. Jeigu Įmonė per praėjusį reguliavimo periodą veikė efektyviai, t. y. praėjusio reguliavimo periodo priešpaskutinių metų faktinė pagrįsta  darbo užmokesčio apimtis  buvo mažesnė už Komisijos nustatytą, – atsižvelgiama į faktinę pagrįstą šių kaštų metinę apimtį. Jeigu Įmonė per praėjusį reguliavimo periodą veikė neefektyviai, t. y. praėjusio reguliavimo periodo priešpaskutinių metų  darbo užmokesčio apimtis buvo  didesnė už Komisijos nustatytą  – atsižvelgiama į faktinę pagrįstą šių kaštų metinę apimtį. </w:t>
                              </w:r>
                            </w:p>
                          </w:sdtContent>
                        </w:sdt>
                        <w:sdt>
                          <w:sdtPr>
                            <w:alias w:val="8.2.1-1 p."/>
                            <w:tag w:val="part_366868b6711e416f864dcdf33c81fa35"/>
                            <w:lock w:val="sdtLocked"/>
                            <w:richText/>
                          </w:sdtPr>
                          <w:sdtContent>
                            <w:p>
                              <w:pPr>
                                <w:tabs>
                                  <w:tab w:val="left" w:pos="1134"/>
                                  <w:tab w:val="left" w:pos="1276"/>
                                </w:tabs>
                                <w:ind w:firstLine="709"/>
                                <w:jc w:val="both"/>
                                <w:rPr>
                                  <w:bCs/>
                                  <w:szCs w:val="24"/>
                                </w:rPr>
                              </w:pPr>
                              <w:sdt>
                                <w:sdtPr>
                                  <w:alias w:val="Numeris"/>
                                  <w:tag w:val="nr_366868b6711e416f864dcdf33c81fa35"/>
                                  <w:lock w:val="sdtLocked"/>
                                  <w:richText/>
                                </w:sdtPr>
                                <w:sdtContent>
                                  <w:r>
                                    <w:rPr>
                                      <w:szCs w:val="24"/>
                                    </w:rPr>
                                    <w:t>8.2.1</w:t>
                                  </w:r>
                                  <w:r>
                                    <w:rPr>
                                      <w:szCs w:val="24"/>
                                      <w:vertAlign w:val="superscript"/>
                                    </w:rPr>
                                    <w:t>1</w:t>
                                  </w:r>
                                </w:sdtContent>
                              </w:sdt>
                              <w:r>
                                <w:rPr>
                                  <w:bCs/>
                                  <w:szCs w:val="24"/>
                                </w:rPr>
                                <w:t>. Įmonėms, kurioms Komisija yra atlikusi reguliuojamų paslaugų sąnaudų pagrįstumo (būtinumo) patikrinimą, naujojo reguliavimo periodo pagrįstų metinių darbo užmokesčio kaštų dydis nustatomas:</w:t>
                              </w:r>
                            </w:p>
                            <w:sdt>
                              <w:sdtPr>
                                <w:alias w:val="8.2.1-1.1 p."/>
                                <w:tag w:val="part_3a2b7c06955548efbc12fff9cf1c21ba"/>
                                <w:lock w:val="sdtLocked"/>
                                <w:richText/>
                              </w:sdtPr>
                              <w:sdtContent>
                                <w:p>
                                  <w:pPr>
                                    <w:tabs>
                                      <w:tab w:val="left" w:pos="1134"/>
                                      <w:tab w:val="left" w:pos="1276"/>
                                    </w:tabs>
                                    <w:ind w:firstLine="769"/>
                                    <w:jc w:val="both"/>
                                    <w:rPr>
                                      <w:bCs/>
                                      <w:szCs w:val="24"/>
                                    </w:rPr>
                                  </w:pPr>
                                  <w:sdt>
                                    <w:sdtPr>
                                      <w:alias w:val="Numeris"/>
                                      <w:tag w:val="nr_3a2b7c06955548efbc12fff9cf1c21ba"/>
                                      <w:lock w:val="sdtLocked"/>
                                      <w:richText/>
                                    </w:sdtPr>
                                    <w:sdtContent>
                                      <w:r>
                                        <w:rPr>
                                          <w:szCs w:val="24"/>
                                        </w:rPr>
                                        <w:t>8.2.1</w:t>
                                      </w:r>
                                      <w:r>
                                        <w:rPr>
                                          <w:szCs w:val="24"/>
                                          <w:vertAlign w:val="superscript"/>
                                        </w:rPr>
                                        <w:t>1</w:t>
                                      </w:r>
                                      <w:r>
                                        <w:rPr>
                                          <w:szCs w:val="24"/>
                                        </w:rPr>
                                        <w:t>.1</w:t>
                                      </w:r>
                                    </w:sdtContent>
                                  </w:sdt>
                                  <w:r>
                                    <w:rPr>
                                      <w:szCs w:val="24"/>
                                    </w:rPr>
                                    <w:t xml:space="preserve">. </w:t>
                                  </w:r>
                                  <w:r>
                                    <w:rPr>
                                      <w:bCs/>
                                      <w:szCs w:val="24"/>
                                    </w:rPr>
                                    <w:t xml:space="preserve">Komisijos atlikto paskutinių reguliuojamų paslaugų sąnaudų pagrįstumo (būtinumo) patikrinimo metų pagrįstą šių kaštų dydį, pakoreguojant prognozuojamu vidutinio metinio vartotojų kainų indekso (VKI) arba Finansų ministerijos prognozuojamu </w:t>
                                  </w:r>
                                  <w:r>
                                    <w:rPr>
                                      <w:szCs w:val="24"/>
                                    </w:rPr>
                                    <w:t xml:space="preserve">realaus vidutinio darbo užmokesčio </w:t>
                                  </w:r>
                                  <w:r>
                                    <w:rPr>
                                      <w:bCs/>
                                      <w:szCs w:val="24"/>
                                    </w:rPr>
                                    <w:t>pokyčiu, pagal atitinkamais metais galiojusią Komisijos patvirtintą Elektros energijos perdavimo, skirstymo ir visuomeninio tiekimo paslaugų bei visuomeninės kainos viršutinės ribos nustatymo metodiką;</w:t>
                                  </w:r>
                                </w:p>
                              </w:sdtContent>
                            </w:sdt>
                            <w:sdt>
                              <w:sdtPr>
                                <w:alias w:val="8.2.1-1.2 p."/>
                                <w:tag w:val="part_0fa16d5e669b4a0ca6b3a0d84dca6948"/>
                                <w:lock w:val="sdtLocked"/>
                                <w:richText/>
                              </w:sdtPr>
                              <w:sdtContent>
                                <w:p>
                                  <w:pPr>
                                    <w:tabs>
                                      <w:tab w:val="left" w:pos="1134"/>
                                      <w:tab w:val="left" w:pos="1276"/>
                                    </w:tabs>
                                    <w:ind w:firstLine="709"/>
                                    <w:jc w:val="both"/>
                                    <w:rPr>
                                      <w:bCs/>
                                      <w:szCs w:val="24"/>
                                    </w:rPr>
                                  </w:pPr>
                                  <w:sdt>
                                    <w:sdtPr>
                                      <w:alias w:val="Numeris"/>
                                      <w:tag w:val="nr_0fa16d5e669b4a0ca6b3a0d84dca6948"/>
                                      <w:lock w:val="sdtLocked"/>
                                      <w:richText/>
                                    </w:sdtPr>
                                    <w:sdtContent>
                                      <w:r>
                                        <w:rPr>
                                          <w:bCs/>
                                          <w:szCs w:val="24"/>
                                        </w:rPr>
                                        <w:t>8.2.1</w:t>
                                      </w:r>
                                      <w:r>
                                        <w:rPr>
                                          <w:bCs/>
                                          <w:szCs w:val="24"/>
                                          <w:vertAlign w:val="superscript"/>
                                        </w:rPr>
                                        <w:t>1</w:t>
                                      </w:r>
                                      <w:r>
                                        <w:rPr>
                                          <w:bCs/>
                                          <w:szCs w:val="24"/>
                                        </w:rPr>
                                        <w:t>.2</w:t>
                                      </w:r>
                                    </w:sdtContent>
                                  </w:sdt>
                                  <w:r>
                                    <w:rPr>
                                      <w:bCs/>
                                      <w:szCs w:val="24"/>
                                    </w:rPr>
                                    <w:t>. įvertinus efektyvumo rodiklį, pagal atitinkamais metais galiojusią Komisijos patvirtintą Elektros energijos perdavimo, skirstymo ir visuomeninio tiekimo paslaugų bei visuomeninės kainos viršutinės ribos nustatymo metodiką;</w:t>
                                  </w:r>
                                </w:p>
                              </w:sdtContent>
                            </w:sdt>
                            <w:sdt>
                              <w:sdtPr>
                                <w:alias w:val="8.2.1-1.3 p."/>
                                <w:tag w:val="part_fa3b94d5975c40f4822521ebf57fe8f9"/>
                                <w:lock w:val="sdtLocked"/>
                                <w:richText/>
                              </w:sdtPr>
                              <w:sdtContent>
                                <w:p>
                                  <w:pPr>
                                    <w:tabs>
                                      <w:tab w:val="left" w:pos="1134"/>
                                      <w:tab w:val="left" w:pos="1276"/>
                                    </w:tabs>
                                    <w:ind w:firstLine="709"/>
                                    <w:jc w:val="both"/>
                                  </w:pPr>
                                  <w:sdt>
                                    <w:sdtPr>
                                      <w:alias w:val="Numeris"/>
                                      <w:tag w:val="nr_fa3b94d5975c40f4822521ebf57fe8f9"/>
                                      <w:lock w:val="sdtLocked"/>
                                      <w:richText/>
                                    </w:sdtPr>
                                    <w:sdtContent>
                                      <w:r>
                                        <w:rPr>
                                          <w:bCs/>
                                          <w:szCs w:val="24"/>
                                        </w:rPr>
                                        <w:t>8.2.1</w:t>
                                      </w:r>
                                      <w:r>
                                        <w:rPr>
                                          <w:bCs/>
                                          <w:szCs w:val="24"/>
                                          <w:vertAlign w:val="superscript"/>
                                        </w:rPr>
                                        <w:t>1</w:t>
                                      </w:r>
                                      <w:r>
                                        <w:rPr>
                                          <w:bCs/>
                                          <w:szCs w:val="24"/>
                                        </w:rPr>
                                        <w:t>.3</w:t>
                                      </w:r>
                                    </w:sdtContent>
                                  </w:sdt>
                                  <w:r>
                                    <w:rPr>
                                      <w:bCs/>
                                      <w:szCs w:val="24"/>
                                    </w:rPr>
                                    <w:t>. atsižvelgiant į Metodikos 8.2.2 punkto nuostatas;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8.2.2 p."/>
                            <w:tag w:val="part_f7f1a3d891fa4cc69767a7f74ad39217"/>
                            <w:lock w:val="sdtLocked"/>
                            <w:richText/>
                          </w:sdtPr>
                          <w:sdtContent>
                            <w:p>
                              <w:pPr>
                                <w:tabs>
                                  <w:tab w:val="left" w:pos="1134"/>
                                  <w:tab w:val="left" w:pos="1276"/>
                                </w:tabs>
                                <w:ind w:firstLine="709"/>
                                <w:jc w:val="both"/>
                                <w:rPr>
                                  <w:szCs w:val="24"/>
                                </w:rPr>
                              </w:pPr>
                              <w:sdt>
                                <w:sdtPr>
                                  <w:alias w:val="Numeris"/>
                                  <w:tag w:val="nr_f7f1a3d891fa4cc69767a7f74ad39217"/>
                                  <w:lock w:val="sdtLocked"/>
                                  <w:richText/>
                                </w:sdtPr>
                                <w:sdtContent>
                                  <w:r>
                                    <w:rPr>
                                      <w:szCs w:val="24"/>
                                    </w:rPr>
                                    <w:t>8.2.2</w:t>
                                  </w:r>
                                </w:sdtContent>
                              </w:sdt>
                              <w:r>
                                <w:rPr>
                                  <w:szCs w:val="24"/>
                                </w:rPr>
                                <w:t xml:space="preserve">. gerą praktinį pavyzdį turinčių palyginamų kitų energetikos įmonių lyginamosios analizės darbo užmokesčio duomenis. Komisija, nustatydama  darbo užmokesčio kaštų dydį, gali atsižvelgti į konkrečios įmonės veiklos specifiką bei veiklos organizavimo būdą, leidžiantį sumažinti metinę  darbo užmokesčio apimtį, vertinant kompleksiškai;</w:t>
                              </w:r>
                              <w:r>
                                <w:t xml:space="preserve"> </w:t>
                              </w:r>
                            </w:p>
                          </w:sdtContent>
                        </w:sdt>
                        <w:sdt>
                          <w:sdtPr>
                            <w:alias w:val="8.2.3 p."/>
                            <w:tag w:val="part_56ab52680d6d482da34fd4c646c83351"/>
                            <w:lock w:val="sdtLocked"/>
                            <w:richText/>
                          </w:sdtPr>
                          <w:sdtContent>
                            <w:p>
                              <w:pPr>
                                <w:tabs>
                                  <w:tab w:val="left" w:pos="1276"/>
                                </w:tabs>
                                <w:ind w:firstLine="709"/>
                                <w:jc w:val="both"/>
                                <w:rPr>
                                  <w:szCs w:val="24"/>
                                </w:rPr>
                              </w:pPr>
                              <w:sdt>
                                <w:sdtPr>
                                  <w:alias w:val="Numeris"/>
                                  <w:tag w:val="nr_56ab52680d6d482da34fd4c646c83351"/>
                                  <w:lock w:val="sdtLocked"/>
                                  <w:richText/>
                                </w:sdtPr>
                                <w:sdtContent>
                                  <w:r>
                                    <w:rPr>
                                      <w:szCs w:val="24"/>
                                    </w:rPr>
                                    <w:t>8.2.3</w:t>
                                  </w:r>
                                </w:sdtContent>
                              </w:sdt>
                              <w:r>
                                <w:rPr>
                                  <w:szCs w:val="24"/>
                                </w:rPr>
                                <w:t>. priežasčių, kurias Įmonė nurodė kaip lemiančias šių kaštų apimties pokyčius, pagrįstumą;</w:t>
                              </w:r>
                            </w:p>
                          </w:sdtContent>
                        </w:sdt>
                        <w:sdt>
                          <w:sdtPr>
                            <w:alias w:val="8.2.4 p."/>
                            <w:tag w:val="part_b5446e5a598f4d968be6fea7916152ef"/>
                            <w:lock w:val="sdtLocked"/>
                            <w:richText/>
                          </w:sdtPr>
                          <w:sdtContent>
                            <w:p>
                              <w:pPr>
                                <w:tabs>
                                  <w:tab w:val="left" w:pos="1276"/>
                                </w:tabs>
                                <w:ind w:firstLine="709"/>
                                <w:jc w:val="both"/>
                                <w:rPr>
                                  <w:szCs w:val="24"/>
                                </w:rPr>
                              </w:pPr>
                              <w:sdt>
                                <w:sdtPr>
                                  <w:alias w:val="Numeris"/>
                                  <w:tag w:val="nr_b5446e5a598f4d968be6fea7916152ef"/>
                                  <w:lock w:val="sdtLocked"/>
                                  <w:richText/>
                                </w:sdtPr>
                                <w:sdtContent>
                                  <w:r>
                                    <w:rPr>
                                      <w:szCs w:val="24"/>
                                    </w:rPr>
                                    <w:t>8.2.4</w:t>
                                  </w:r>
                                </w:sdtContent>
                              </w:sdt>
                              <w:r>
                                <w:rPr>
                                  <w:szCs w:val="24"/>
                                </w:rPr>
                                <w:t>. teisės aktus privalomojo socialinio draudimo ir garantinio fondo įmokų dydžiui nustatyti;</w:t>
                              </w:r>
                            </w:p>
                          </w:sdtContent>
                        </w:sdt>
                        <w:sdt>
                          <w:sdtPr>
                            <w:alias w:val="8.2.5 p."/>
                            <w:tag w:val="part_23876d743cc34844b97404f8cac5232a"/>
                            <w:lock w:val="sdtLocked"/>
                            <w:richText/>
                          </w:sdtPr>
                          <w:sdtContent>
                            <w:p>
                              <w:pPr>
                                <w:tabs>
                                  <w:tab w:val="left" w:pos="1134"/>
                                </w:tabs>
                                <w:ind w:firstLine="709"/>
                                <w:jc w:val="both"/>
                                <w:rPr>
                                  <w:szCs w:val="24"/>
                                </w:rPr>
                              </w:pPr>
                              <w:sdt>
                                <w:sdtPr>
                                  <w:alias w:val="Numeris"/>
                                  <w:tag w:val="nr_23876d743cc34844b97404f8cac5232a"/>
                                  <w:lock w:val="sdtLocked"/>
                                  <w:richText/>
                                </w:sdtPr>
                                <w:sdtContent>
                                  <w:r>
                                    <w:rPr>
                                      <w:szCs w:val="24"/>
                                      <w:lang w:eastAsia="lt-LT"/>
                                    </w:rPr>
                                    <w:t>8.2.5</w:t>
                                  </w:r>
                                </w:sdtContent>
                              </w:sdt>
                              <w:r>
                                <w:rPr>
                                  <w:szCs w:val="24"/>
                                  <w:lang w:eastAsia="lt-LT"/>
                                </w:rPr>
                                <w:t xml:space="preserve">. </w:t>
                              </w:r>
                              <w:r>
                                <w:rPr>
                                  <w:szCs w:val="24"/>
                                </w:rPr>
                                <w:t>Ekonomiškai pagrįstas darbo užmokesčio kaštų dydis, išskyrus Metodikos 8.2.1</w:t>
                              </w:r>
                              <w:r>
                                <w:rPr>
                                  <w:szCs w:val="24"/>
                                  <w:vertAlign w:val="superscript"/>
                                </w:rPr>
                                <w:t>1</w:t>
                              </w:r>
                              <w:r>
                                <w:rPr>
                                  <w:szCs w:val="24"/>
                                </w:rPr>
                                <w:t xml:space="preserve"> punkto atveju, pirmiems reguliavimo periodo metams yra apskaičiuojamas pagal formulę:</w:t>
                              </w:r>
                            </w:p>
                            <w:p>
                              <w:pPr>
                                <w:tabs>
                                  <w:tab w:val="left" w:pos="1134"/>
                                </w:tabs>
                                <w:ind w:firstLine="709"/>
                                <w:jc w:val="both"/>
                                <w:rPr>
                                  <w:szCs w:val="24"/>
                                </w:rPr>
                              </w:pPr>
                            </w:p>
                            <w:p>
                              <w:pPr>
                                <w:tabs>
                                  <w:tab w:val="left" w:pos="993"/>
                                  <w:tab w:val="left" w:pos="1134"/>
                                </w:tabs>
                                <w:jc w:val="both"/>
                                <w:rPr>
                                  <w:i/>
                                  <w:szCs w:val="24"/>
                                  <w:lang w:val="en-US"/>
                                </w:rPr>
                              </w:pPr>
                              <w:r>
                                <w:rPr>
                                  <w:i/>
                                  <w:szCs w:val="24"/>
                                </w:rPr>
                                <w:t>OPEX</w:t>
                              </w:r>
                              <w:r>
                                <w:rPr>
                                  <w:i/>
                                  <w:szCs w:val="24"/>
                                  <w:vertAlign w:val="subscript"/>
                                </w:rPr>
                                <w:t xml:space="preserve">t(DU) </w:t>
                              </w:r>
                              <w:r>
                                <w:rPr>
                                  <w:i/>
                                  <w:szCs w:val="24"/>
                                  <w:lang w:val="en-US"/>
                                </w:rPr>
                                <w:t>= OPEX</w:t>
                              </w:r>
                              <w:r>
                                <w:rPr>
                                  <w:i/>
                                  <w:szCs w:val="24"/>
                                  <w:vertAlign w:val="subscript"/>
                                  <w:lang w:val="en-US"/>
                                </w:rPr>
                                <w:t xml:space="preserve">t-2(DU) </w:t>
                              </w:r>
                              <w:r>
                                <w:rPr>
                                  <w:i/>
                                  <w:szCs w:val="24"/>
                                  <w:lang w:val="en-US"/>
                                </w:rPr>
                                <w:t>× (</w:t>
                              </w:r>
                              <m:oMath>
                                <m:r>
                                  <w:rPr>
                                    <w:rFonts w:ascii="Cambria Math" w:hAnsi="Cambria Math"/>
                                    <w:szCs w:val="24"/>
                                    <w:lang w:val="en-US"/>
                                  </w:rPr>
                                  <m:t xml:space="preserve"> </m:t>
                                </m:r>
                                <m:f>
                                  <m:fPr>
                                    <m:ctrlPr>
                                      <w:rPr>
                                        <w:rFonts w:ascii="Cambria Math" w:hAnsi="Cambria Math"/>
                                        <w:i/>
                                        <w:szCs w:val="24"/>
                                        <w:lang w:val="en-US"/>
                                      </w:rPr>
                                    </m:ctrlPr>
                                  </m:fPr>
                                  <m:num>
                                    <m:sSub>
                                      <m:sSubPr>
                                        <m:ctrlPr>
                                          <w:rPr>
                                            <w:rFonts w:ascii="Cambria Math" w:hAnsi="Cambria Math"/>
                                            <w:i/>
                                            <w:szCs w:val="24"/>
                                            <w:lang w:val="en-US"/>
                                          </w:rPr>
                                        </m:ctrlPr>
                                      </m:sSubPr>
                                      <m:e>
                                        <m:r>
                                          <m:rPr>
                                            <m:sty m:val="p"/>
                                          </m:rPr>
                                          <w:rPr>
                                            <w:rFonts w:ascii="Cambria Math" w:hAnsi="Cambria Math"/>
                                            <w:szCs w:val="24"/>
                                          </w:rPr>
                                          <m:t xml:space="preserve"> ΔDU</m:t>
                                        </m:r>
                                      </m:e>
                                      <m:sub>
                                        <m:r>
                                          <w:rPr>
                                            <w:rFonts w:ascii="Cambria Math" w:hAnsi="Cambria Math"/>
                                            <w:szCs w:val="24"/>
                                            <w:lang w:val="en-US"/>
                                          </w:rPr>
                                          <m:t>t</m:t>
                                        </m:r>
                                        <m:r>
                                          <w:rPr>
                                            <w:rFonts w:ascii="Cambria Math" w:hAnsi="Cambria Math"/>
                                            <w:szCs w:val="24"/>
                                            <w:lang w:val="en-US"/>
                                          </w:rPr>
                                          <m:t>-1</m:t>
                                        </m:r>
                                      </m:sub>
                                    </m:sSub>
                                    <m:r>
                                      <w:rPr>
                                        <w:rFonts w:ascii="Cambria Math" w:hAnsi="Cambria Math"/>
                                        <w:szCs w:val="24"/>
                                        <w:lang w:val="en-US"/>
                                      </w:rPr>
                                      <m:t>-</m:t>
                                    </m:r>
                                    <m:r>
                                      <w:rPr>
                                        <w:rFonts w:ascii="Cambria Math" w:hAnsi="Cambria Math"/>
                                        <w:szCs w:val="24"/>
                                        <w:lang w:val="en-US"/>
                                      </w:rPr>
                                      <m:t>e</m:t>
                                    </m:r>
                                    <m:r>
                                      <w:rPr>
                                        <w:rFonts w:ascii="Cambria Math" w:hAnsi="Cambria Math"/>
                                        <w:szCs w:val="24"/>
                                        <w:lang w:val="en-US"/>
                                      </w:rPr>
                                      <m:t xml:space="preserve"> </m:t>
                                    </m:r>
                                  </m:num>
                                  <m:den>
                                    <m:r>
                                      <w:rPr>
                                        <w:rFonts w:ascii="Cambria Math" w:hAnsi="Cambria Math"/>
                                        <w:szCs w:val="24"/>
                                        <w:lang w:val="en-US"/>
                                      </w:rPr>
                                      <m:t>100</m:t>
                                    </m:r>
                                  </m:den>
                                </m:f>
                                <m:r>
                                  <w:rPr>
                                    <w:rFonts w:ascii="Cambria Math" w:hAnsi="Cambria Math"/>
                                    <w:szCs w:val="24"/>
                                    <w:lang w:val="en-US"/>
                                  </w:rPr>
                                  <m:t xml:space="preserve"> </m:t>
                                </m:r>
                              </m:oMath>
                              <w:r>
                                <w:rPr>
                                  <w:i/>
                                  <w:szCs w:val="24"/>
                                  <w:lang w:val="en-US"/>
                                </w:rPr>
                                <w:t xml:space="preserve"> + 1) × (</w:t>
                              </w:r>
                              <m:oMath>
                                <m:r>
                                  <w:rPr>
                                    <w:rFonts w:ascii="Cambria Math" w:hAnsi="Cambria Math"/>
                                    <w:szCs w:val="24"/>
                                    <w:lang w:val="en-US"/>
                                  </w:rPr>
                                  <m:t xml:space="preserve"> </m:t>
                                </m:r>
                                <m:f>
                                  <m:fPr>
                                    <m:ctrlPr>
                                      <w:rPr>
                                        <w:rFonts w:ascii="Cambria Math" w:hAnsi="Cambria Math"/>
                                        <w:i/>
                                        <w:szCs w:val="24"/>
                                        <w:lang w:val="en-US"/>
                                      </w:rPr>
                                    </m:ctrlPr>
                                  </m:fPr>
                                  <m:num>
                                    <m:sSub>
                                      <m:sSubPr>
                                        <m:ctrlPr>
                                          <w:rPr>
                                            <w:rFonts w:ascii="Cambria Math" w:hAnsi="Cambria Math"/>
                                            <w:i/>
                                            <w:szCs w:val="24"/>
                                            <w:lang w:val="en-US"/>
                                          </w:rPr>
                                        </m:ctrlPr>
                                      </m:sSubPr>
                                      <m:e>
                                        <m:r>
                                          <w:rPr>
                                            <w:rFonts w:ascii="Cambria Math" w:hAnsi="Cambria Math"/>
                                            <w:szCs w:val="24"/>
                                            <w:lang w:val="en-US"/>
                                          </w:rPr>
                                          <m:t xml:space="preserve">  </m:t>
                                        </m:r>
                                        <m:r>
                                          <m:rPr>
                                            <m:sty m:val="p"/>
                                          </m:rPr>
                                          <w:rPr>
                                            <w:rFonts w:ascii="Cambria Math" w:hAnsi="Cambria Math"/>
                                            <w:szCs w:val="24"/>
                                          </w:rPr>
                                          <m:t>ΔDU</m:t>
                                        </m:r>
                                      </m:e>
                                      <m:sub>
                                        <m:r>
                                          <w:rPr>
                                            <w:rFonts w:ascii="Cambria Math" w:hAnsi="Cambria Math"/>
                                            <w:szCs w:val="24"/>
                                            <w:lang w:val="en-US"/>
                                          </w:rPr>
                                          <m:t>t</m:t>
                                        </m:r>
                                      </m:sub>
                                    </m:sSub>
                                    <m:r>
                                      <w:rPr>
                                        <w:rFonts w:ascii="Cambria Math" w:hAnsi="Cambria Math"/>
                                        <w:szCs w:val="24"/>
                                        <w:lang w:val="en-US"/>
                                      </w:rPr>
                                      <m:t>-</m:t>
                                    </m:r>
                                    <m:r>
                                      <w:rPr>
                                        <w:rFonts w:ascii="Cambria Math" w:hAnsi="Cambria Math"/>
                                        <w:szCs w:val="24"/>
                                        <w:lang w:val="en-US"/>
                                      </w:rPr>
                                      <m:t>e</m:t>
                                    </m:r>
                                    <m:r>
                                      <w:rPr>
                                        <w:rFonts w:ascii="Cambria Math" w:hAnsi="Cambria Math"/>
                                        <w:szCs w:val="24"/>
                                        <w:lang w:val="en-US"/>
                                      </w:rPr>
                                      <m:t xml:space="preserve"> </m:t>
                                    </m:r>
                                  </m:num>
                                  <m:den>
                                    <m:r>
                                      <w:rPr>
                                        <w:rFonts w:ascii="Cambria Math" w:hAnsi="Cambria Math"/>
                                        <w:szCs w:val="24"/>
                                        <w:lang w:val="en-US"/>
                                      </w:rPr>
                                      <m:t>100</m:t>
                                    </m:r>
                                  </m:den>
                                </m:f>
                                <m:r>
                                  <w:rPr>
                                    <w:rFonts w:ascii="Cambria Math" w:hAnsi="Cambria Math"/>
                                    <w:szCs w:val="24"/>
                                    <w:lang w:val="en-US"/>
                                  </w:rPr>
                                  <m:t xml:space="preserve"> </m:t>
                                </m:r>
                              </m:oMath>
                              <w:r>
                                <w:rPr>
                                  <w:i/>
                                  <w:szCs w:val="24"/>
                                  <w:lang w:val="en-US"/>
                                </w:rPr>
                                <w:t xml:space="preserve"> + 1) </w:t>
                                <w:tab/>
                                <w:tab/>
                                <w:tab/>
                                <w:t>(4)</w:t>
                              </w:r>
                            </w:p>
                            <w:p>
                              <w:pPr>
                                <w:tabs>
                                  <w:tab w:val="left" w:pos="1134"/>
                                </w:tabs>
                                <w:ind w:firstLine="709"/>
                                <w:jc w:val="both"/>
                                <w:rPr>
                                  <w:szCs w:val="24"/>
                                </w:rPr>
                              </w:pPr>
                            </w:p>
                            <w:p>
                              <w:pPr>
                                <w:tabs>
                                  <w:tab w:val="left" w:pos="1134"/>
                                </w:tabs>
                                <w:ind w:firstLine="709"/>
                                <w:jc w:val="both"/>
                                <w:rPr>
                                  <w:szCs w:val="24"/>
                                </w:rPr>
                              </w:pPr>
                            </w:p>
                            <w:p>
                              <w:pPr>
                                <w:jc w:val="both"/>
                                <w:rPr>
                                  <w:i/>
                                  <w:szCs w:val="24"/>
                                  <w:lang w:eastAsia="lt-LT"/>
                                </w:rPr>
                              </w:pPr>
                              <w:r>
                                <w:rPr>
                                  <w:i/>
                                  <w:szCs w:val="24"/>
                                  <w:lang w:eastAsia="lt-LT"/>
                                </w:rPr>
                                <w:t xml:space="preserve">čia: </w:t>
                              </w:r>
                            </w:p>
                            <w:p>
                              <w:pPr>
                                <w:jc w:val="both"/>
                                <w:rPr>
                                  <w:szCs w:val="24"/>
                                  <w:lang w:eastAsia="lt-LT"/>
                                </w:rPr>
                              </w:pPr>
                              <w:r>
                                <w:rPr>
                                  <w:szCs w:val="24"/>
                                  <w:lang w:eastAsia="lt-LT"/>
                                </w:rPr>
                                <w:t>OPEX</w:t>
                              </w:r>
                              <w:r>
                                <w:rPr>
                                  <w:szCs w:val="24"/>
                                  <w:vertAlign w:val="subscript"/>
                                  <w:lang w:eastAsia="lt-LT"/>
                                </w:rPr>
                                <w:t xml:space="preserve">t(DU) </w:t>
                              </w:r>
                              <w:r>
                                <w:rPr>
                                  <w:szCs w:val="24"/>
                                  <w:lang w:eastAsia="lt-LT"/>
                                </w:rPr>
                                <w:t xml:space="preserve">– darbo užmokesčio kaštai metais t (pirmais reguliavimo metais); </w:t>
                              </w:r>
                            </w:p>
                            <w:p>
                              <w:pPr>
                                <w:jc w:val="both"/>
                                <w:rPr>
                                  <w:szCs w:val="24"/>
                                  <w:lang w:eastAsia="lt-LT"/>
                                </w:rPr>
                              </w:pPr>
                              <w:r>
                                <w:rPr>
                                  <w:szCs w:val="24"/>
                                  <w:lang w:eastAsia="lt-LT"/>
                                </w:rPr>
                                <w:t>OPEX</w:t>
                              </w:r>
                              <w:r>
                                <w:rPr>
                                  <w:szCs w:val="24"/>
                                  <w:vertAlign w:val="subscript"/>
                                  <w:lang w:eastAsia="lt-LT"/>
                                </w:rPr>
                                <w:t>t-2(DU)</w:t>
                              </w:r>
                              <w:r>
                                <w:rPr>
                                  <w:szCs w:val="24"/>
                                  <w:lang w:eastAsia="lt-LT"/>
                                </w:rPr>
                                <w:t xml:space="preserve"> – darbo užmokesčio kaštai metais t-2; </w:t>
                              </w:r>
                            </w:p>
                            <w:p>
                              <w:pPr>
                                <w:jc w:val="both"/>
                                <w:rPr>
                                  <w:szCs w:val="24"/>
                                  <w:lang w:eastAsia="lt-LT"/>
                                </w:rPr>
                              </w:pPr>
                              <w:r>
                                <w:rPr>
                                  <w:szCs w:val="24"/>
                                  <w:lang w:eastAsia="lt-LT"/>
                                </w:rPr>
                                <w:t>ΔDU</w:t>
                              </w:r>
                              <w:r>
                                <w:rPr>
                                  <w:szCs w:val="24"/>
                                  <w:vertAlign w:val="subscript"/>
                                  <w:lang w:eastAsia="lt-LT"/>
                                </w:rPr>
                                <w:t>t</w:t>
                              </w:r>
                              <w:r>
                                <w:rPr>
                                  <w:szCs w:val="24"/>
                                  <w:lang w:eastAsia="lt-LT"/>
                                </w:rPr>
                                <w:t xml:space="preserve"> – prognozuojamas realus vidutinis darbo užmokesčio pokytis metais t lyginant su atitinkamu indeksu metais t-1, %. Jis nustatomas pagal  Finansų ministerijos duomenis; </w:t>
                              </w:r>
                            </w:p>
                            <w:p>
                              <w:pPr>
                                <w:jc w:val="both"/>
                                <w:rPr>
                                  <w:szCs w:val="24"/>
                                  <w:lang w:eastAsia="lt-LT"/>
                                </w:rPr>
                              </w:pPr>
                              <w:r>
                                <w:rPr>
                                  <w:szCs w:val="24"/>
                                  <w:lang w:eastAsia="lt-LT"/>
                                </w:rPr>
                                <w:t>ΔDU</w:t>
                              </w:r>
                              <w:r>
                                <w:rPr>
                                  <w:szCs w:val="24"/>
                                  <w:vertAlign w:val="subscript"/>
                                  <w:lang w:eastAsia="lt-LT"/>
                                </w:rPr>
                                <w:t xml:space="preserve">t-1 </w:t>
                              </w:r>
                              <w:r>
                                <w:rPr>
                                  <w:szCs w:val="24"/>
                                  <w:lang w:eastAsia="lt-LT"/>
                                </w:rPr>
                                <w:t xml:space="preserve">– prognozuojamas realus vidutinis darbo užmokesčio pokytis  metais t-1 lyginant su atitinkamu indeksu metais t-2, %. Jis nustatomas pagal Finansų ministerijos duomenis; </w:t>
                              </w:r>
                            </w:p>
                            <w:p>
                              <w:pPr>
                                <w:tabs>
                                  <w:tab w:val="left" w:pos="1134"/>
                                </w:tabs>
                                <w:jc w:val="both"/>
                              </w:pPr>
                              <w:r>
                                <w:rPr>
                                  <w:szCs w:val="24"/>
                                  <w:lang w:eastAsia="lt-LT"/>
                                </w:rPr>
                                <w:t>e – efektyvumo koeficientas,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8.2.6 p."/>
                            <w:tag w:val="part_8ecf582e8fcf43078c15b90c10b68fb5"/>
                            <w:lock w:val="sdtLocked"/>
                            <w:richText/>
                          </w:sdtPr>
                          <w:sdtContent>
                            <w:p>
                              <w:pPr>
                                <w:ind w:firstLine="709"/>
                                <w:jc w:val="both"/>
                                <w:rPr>
                                  <w:szCs w:val="24"/>
                                </w:rPr>
                              </w:pPr>
                              <w:sdt>
                                <w:sdtPr>
                                  <w:alias w:val="Numeris"/>
                                  <w:tag w:val="nr_8ecf582e8fcf43078c15b90c10b68fb5"/>
                                  <w:lock w:val="sdtLocked"/>
                                  <w:richText/>
                                </w:sdtPr>
                                <w:sdtContent>
                                  <w:r>
                                    <w:rPr>
                                      <w:szCs w:val="24"/>
                                      <w:lang w:eastAsia="lt-LT"/>
                                    </w:rPr>
                                    <w:t>8.2.6</w:t>
                                  </w:r>
                                </w:sdtContent>
                              </w:sdt>
                              <w:r>
                                <w:rPr>
                                  <w:szCs w:val="24"/>
                                  <w:lang w:eastAsia="lt-LT"/>
                                </w:rPr>
                                <w:t>. Visais kitais metais, einančiais po pirmųjų naujo reguliavimo periodo metų, šių kaštų apimtis kiekvieniems metams nustatoma įvertinus Finansų ministerijos skelbiamą darbo užmokesčio pokytį ir efektyvumo rodiklį, kuris yra lygus 1 proc.</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8.3 p."/>
                        <w:tag w:val="part_bd5bf996c6fa4a2e8ed9d90b4698cf5b"/>
                        <w:lock w:val="sdtLocked"/>
                        <w:richText/>
                      </w:sdtPr>
                      <w:sdtContent>
                        <w:p>
                          <w:pPr>
                            <w:pStyle w:val="PlainText"/>
                            <w:ind w:firstLine="567"/>
                            <w:jc w:val="both"/>
                            <w:rPr>
                              <w:rFonts w:ascii="Times New Roman" w:hAnsi="Times New Roman"/>
                              <w:b/>
                              <w:bCs/>
                              <w:sz w:val="22"/>
                            </w:rPr>
                          </w:pPr>
                          <w:r>
                            <w:rPr>
                              <w:rFonts w:ascii="Times New Roman" w:hAnsi="Times New Roman"/>
                              <w:sz w:val="22"/>
                            </w:rPr>
                            <w:t>8.3</w:t>
                          </w:r>
                          <w:r>
                            <w:rPr>
                              <w:rFonts w:ascii="Times New Roman" w:hAnsi="Times New Roman"/>
                              <w:sz w:val="22"/>
                            </w:rPr>
                            <w:t>.</w:t>
                          </w:r>
                          <w:r>
                            <w:rPr>
                              <w:rFonts w:ascii="Times New Roman" w:eastAsia="MS Mincho" w:hAnsi="Times New Roman"/>
                              <w:sz w:val="20"/>
                              <w:i/>
                              <w:iCs/>
                            </w:rPr>
                            <w:t xml:space="preserve"> Neteko galios nuo 2015-09-23</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8.4 p."/>
                        <w:tag w:val="part_f37e06a3fde24b3fb960ce3345fc3bdd"/>
                        <w:lock w:val="sdtLocked"/>
                        <w:richText/>
                      </w:sdtPr>
                      <w:sdtContent>
                        <w:p>
                          <w:pPr>
                            <w:pStyle w:val="PlainText"/>
                            <w:ind w:firstLine="567"/>
                            <w:jc w:val="both"/>
                            <w:rPr>
                              <w:rFonts w:ascii="Times New Roman" w:hAnsi="Times New Roman"/>
                              <w:b/>
                              <w:bCs/>
                              <w:sz w:val="22"/>
                            </w:rPr>
                          </w:pPr>
                          <w:r>
                            <w:rPr>
                              <w:rFonts w:ascii="Times New Roman" w:hAnsi="Times New Roman"/>
                              <w:sz w:val="22"/>
                            </w:rPr>
                            <w:t>8.4</w:t>
                          </w:r>
                          <w:r>
                            <w:rPr>
                              <w:rFonts w:ascii="Times New Roman" w:hAnsi="Times New Roman"/>
                              <w:sz w:val="22"/>
                            </w:rPr>
                            <w:t>.</w:t>
                          </w:r>
                          <w:r>
                            <w:rPr>
                              <w:rFonts w:ascii="Times New Roman" w:eastAsia="MS Mincho" w:hAnsi="Times New Roman"/>
                              <w:sz w:val="20"/>
                              <w:i/>
                              <w:iCs/>
                            </w:rPr>
                            <w:t xml:space="preserve"> Neteko galios nuo 2015-09-23</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8.5 p."/>
                        <w:tag w:val="part_c72b1a7d6f624c61bedf46df6d37780a"/>
                        <w:lock w:val="sdtLocked"/>
                        <w:richText/>
                      </w:sdtPr>
                      <w:sdtContent>
                        <w:p>
                          <w:pPr>
                            <w:pStyle w:val="PlainText"/>
                            <w:ind w:firstLine="567"/>
                            <w:jc w:val="both"/>
                            <w:rPr>
                              <w:rFonts w:ascii="Times New Roman" w:hAnsi="Times New Roman"/>
                              <w:b/>
                              <w:bCs/>
                              <w:sz w:val="22"/>
                            </w:rPr>
                          </w:pPr>
                          <w:r>
                            <w:rPr>
                              <w:rFonts w:ascii="Times New Roman" w:hAnsi="Times New Roman"/>
                              <w:sz w:val="22"/>
                            </w:rPr>
                            <w:t>8.5</w:t>
                          </w:r>
                          <w:r>
                            <w:rPr>
                              <w:rFonts w:ascii="Times New Roman" w:hAnsi="Times New Roman"/>
                              <w:sz w:val="22"/>
                            </w:rPr>
                            <w:t>.</w:t>
                          </w:r>
                          <w:r>
                            <w:rPr>
                              <w:rFonts w:ascii="Times New Roman" w:eastAsia="MS Mincho" w:hAnsi="Times New Roman"/>
                              <w:sz w:val="20"/>
                              <w:i/>
                              <w:iCs/>
                            </w:rPr>
                            <w:t xml:space="preserve"> Neteko galios nuo 2015-09-23</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8.6 pp."/>
                        <w:tag w:val="part_7a75f39e150249d5bf8d920bf38906d6"/>
                        <w:lock w:val="sdtLocked"/>
                        <w:richText/>
                      </w:sdtPr>
                      <w:sdtContent>
                        <w:p>
                          <w:pPr>
                            <w:ind w:firstLine="720"/>
                            <w:jc w:val="both"/>
                          </w:pPr>
                          <w:sdt>
                            <w:sdtPr>
                              <w:alias w:val="Numeris"/>
                              <w:tag w:val="nr_7a75f39e150249d5bf8d920bf38906d6"/>
                              <w:lock w:val="sdtLocked"/>
                              <w:richText/>
                            </w:sdtPr>
                            <w:sdtContent>
                              <w:r>
                                <w:rPr>
                                  <w:color w:val="000000"/>
                                  <w:szCs w:val="24"/>
                                  <w:lang w:eastAsia="lt-LT"/>
                                </w:rPr>
                                <w:t>8.6</w:t>
                              </w:r>
                            </w:sdtContent>
                          </w:sdt>
                          <w:r>
                            <w:rPr>
                              <w:color w:val="000000"/>
                              <w:szCs w:val="24"/>
                              <w:lang w:eastAsia="lt-LT"/>
                            </w:rPr>
                            <w:t>. Elektros energetikos sistemos sinchronizacijos projekto ir kitų elektros energetikos infrastruktūros bendro intereso projektų parengimo ir įgyvendinimo sąnaudos</w:t>
                          </w:r>
                          <w:r>
                            <w:rPr>
                              <w:szCs w:val="24"/>
                            </w:rPr>
                            <w:t>, kurios negali būti priskirtos konkrečiam investicijų projektui (įtrauktos į ilgalaikio turto įsigijimo (pasigaminimo) savikainą), įvertinamos apskaičiuojant būtinųjų metinių operacinių kaštų dydį.</w:t>
                          </w:r>
                          <w:r>
                            <w:t xml:space="preserve"> </w:t>
                          </w:r>
                        </w:p>
                        <w:p>
                          <w:pPr>
                            <w:jc w:val="both"/>
                            <w:rPr>
                              <w:szCs w:val="24"/>
                            </w:rPr>
                          </w:pPr>
                          <w:r>
                            <w:rPr>
                              <w:b/>
                              <w:i/>
                              <w:sz w:val="20"/>
                            </w:rPr>
                            <w:t>TAR pastaba</w:t>
                          </w:r>
                          <w:r>
                            <w:rPr>
                              <w:i/>
                              <w:sz w:val="20"/>
                            </w:rPr>
                            <w:t xml:space="preserve">. 8.6 papunkčio nuostatos taikomos </w:t>
                          </w:r>
                          <w:r>
                            <w:rPr>
                              <w:bCs/>
                              <w:i/>
                              <w:sz w:val="20"/>
                            </w:rPr>
                            <w:t>nustatant arba koreguojant 2020 metų ir vėlesnių laikotarpių elektros energijos perdavimo, skirstymo ir visuomeninio tiekimo paslaugų bei visuomeninės kainos viršutines ribas.</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2bc050eb6011e99681cd81dcdca52c">
                            <w:r w:rsidRPr="00532B9F">
                              <w:rPr>
                                <w:rFonts w:ascii="Times New Roman" w:eastAsia="MS Mincho" w:hAnsi="Times New Roman"/>
                                <w:sz w:val="20"/>
                                <w:i/>
                                <w:iCs/>
                                <w:color w:val="0000FF" w:themeColor="hyperlink"/>
                                <w:u w:val="single"/>
                              </w:rPr>
                              <w:t>O3E-548</w:t>
                            </w:r>
                          </w:fldSimple>
                          <w:r>
                            <w:rPr>
                              <w:rFonts w:ascii="Times New Roman" w:eastAsia="MS Mincho" w:hAnsi="Times New Roman"/>
                              <w:sz w:val="20"/>
                              <w:i/>
                              <w:iCs/>
                            </w:rPr>
                            <w:t>,
2019-10-10,
paskelbta TAR 2019-10-10, i. k. 2019-16169        </w:t>
                          </w:r>
                        </w:p>
                        <w:p/>
                      </w:sdtContent>
                    </w:sdt>
                  </w:sdtContent>
                </w:sdt>
                <w:sdt>
                  <w:sdtPr>
                    <w:alias w:val="9 p."/>
                    <w:tag w:val="part_5fd9c85c7a1446e093c31dbc3b61a967"/>
                    <w:lock w:val="sdtLocked"/>
                    <w:richText/>
                  </w:sdtPr>
                  <w:sdtContent>
                    <w:p>
                      <w:pPr>
                        <w:tabs>
                          <w:tab w:val="left" w:pos="993"/>
                        </w:tabs>
                        <w:ind w:firstLine="709"/>
                        <w:jc w:val="both"/>
                        <w:rPr>
                          <w:szCs w:val="24"/>
                        </w:rPr>
                      </w:pPr>
                      <w:sdt>
                        <w:sdtPr>
                          <w:alias w:val="Numeris"/>
                          <w:tag w:val="nr_5fd9c85c7a1446e093c31dbc3b61a967"/>
                          <w:lock w:val="sdtLocked"/>
                          <w:richText/>
                        </w:sdtPr>
                        <w:sdtContent>
                          <w:r>
                            <w:rPr>
                              <w:szCs w:val="24"/>
                            </w:rPr>
                            <w:t>9</w:t>
                          </w:r>
                        </w:sdtContent>
                      </w:sdt>
                      <w:r>
                        <w:rPr>
                          <w:szCs w:val="24"/>
                        </w:rPr>
                        <w:t xml:space="preserve">. Kaštai </w:t>
                      </w:r>
                      <w:r>
                        <w:rPr>
                          <w:iCs/>
                          <w:szCs w:val="24"/>
                        </w:rPr>
                        <w:t>elektros energijai, sunaudotai ją perduodant technologiniais įrenginiais, pirkti nustatomi atsižvelgiant į:</w:t>
                      </w:r>
                    </w:p>
                    <w:sdt>
                      <w:sdtPr>
                        <w:alias w:val="9.1 p."/>
                        <w:tag w:val="part_b7226d88595543b6902e9a13c8d02666"/>
                        <w:lock w:val="sdtLocked"/>
                        <w:richText/>
                      </w:sdtPr>
                      <w:sdtContent>
                        <w:p>
                          <w:pPr>
                            <w:tabs>
                              <w:tab w:val="left" w:pos="1134"/>
                            </w:tabs>
                            <w:ind w:firstLine="709"/>
                            <w:jc w:val="both"/>
                            <w:rPr>
                              <w:szCs w:val="24"/>
                            </w:rPr>
                          </w:pPr>
                          <w:sdt>
                            <w:sdtPr>
                              <w:alias w:val="Numeris"/>
                              <w:tag w:val="nr_b7226d88595543b6902e9a13c8d02666"/>
                              <w:lock w:val="sdtLocked"/>
                              <w:richText/>
                            </w:sdtPr>
                            <w:sdtContent>
                              <w:r>
                                <w:rPr>
                                  <w:szCs w:val="24"/>
                                </w:rPr>
                                <w:t>9.1</w:t>
                              </w:r>
                            </w:sdtContent>
                          </w:sdt>
                          <w:r>
                            <w:rPr>
                              <w:szCs w:val="24"/>
                            </w:rPr>
                            <w:t>. iš gamintojų, tiekėjų, biržoje, balansavimo rinkoje įsigytos elektros energijos ir persiuntimo paslaugų kaštų vertę;</w:t>
                          </w:r>
                        </w:p>
                      </w:sdtContent>
                    </w:sdt>
                    <w:sdt>
                      <w:sdtPr>
                        <w:alias w:val="9.2 p."/>
                        <w:tag w:val="part_8766e3fd8c7a4ad3afc2ff5bbd705002"/>
                        <w:lock w:val="sdtLocked"/>
                        <w:richText/>
                      </w:sdtPr>
                      <w:sdtContent>
                        <w:p>
                          <w:pPr>
                            <w:tabs>
                              <w:tab w:val="left" w:pos="1134"/>
                            </w:tabs>
                            <w:ind w:firstLine="709"/>
                            <w:jc w:val="both"/>
                            <w:rPr>
                              <w:szCs w:val="24"/>
                            </w:rPr>
                          </w:pPr>
                          <w:sdt>
                            <w:sdtPr>
                              <w:alias w:val="Numeris"/>
                              <w:tag w:val="nr_8766e3fd8c7a4ad3afc2ff5bbd705002"/>
                              <w:lock w:val="sdtLocked"/>
                              <w:richText/>
                            </w:sdtPr>
                            <w:sdtContent>
                              <w:r>
                                <w:rPr>
                                  <w:szCs w:val="24"/>
                                </w:rPr>
                                <w:t>9.2</w:t>
                              </w:r>
                            </w:sdtContent>
                          </w:sdt>
                          <w:r>
                            <w:rPr>
                              <w:szCs w:val="24"/>
                            </w:rPr>
                            <w:t>. Komisijos nustatytą elektros energijos technologinių sąnaudų koeficientą, kuris nustatomas atsižvelgiant į:</w:t>
                          </w:r>
                        </w:p>
                        <w:sdt>
                          <w:sdtPr>
                            <w:alias w:val="9.2.1 p."/>
                            <w:tag w:val="part_3e519ec0801a4b119d8a322e3a6691c4"/>
                            <w:lock w:val="sdtLocked"/>
                            <w:richText/>
                          </w:sdtPr>
                          <w:sdtContent>
                            <w:p>
                              <w:pPr>
                                <w:tabs>
                                  <w:tab w:val="left" w:pos="1276"/>
                                </w:tabs>
                                <w:ind w:firstLine="709"/>
                                <w:jc w:val="both"/>
                                <w:rPr>
                                  <w:szCs w:val="24"/>
                                </w:rPr>
                              </w:pPr>
                              <w:sdt>
                                <w:sdtPr>
                                  <w:alias w:val="Numeris"/>
                                  <w:tag w:val="nr_3e519ec0801a4b119d8a322e3a6691c4"/>
                                  <w:lock w:val="sdtLocked"/>
                                  <w:richText/>
                                </w:sdtPr>
                                <w:sdtContent>
                                  <w:r>
                                    <w:rPr>
                                      <w:szCs w:val="24"/>
                                    </w:rPr>
                                    <w:t>9.2.1</w:t>
                                  </w:r>
                                </w:sdtContent>
                              </w:sdt>
                              <w:r>
                                <w:rPr>
                                  <w:szCs w:val="24"/>
                                </w:rPr>
                                <w:t xml:space="preserve">. </w:t>
                              </w:r>
                              <w:r>
                                <w:rPr>
                                  <w:szCs w:val="24"/>
                                  <w:lang w:eastAsia="lt-LT"/>
                                </w:rPr>
                                <w:t>palyginamuosius faktinius kitų energetikos įmonių technologinių sąnaudų koeficientus;</w:t>
                              </w:r>
                            </w:p>
                          </w:sdtContent>
                        </w:sdt>
                        <w:sdt>
                          <w:sdtPr>
                            <w:alias w:val="9.2.2 p."/>
                            <w:tag w:val="part_40416011835c40b28218f5ec86ce28ec"/>
                            <w:lock w:val="sdtLocked"/>
                            <w:richText/>
                          </w:sdtPr>
                          <w:sdtContent>
                            <w:p>
                              <w:pPr>
                                <w:tabs>
                                  <w:tab w:val="left" w:pos="1276"/>
                                </w:tabs>
                                <w:ind w:firstLine="709"/>
                                <w:jc w:val="both"/>
                                <w:rPr>
                                  <w:szCs w:val="24"/>
                                </w:rPr>
                              </w:pPr>
                              <w:sdt>
                                <w:sdtPr>
                                  <w:alias w:val="Numeris"/>
                                  <w:tag w:val="nr_40416011835c40b28218f5ec86ce28ec"/>
                                  <w:lock w:val="sdtLocked"/>
                                  <w:richText/>
                                </w:sdtPr>
                                <w:sdtContent>
                                  <w:r>
                                    <w:rPr>
                                      <w:szCs w:val="24"/>
                                    </w:rPr>
                                    <w:t>9.2.2</w:t>
                                  </w:r>
                                </w:sdtContent>
                              </w:sdt>
                              <w:r>
                                <w:rPr>
                                  <w:szCs w:val="24"/>
                                </w:rPr>
                                <w:t xml:space="preserve">. </w:t>
                              </w:r>
                              <w:r>
                                <w:rPr>
                                  <w:szCs w:val="24"/>
                                  <w:lang w:eastAsia="lt-LT"/>
                                </w:rPr>
                                <w:t>numatytus planinius investicijų į tinklo plėtrą, rekonstrukciją ir atstatymą įgyvendinimo rodiklius per reguliavimo laikotarpį;</w:t>
                              </w:r>
                            </w:p>
                          </w:sdtContent>
                        </w:sdt>
                        <w:sdt>
                          <w:sdtPr>
                            <w:alias w:val="9.2.3 p."/>
                            <w:tag w:val="part_5fcd217e5c494a21baeee694c925e6b3"/>
                            <w:lock w:val="sdtLocked"/>
                            <w:richText/>
                          </w:sdtPr>
                          <w:sdtContent>
                            <w:p>
                              <w:pPr>
                                <w:tabs>
                                  <w:tab w:val="left" w:pos="1276"/>
                                </w:tabs>
                                <w:ind w:firstLine="709"/>
                                <w:jc w:val="both"/>
                              </w:pPr>
                              <w:sdt>
                                <w:sdtPr>
                                  <w:alias w:val="Numeris"/>
                                  <w:tag w:val="nr_5fcd217e5c494a21baeee694c925e6b3"/>
                                  <w:lock w:val="sdtLocked"/>
                                  <w:richText/>
                                </w:sdtPr>
                                <w:sdtContent>
                                  <w:r>
                                    <w:rPr>
                                      <w:szCs w:val="24"/>
                                    </w:rPr>
                                    <w:t>9.2.3</w:t>
                                  </w:r>
                                </w:sdtContent>
                              </w:sdt>
                              <w:r>
                                <w:rPr>
                                  <w:szCs w:val="24"/>
                                </w:rPr>
                                <w:t xml:space="preserve">. </w:t>
                              </w:r>
                              <w:r>
                                <w:rPr>
                                  <w:szCs w:val="24"/>
                                  <w:lang w:eastAsia="lt-LT"/>
                                </w:rPr>
                                <w:t>faktinę ir Komisijos praėjusiam reguliavimo periodui nustatytą technologinių sąnaudų koeficiento neatitiktį bei ją nulėmusių priežasčių pagrįstumą;</w:t>
                              </w:r>
                              <w:r>
                                <w:t xml:space="preserve">     </w:t>
                              </w:r>
                            </w:p>
                          </w:sdtContent>
                        </w:sdt>
                        <w:sdt>
                          <w:sdtPr>
                            <w:alias w:val="9.2.4 p."/>
                            <w:tag w:val="part_60ee3e099b8543bfb4fa4ebaf19c3813"/>
                            <w:lock w:val="sdtLocked"/>
                            <w:richText/>
                          </w:sdtPr>
                          <w:sdtContent>
                            <w:p>
                              <w:pPr>
                                <w:tabs>
                                  <w:tab w:val="left" w:pos="1276"/>
                                </w:tabs>
                                <w:ind w:firstLine="720"/>
                                <w:jc w:val="both"/>
                                <w:rPr>
                                  <w:szCs w:val="24"/>
                                  <w:lang w:eastAsia="lt-LT"/>
                                </w:rPr>
                              </w:pPr>
                              <w:sdt>
                                <w:sdtPr>
                                  <w:alias w:val="Numeris"/>
                                  <w:tag w:val="nr_60ee3e099b8543bfb4fa4ebaf19c3813"/>
                                  <w:lock w:val="sdtLocked"/>
                                  <w:richText/>
                                </w:sdtPr>
                                <w:sdtContent>
                                  <w:r>
                                    <w:rPr>
                                      <w:szCs w:val="24"/>
                                      <w:lang w:eastAsia="lt-LT"/>
                                    </w:rPr>
                                    <w:t>9.2.4</w:t>
                                  </w:r>
                                </w:sdtContent>
                              </w:sdt>
                              <w:r>
                                <w:rPr>
                                  <w:szCs w:val="24"/>
                                  <w:lang w:eastAsia="lt-LT"/>
                                </w:rPr>
                                <w:t>. reguliavimo periodui, kuriam nustatomos reguliuojamų paslaugų kainų viršutinės ribos technologinių sąnaudų koeficiento prognozuojamą vidutinį dydį, apskaičiuotą pagal faktinius praėjusios reguliavimo periodo technologinių sąnaudų dydžius bei atsižvelgiant į koeficiento kitimo tendenciją. Esant argumentuotiems Įmonių prognozuojamų scenarijų pagrindimams, ši tendencija gali būti koreguojama atitinkamai pateikiamiems tendencijos kitimo scenarijams;</w:t>
                              </w:r>
                            </w:p>
                          </w:sdtContent>
                        </w:sdt>
                      </w:sdtContent>
                    </w:sdt>
                  </w:sdtContent>
                </w:sdt>
                <w:sdt>
                  <w:sdtPr>
                    <w:alias w:val="10 p."/>
                    <w:tag w:val="part_9e220de9cff7437fb2177e841e8112e4"/>
                    <w:lock w:val="sdtLocked"/>
                    <w:richText/>
                  </w:sdtPr>
                  <w:sdtContent>
                    <w:p>
                      <w:pPr>
                        <w:tabs>
                          <w:tab w:val="left" w:pos="1134"/>
                        </w:tabs>
                        <w:ind w:firstLine="709"/>
                        <w:contextualSpacing/>
                        <w:jc w:val="both"/>
                        <w:rPr>
                          <w:iCs/>
                          <w:szCs w:val="24"/>
                        </w:rPr>
                      </w:pPr>
                      <w:sdt>
                        <w:sdtPr>
                          <w:alias w:val="Numeris"/>
                          <w:tag w:val="nr_9e220de9cff7437fb2177e841e8112e4"/>
                          <w:lock w:val="sdtLocked"/>
                          <w:richText/>
                        </w:sdtPr>
                        <w:sdtContent>
                          <w:r>
                            <w:rPr>
                              <w:iCs/>
                              <w:szCs w:val="24"/>
                            </w:rPr>
                            <w:t>10</w:t>
                          </w:r>
                        </w:sdtContent>
                      </w:sdt>
                      <w:r>
                        <w:rPr>
                          <w:iCs/>
                          <w:szCs w:val="24"/>
                        </w:rPr>
                        <w:t xml:space="preserve">. </w:t>
                      </w:r>
                      <w:r>
                        <w:rPr>
                          <w:szCs w:val="24"/>
                        </w:rPr>
                        <w:t xml:space="preserve">Kaštai </w:t>
                      </w:r>
                      <w:r>
                        <w:rPr>
                          <w:iCs/>
                          <w:szCs w:val="24"/>
                        </w:rPr>
                        <w:t>elektros energijai savosioms reikmėms pirkti nustatomi atsižvelgiant į:</w:t>
                      </w:r>
                    </w:p>
                    <w:sdt>
                      <w:sdtPr>
                        <w:alias w:val="10.1 p."/>
                        <w:tag w:val="part_ce67f3c34f3540aa9e2e2e94bcde249e"/>
                        <w:lock w:val="sdtLocked"/>
                        <w:richText/>
                      </w:sdtPr>
                      <w:sdtContent>
                        <w:p>
                          <w:pPr>
                            <w:tabs>
                              <w:tab w:val="left" w:pos="1276"/>
                            </w:tabs>
                            <w:ind w:firstLine="709"/>
                            <w:contextualSpacing/>
                            <w:jc w:val="both"/>
                            <w:rPr>
                              <w:iCs/>
                              <w:szCs w:val="24"/>
                            </w:rPr>
                          </w:pPr>
                          <w:sdt>
                            <w:sdtPr>
                              <w:alias w:val="Numeris"/>
                              <w:tag w:val="nr_ce67f3c34f3540aa9e2e2e94bcde249e"/>
                              <w:lock w:val="sdtLocked"/>
                              <w:richText/>
                            </w:sdtPr>
                            <w:sdtContent>
                              <w:r>
                                <w:rPr>
                                  <w:iCs/>
                                  <w:szCs w:val="24"/>
                                </w:rPr>
                                <w:t>10.1</w:t>
                              </w:r>
                            </w:sdtContent>
                          </w:sdt>
                          <w:r>
                            <w:rPr>
                              <w:iCs/>
                              <w:szCs w:val="24"/>
                            </w:rPr>
                            <w:t xml:space="preserve">. </w:t>
                          </w:r>
                          <w:r>
                            <w:rPr>
                              <w:szCs w:val="24"/>
                            </w:rPr>
                            <w:t>iš gamintojų, tiekėjų, biržoje, balansavimo rinkoje įsigytos elektros energijos ir persiuntimo paslaugų kaštų vertę</w:t>
                          </w:r>
                          <w:r>
                            <w:rPr>
                              <w:iCs/>
                              <w:szCs w:val="24"/>
                            </w:rPr>
                            <w:t xml:space="preserve"> (įskaitant viešuosius interesus atitinkančių paslaugų (toliau – VIAP) ir sisteminių paslaugų kainą);</w:t>
                          </w:r>
                        </w:p>
                      </w:sdtContent>
                    </w:sdt>
                    <w:sdt>
                      <w:sdtPr>
                        <w:alias w:val="10.2 p."/>
                        <w:tag w:val="part_295d0e6094c7417f989efba4d291e8dc"/>
                        <w:lock w:val="sdtLocked"/>
                        <w:richText/>
                      </w:sdtPr>
                      <w:sdtContent>
                        <w:p>
                          <w:pPr>
                            <w:tabs>
                              <w:tab w:val="left" w:pos="1276"/>
                            </w:tabs>
                            <w:ind w:firstLine="709"/>
                            <w:contextualSpacing/>
                            <w:jc w:val="both"/>
                            <w:rPr>
                              <w:iCs/>
                              <w:szCs w:val="24"/>
                            </w:rPr>
                          </w:pPr>
                          <w:sdt>
                            <w:sdtPr>
                              <w:alias w:val="Numeris"/>
                              <w:tag w:val="nr_295d0e6094c7417f989efba4d291e8dc"/>
                              <w:lock w:val="sdtLocked"/>
                              <w:richText/>
                            </w:sdtPr>
                            <w:sdtContent>
                              <w:r>
                                <w:rPr>
                                  <w:iCs/>
                                  <w:szCs w:val="24"/>
                                </w:rPr>
                                <w:t>10.2</w:t>
                              </w:r>
                            </w:sdtContent>
                          </w:sdt>
                          <w:r>
                            <w:rPr>
                              <w:iCs/>
                              <w:szCs w:val="24"/>
                            </w:rPr>
                            <w:t>. savoms reikmėms sunaudotus elektros energijos kiekius, kurie negali viršyti praėjusiam reguliavimo periodui nustatytų kiekių, praėjusį reguliavimo periodą sunaudų faktinių kiekių.</w:t>
                          </w:r>
                        </w:p>
                      </w:sdtContent>
                    </w:sdt>
                  </w:sdtContent>
                </w:sdt>
                <w:sdt>
                  <w:sdtPr>
                    <w:alias w:val="11 p."/>
                    <w:tag w:val="part_ab6d9ee8394e49b8870dc1429c769afc"/>
                    <w:lock w:val="sdtLocked"/>
                    <w:richText/>
                  </w:sdtPr>
                  <w:sdtContent>
                    <w:p>
                      <w:pPr>
                        <w:tabs>
                          <w:tab w:val="left" w:pos="1134"/>
                        </w:tabs>
                        <w:ind w:firstLine="709"/>
                        <w:contextualSpacing/>
                        <w:jc w:val="both"/>
                        <w:rPr>
                          <w:iCs/>
                          <w:szCs w:val="24"/>
                        </w:rPr>
                      </w:pPr>
                      <w:sdt>
                        <w:sdtPr>
                          <w:alias w:val="Numeris"/>
                          <w:tag w:val="nr_ab6d9ee8394e49b8870dc1429c769afc"/>
                          <w:lock w:val="sdtLocked"/>
                          <w:richText/>
                        </w:sdtPr>
                        <w:sdtContent>
                          <w:r>
                            <w:rPr>
                              <w:iCs/>
                              <w:szCs w:val="24"/>
                            </w:rPr>
                            <w:t>11</w:t>
                          </w:r>
                        </w:sdtContent>
                      </w:sdt>
                      <w:r>
                        <w:rPr>
                          <w:iCs/>
                          <w:szCs w:val="24"/>
                        </w:rPr>
                        <w:t xml:space="preserve">. </w:t>
                      </w:r>
                      <w:r>
                        <w:rPr>
                          <w:szCs w:val="24"/>
                          <w:lang w:eastAsia="lt-LT"/>
                        </w:rPr>
                        <w:t>Apskaičiuotas vidutinis technologinių sąnaudų koeficientas naujam reguliavimo periodui negali būti didesnis nei praėjusio reguliavimo periodo vidutinis faktinis technologinių sąnaudų koeficiento dydis, išskyrus atvejus, kai Įmonė pagrindžia ir dokumentais įrodo, jog šios sąnaudos padidėja dėl nuo Įmonės</w:t>
                      </w:r>
                      <w:r>
                        <w:rPr>
                          <w:sz w:val="20"/>
                        </w:rPr>
                        <w:t xml:space="preserve"> </w:t>
                      </w:r>
                      <w:r>
                        <w:rPr>
                          <w:szCs w:val="24"/>
                          <w:lang w:eastAsia="lt-LT"/>
                        </w:rPr>
                        <w:t>nepriklausančių veiksnių.</w:t>
                      </w:r>
                    </w:p>
                  </w:sdtContent>
                </w:sdt>
                <w:sdt>
                  <w:sdtPr>
                    <w:alias w:val="12 p."/>
                    <w:tag w:val="part_54417246292a4664ad1a5ae635d74e74"/>
                    <w:lock w:val="sdtLocked"/>
                    <w:richText/>
                  </w:sdtPr>
                  <w:sdtContent>
                    <w:p>
                      <w:pPr>
                        <w:tabs>
                          <w:tab w:val="left" w:pos="1134"/>
                        </w:tabs>
                        <w:ind w:firstLine="709"/>
                        <w:contextualSpacing/>
                        <w:jc w:val="both"/>
                        <w:rPr>
                          <w:iCs/>
                          <w:szCs w:val="24"/>
                        </w:rPr>
                      </w:pPr>
                      <w:sdt>
                        <w:sdtPr>
                          <w:alias w:val="Numeris"/>
                          <w:tag w:val="nr_54417246292a4664ad1a5ae635d74e74"/>
                          <w:lock w:val="sdtLocked"/>
                          <w:richText/>
                        </w:sdtPr>
                        <w:sdtContent>
                          <w:r>
                            <w:rPr>
                              <w:iCs/>
                              <w:szCs w:val="24"/>
                            </w:rPr>
                            <w:t>12</w:t>
                          </w:r>
                        </w:sdtContent>
                      </w:sdt>
                      <w:r>
                        <w:rPr>
                          <w:iCs/>
                          <w:szCs w:val="24"/>
                        </w:rPr>
                        <w:t xml:space="preserve">. </w:t>
                      </w:r>
                      <w:r>
                        <w:rPr>
                          <w:szCs w:val="24"/>
                        </w:rPr>
                        <w:t>Komisijai nustatant reguliuojamų paslaugų kaštus, turi būti atsižvelgiama (pakoreguojant leistiną pajamų lygį) į Komisijos atliktų reguliuojamų paslaugų sąnaudų pagrįstumo (būtinumo) patikrinimo rezultatus bei sąnaudų audito, atlikto pagal reguliacinius sąnaudų apskaitos reikalavimus, išvadas.</w:t>
                      </w:r>
                    </w:p>
                  </w:sdtContent>
                </w:sdt>
                <w:sdt>
                  <w:sdtPr>
                    <w:alias w:val="13 p."/>
                    <w:tag w:val="part_6d9b25192e4d4bf4b3ecf500fd844956"/>
                    <w:lock w:val="sdtLocked"/>
                    <w:richText/>
                  </w:sdtPr>
                  <w:sdtContent>
                    <w:p>
                      <w:pPr>
                        <w:tabs>
                          <w:tab w:val="left" w:pos="993"/>
                        </w:tabs>
                        <w:ind w:firstLine="709"/>
                        <w:jc w:val="both"/>
                        <w:rPr>
                          <w:szCs w:val="24"/>
                        </w:rPr>
                      </w:pPr>
                      <w:sdt>
                        <w:sdtPr>
                          <w:alias w:val="Numeris"/>
                          <w:tag w:val="nr_6d9b25192e4d4bf4b3ecf500fd844956"/>
                          <w:lock w:val="sdtLocked"/>
                          <w:richText/>
                        </w:sdtPr>
                        <w:sdtContent>
                          <w:r>
                            <w:rPr>
                              <w:szCs w:val="24"/>
                            </w:rPr>
                            <w:t>13</w:t>
                          </w:r>
                        </w:sdtContent>
                      </w:sdt>
                      <w:r>
                        <w:rPr>
                          <w:szCs w:val="24"/>
                        </w:rPr>
                        <w:t>. Jeigu dėl Įmonės veiklos efektyvumo, t. y. dėl OPEX suefektyvinimo vykdant reguliuojamą veiklą reguliuojamos veiklos pirmų dvejų reguliavimo periodo metų, o vėliau – pasibaigus reguliavimo periodui investicijų grąža, įvertinus taikytinų koregavimo koeficientų įtaką, yra didesnė, palyginti su nustatyta atitinkamų metų investicijų grąža, šios veiklos, atitinkamų metų, leistina investicijų grąža didinama investicijų grąžos ribą, dėl veiklos efektyvumo, kurį Įmonė įrodė Komisijai, viršijančia suma, kuri apskaičiuojama pagal formulę:</w:t>
                      </w:r>
                    </w:p>
                    <w:p>
                      <w:pPr>
                        <w:tabs>
                          <w:tab w:val="left" w:pos="993"/>
                        </w:tabs>
                        <w:ind w:firstLine="709"/>
                        <w:jc w:val="both"/>
                        <w:rPr>
                          <w:szCs w:val="24"/>
                        </w:rPr>
                      </w:pPr>
                    </w:p>
                    <w:p>
                      <w:pPr>
                        <w:tabs>
                          <w:tab w:val="left" w:pos="993"/>
                          <w:tab w:val="left" w:pos="9356"/>
                        </w:tabs>
                        <w:jc w:val="both"/>
                        <w:rPr>
                          <w:szCs w:val="24"/>
                        </w:rPr>
                      </w:pPr>
                      <w:r>
                        <w:rPr>
                          <w:i/>
                          <w:iCs/>
                          <w:szCs w:val="24"/>
                        </w:rPr>
                        <w:t>G</w:t>
                      </w:r>
                      <w:r>
                        <w:rPr>
                          <w:i/>
                          <w:iCs/>
                          <w:szCs w:val="24"/>
                          <w:vertAlign w:val="subscript"/>
                        </w:rPr>
                        <w:t xml:space="preserve">1,i </w:t>
                      </w:r>
                      <w:r>
                        <w:rPr>
                          <w:i/>
                          <w:iCs/>
                          <w:szCs w:val="24"/>
                        </w:rPr>
                        <w:t>= OPEX</w:t>
                      </w:r>
                      <w:r>
                        <w:rPr>
                          <w:i/>
                          <w:iCs/>
                          <w:szCs w:val="24"/>
                          <w:vertAlign w:val="subscript"/>
                        </w:rPr>
                        <w:t>nustatytas,i</w:t>
                      </w:r>
                      <w:r>
                        <w:rPr>
                          <w:i/>
                          <w:iCs/>
                          <w:szCs w:val="24"/>
                        </w:rPr>
                        <w:t xml:space="preserve"> – OPEX</w:t>
                      </w:r>
                      <w:r>
                        <w:rPr>
                          <w:i/>
                          <w:iCs/>
                          <w:szCs w:val="24"/>
                          <w:vertAlign w:val="subscript"/>
                        </w:rPr>
                        <w:t xml:space="preserve">faktinis,i </w:t>
                      </w:r>
                      <w:r>
                        <w:rPr>
                          <w:i/>
                          <w:iCs/>
                          <w:szCs w:val="24"/>
                        </w:rPr>
                        <w:tab/>
                      </w:r>
                      <w:r>
                        <w:rPr>
                          <w:szCs w:val="24"/>
                        </w:rPr>
                        <w:t>(5)</w:t>
                      </w:r>
                    </w:p>
                    <w:p>
                      <w:pPr>
                        <w:tabs>
                          <w:tab w:val="left" w:pos="993"/>
                        </w:tabs>
                        <w:ind w:firstLine="709"/>
                        <w:jc w:val="both"/>
                        <w:rPr>
                          <w:szCs w:val="24"/>
                        </w:rPr>
                      </w:pPr>
                    </w:p>
                    <w:p>
                      <w:pPr>
                        <w:tabs>
                          <w:tab w:val="left" w:pos="993"/>
                        </w:tabs>
                        <w:jc w:val="both"/>
                        <w:rPr>
                          <w:i/>
                          <w:iCs/>
                          <w:szCs w:val="24"/>
                        </w:rPr>
                      </w:pPr>
                      <w:r>
                        <w:rPr>
                          <w:i/>
                          <w:iCs/>
                          <w:szCs w:val="24"/>
                        </w:rPr>
                        <w:t>čia:</w:t>
                      </w:r>
                    </w:p>
                    <w:p>
                      <w:pPr>
                        <w:tabs>
                          <w:tab w:val="left" w:pos="993"/>
                        </w:tabs>
                        <w:jc w:val="both"/>
                        <w:rPr>
                          <w:szCs w:val="24"/>
                        </w:rPr>
                      </w:pPr>
                      <w:r>
                        <w:rPr>
                          <w:szCs w:val="24"/>
                        </w:rPr>
                        <w:t>G</w:t>
                      </w:r>
                      <w:r>
                        <w:rPr>
                          <w:szCs w:val="24"/>
                          <w:vertAlign w:val="subscript"/>
                        </w:rPr>
                        <w:t xml:space="preserve">1,i </w:t>
                      </w:r>
                      <w:r>
                        <w:rPr>
                          <w:szCs w:val="24"/>
                        </w:rPr>
                        <w:t>– suma, kuria didinama i-tosios paslaugos investicijų grąžos riba , EUR;</w:t>
                      </w:r>
                    </w:p>
                    <w:p>
                      <w:pPr>
                        <w:tabs>
                          <w:tab w:val="left" w:pos="993"/>
                        </w:tabs>
                        <w:jc w:val="both"/>
                        <w:rPr>
                          <w:szCs w:val="24"/>
                        </w:rPr>
                      </w:pPr>
                      <w:r>
                        <w:rPr>
                          <w:szCs w:val="24"/>
                        </w:rPr>
                        <w:t>OPEX</w:t>
                      </w:r>
                      <w:r>
                        <w:rPr>
                          <w:szCs w:val="24"/>
                          <w:vertAlign w:val="subscript"/>
                        </w:rPr>
                        <w:t xml:space="preserve">nustatytas,i </w:t>
                      </w:r>
                      <w:r>
                        <w:rPr>
                          <w:szCs w:val="24"/>
                        </w:rPr>
                        <w:t>– nustatyta OPEX apimtis per pirmus dvejus reguliavimo periodo metus ir (arba) per visą reguliavimo periodą, priskirtina i-tajai paslaugai, EUR;</w:t>
                      </w:r>
                    </w:p>
                    <w:p>
                      <w:pPr>
                        <w:tabs>
                          <w:tab w:val="left" w:pos="993"/>
                        </w:tabs>
                        <w:jc w:val="both"/>
                        <w:rPr>
                          <w:szCs w:val="24"/>
                        </w:rPr>
                      </w:pPr>
                      <w:r>
                        <w:rPr>
                          <w:szCs w:val="24"/>
                        </w:rPr>
                        <w:t>OPEX</w:t>
                      </w:r>
                      <w:r>
                        <w:rPr>
                          <w:szCs w:val="24"/>
                          <w:vertAlign w:val="subscript"/>
                        </w:rPr>
                        <w:t xml:space="preserve">faktinis,i </w:t>
                      </w:r>
                      <w:r>
                        <w:rPr>
                          <w:szCs w:val="24"/>
                        </w:rPr>
                        <w:t>– faktinė OPEX apimtis per pirmus dvejus reguliavimo periodo metus ir (arba) per visą reguliavimo periodą, priskirtina i-tajai paslaugai, EUR.</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14 p."/>
                    <w:tag w:val="part_96fffdf6d88b477aad3c98d821f6c775"/>
                    <w:lock w:val="sdtLocked"/>
                    <w:richText/>
                  </w:sdtPr>
                  <w:sdtContent>
                    <w:p>
                      <w:pPr>
                        <w:tabs>
                          <w:tab w:val="left" w:pos="993"/>
                          <w:tab w:val="left" w:pos="9356"/>
                        </w:tabs>
                        <w:ind w:firstLine="709"/>
                        <w:jc w:val="both"/>
                        <w:rPr>
                          <w:szCs w:val="24"/>
                        </w:rPr>
                      </w:pPr>
                      <w:sdt>
                        <w:sdtPr>
                          <w:alias w:val="Numeris"/>
                          <w:tag w:val="nr_96fffdf6d88b477aad3c98d821f6c775"/>
                          <w:lock w:val="sdtLocked"/>
                          <w:richText/>
                        </w:sdtPr>
                        <w:sdtContent>
                          <w:r>
                            <w:rPr>
                              <w:szCs w:val="24"/>
                            </w:rPr>
                            <w:t>14</w:t>
                          </w:r>
                        </w:sdtContent>
                      </w:sdt>
                      <w:r>
                        <w:rPr>
                          <w:szCs w:val="24"/>
                        </w:rPr>
                        <w:t>. Jei dėl Įmonės veiklos efektyvumo, t. y. dėl OPEX suefektyvinimo priėmus verslo sprendimus dėl Įmonės reorganizacijos ir kitus sprendimus, kurie tiesiogiai nesusiję su Įmonės vykdoma reguliuojama veikla, reguliuojamos veiklos pirmų dvejų reguliavimo periodo metų, o vėliau – pasibaigus reguliavimo periodui investicijų grąža, įvertinus taikytinų koregavimo koeficientų įtaką viršija Komisijos nustatytą atitinkamos veiklos investicijų grąžą šios veiklos atitinkamų metų leistina investicijų grąža didinama 50 proc. investicijų grąžos ribą dėl veiklos efektyvumo, kurį Įmonė įrodė Komisijai, viršijančia suma, apskaičiuojama pagal formulę:</w:t>
                      </w:r>
                    </w:p>
                    <w:p>
                      <w:pPr>
                        <w:tabs>
                          <w:tab w:val="left" w:pos="993"/>
                          <w:tab w:val="left" w:pos="9356"/>
                        </w:tabs>
                        <w:jc w:val="both"/>
                        <w:rPr>
                          <w:szCs w:val="24"/>
                        </w:rPr>
                      </w:pPr>
                    </w:p>
                    <w:p>
                      <w:pPr>
                        <w:tabs>
                          <w:tab w:val="left" w:pos="993"/>
                          <w:tab w:val="left" w:pos="9356"/>
                        </w:tabs>
                        <w:jc w:val="both"/>
                        <w:rPr>
                          <w:szCs w:val="24"/>
                        </w:rPr>
                      </w:pPr>
                      <w:r>
                        <w:rPr>
                          <w:szCs w:val="24"/>
                        </w:rPr>
                        <w:t>G</w:t>
                      </w:r>
                      <w:r>
                        <w:rPr>
                          <w:szCs w:val="24"/>
                          <w:vertAlign w:val="subscript"/>
                        </w:rPr>
                        <w:t xml:space="preserve">2,i </w:t>
                      </w:r>
                      <w:r>
                        <w:rPr>
                          <w:szCs w:val="24"/>
                        </w:rPr>
                        <w:t>= (</w:t>
                      </w:r>
                      <w:r>
                        <w:rPr>
                          <w:i/>
                          <w:iCs/>
                          <w:szCs w:val="24"/>
                        </w:rPr>
                        <w:t>OPEX</w:t>
                      </w:r>
                      <w:r>
                        <w:rPr>
                          <w:i/>
                          <w:iCs/>
                          <w:szCs w:val="24"/>
                          <w:vertAlign w:val="subscript"/>
                        </w:rPr>
                        <w:t xml:space="preserve">nustatytas,i </w:t>
                      </w:r>
                      <w:r>
                        <w:rPr>
                          <w:i/>
                          <w:iCs/>
                          <w:szCs w:val="24"/>
                        </w:rPr>
                        <w:t>– OPEX</w:t>
                      </w:r>
                      <w:r>
                        <w:rPr>
                          <w:i/>
                          <w:iCs/>
                          <w:szCs w:val="24"/>
                          <w:vertAlign w:val="subscript"/>
                        </w:rPr>
                        <w:t xml:space="preserve">faktinis,i </w:t>
                      </w:r>
                      <w:r>
                        <w:rPr>
                          <w:i/>
                          <w:iCs/>
                          <w:szCs w:val="24"/>
                        </w:rPr>
                        <w:t>)/2</w:t>
                        <w:tab/>
                      </w:r>
                      <w:r>
                        <w:rPr>
                          <w:szCs w:val="24"/>
                        </w:rPr>
                        <w:t>(6)</w:t>
                      </w:r>
                    </w:p>
                    <w:p>
                      <w:pPr>
                        <w:tabs>
                          <w:tab w:val="left" w:pos="993"/>
                        </w:tabs>
                        <w:jc w:val="both"/>
                        <w:rPr>
                          <w:i/>
                          <w:iCs/>
                          <w:szCs w:val="24"/>
                        </w:rPr>
                      </w:pPr>
                    </w:p>
                    <w:p>
                      <w:pPr>
                        <w:tabs>
                          <w:tab w:val="left" w:pos="993"/>
                        </w:tabs>
                        <w:jc w:val="both"/>
                        <w:rPr>
                          <w:i/>
                          <w:iCs/>
                          <w:szCs w:val="24"/>
                        </w:rPr>
                      </w:pPr>
                      <w:r>
                        <w:rPr>
                          <w:i/>
                          <w:iCs/>
                          <w:szCs w:val="24"/>
                        </w:rPr>
                        <w:t>čia:</w:t>
                      </w:r>
                    </w:p>
                    <w:p>
                      <w:pPr>
                        <w:tabs>
                          <w:tab w:val="left" w:pos="993"/>
                        </w:tabs>
                        <w:jc w:val="both"/>
                        <w:rPr>
                          <w:szCs w:val="24"/>
                        </w:rPr>
                      </w:pPr>
                      <w:r>
                        <w:rPr>
                          <w:szCs w:val="24"/>
                        </w:rPr>
                        <w:t>G</w:t>
                      </w:r>
                      <w:r>
                        <w:rPr>
                          <w:szCs w:val="24"/>
                          <w:vertAlign w:val="subscript"/>
                        </w:rPr>
                        <w:t xml:space="preserve">2,i </w:t>
                      </w:r>
                      <w:r>
                        <w:rPr>
                          <w:szCs w:val="24"/>
                        </w:rPr>
                        <w:t xml:space="preserve">– suma, kuria didinama leistina investicijų grąža  i-tajai paslaugai, EUR;</w:t>
                      </w:r>
                    </w:p>
                    <w:p>
                      <w:pPr>
                        <w:tabs>
                          <w:tab w:val="left" w:pos="993"/>
                        </w:tabs>
                        <w:jc w:val="both"/>
                        <w:rPr>
                          <w:szCs w:val="24"/>
                        </w:rPr>
                      </w:pPr>
                      <w:r>
                        <w:rPr>
                          <w:szCs w:val="24"/>
                        </w:rPr>
                        <w:t>OPEX</w:t>
                      </w:r>
                      <w:r>
                        <w:rPr>
                          <w:szCs w:val="24"/>
                          <w:vertAlign w:val="subscript"/>
                        </w:rPr>
                        <w:t xml:space="preserve">nustatytas,i </w:t>
                      </w:r>
                      <w:r>
                        <w:rPr>
                          <w:szCs w:val="24"/>
                        </w:rPr>
                        <w:t>– nustatyta OPEX apimtis per pirmus dvejus reguliavimo periodo metus ir (arba) per visą reguliavimo periodą, priskirtina i-tajai paslaugai, EUR;</w:t>
                      </w:r>
                    </w:p>
                    <w:p>
                      <w:pPr>
                        <w:tabs>
                          <w:tab w:val="left" w:pos="993"/>
                        </w:tabs>
                        <w:jc w:val="both"/>
                        <w:rPr>
                          <w:szCs w:val="24"/>
                        </w:rPr>
                      </w:pPr>
                      <w:r>
                        <w:rPr>
                          <w:szCs w:val="24"/>
                        </w:rPr>
                        <w:t>OPEX</w:t>
                      </w:r>
                      <w:r>
                        <w:rPr>
                          <w:szCs w:val="24"/>
                          <w:vertAlign w:val="subscript"/>
                        </w:rPr>
                        <w:t xml:space="preserve">faktinis,i </w:t>
                      </w:r>
                      <w:r>
                        <w:rPr>
                          <w:szCs w:val="24"/>
                        </w:rPr>
                        <w:t>– faktinė OPEX apimtis per pirmus dvejus reguliavimo periodo metus ir (arba) per visą reguliavimo periodą, priskirtina i-tajai paslaugai, EUR.</w:t>
                      </w:r>
                    </w:p>
                    <w:p>
                      <w:pPr>
                        <w:tabs>
                          <w:tab w:val="left" w:pos="993"/>
                        </w:tabs>
                        <w:jc w:val="both"/>
                      </w:pPr>
                      <w:r>
                        <w:rPr>
                          <w:szCs w:val="24"/>
                        </w:rPr>
                        <w:t>Kitiems metams ir (arba) nustatant kainų viršutines ribas kito reguliavimo periodo antriesiems metams, leistinų pajamų riba i-tajai paslaugai mažinama 50 proc. investicijų grąžos ribą dėl veiklos efektyvumo viršijančia suma.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14-1 p."/>
                    <w:tag w:val="part_b26cf6a43e244337a5024a7a308d7ff5"/>
                    <w:lock w:val="sdtLocked"/>
                    <w:richText/>
                  </w:sdtPr>
                  <w:sdtContent>
                    <w:p>
                      <w:pPr>
                        <w:tabs>
                          <w:tab w:val="left" w:pos="993"/>
                        </w:tabs>
                        <w:ind w:firstLine="709"/>
                        <w:jc w:val="both"/>
                      </w:pPr>
                      <w:sdt>
                        <w:sdtPr>
                          <w:alias w:val="Numeris"/>
                          <w:tag w:val="nr_b26cf6a43e244337a5024a7a308d7ff5"/>
                          <w:lock w:val="sdtLocked"/>
                          <w:richText/>
                        </w:sdtPr>
                        <w:sdtContent>
                          <w:r>
                            <w:rPr>
                              <w:szCs w:val="24"/>
                            </w:rPr>
                            <w:t>14</w:t>
                          </w:r>
                          <w:r>
                            <w:rPr>
                              <w:szCs w:val="24"/>
                              <w:vertAlign w:val="superscript"/>
                            </w:rPr>
                            <w:t>1</w:t>
                          </w:r>
                        </w:sdtContent>
                      </w:sdt>
                      <w:r>
                        <w:rPr>
                          <w:szCs w:val="24"/>
                        </w:rPr>
                        <w:t>. OPEX taikomas skatinamasis mechanizmas, t. y. OPEX per reguliavimo periodą ir naujam reguliavimo periodui nėra didinamas ar mažinamas kitais nei Metodikoje įtvirtintais atvejais.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14-2 p."/>
                    <w:tag w:val="part_fc31139782fe4301a1d341ea788687dc"/>
                    <w:lock w:val="sdtLocked"/>
                    <w:richText/>
                  </w:sdtPr>
                  <w:sdtContent>
                    <w:p>
                      <w:pPr>
                        <w:tabs>
                          <w:tab w:val="left" w:pos="1134"/>
                        </w:tabs>
                        <w:ind w:firstLine="709"/>
                        <w:jc w:val="both"/>
                        <w:rPr>
                          <w:szCs w:val="24"/>
                        </w:rPr>
                      </w:pPr>
                      <w:sdt>
                        <w:sdtPr>
                          <w:alias w:val="Numeris"/>
                          <w:tag w:val="nr_fc31139782fe4301a1d341ea788687dc"/>
                          <w:lock w:val="sdtLocked"/>
                          <w:richText/>
                        </w:sdtPr>
                        <w:sdtContent>
                          <w:r>
                            <w:rPr>
                              <w:szCs w:val="24"/>
                            </w:rPr>
                            <w:t>14</w:t>
                          </w:r>
                          <w:r>
                            <w:rPr>
                              <w:szCs w:val="24"/>
                              <w:vertAlign w:val="superscript"/>
                            </w:rPr>
                            <w:t>2</w:t>
                          </w:r>
                        </w:sdtContent>
                      </w:sdt>
                      <w:r>
                        <w:rPr>
                          <w:szCs w:val="24"/>
                        </w:rPr>
                        <w:t>. Įmonių veiklos efektyvinimu nėra laikoma:</w:t>
                      </w:r>
                    </w:p>
                    <w:sdt>
                      <w:sdtPr>
                        <w:alias w:val="14-2.1 p."/>
                        <w:tag w:val="part_cecbd3af763f4346b2b4b8aa131f7e66"/>
                        <w:lock w:val="sdtLocked"/>
                        <w:richText/>
                      </w:sdtPr>
                      <w:sdtContent>
                        <w:p>
                          <w:pPr>
                            <w:tabs>
                              <w:tab w:val="left" w:pos="1134"/>
                            </w:tabs>
                            <w:ind w:firstLine="709"/>
                            <w:jc w:val="both"/>
                            <w:rPr>
                              <w:szCs w:val="24"/>
                            </w:rPr>
                          </w:pPr>
                          <w:sdt>
                            <w:sdtPr>
                              <w:alias w:val="Numeris"/>
                              <w:tag w:val="nr_cecbd3af763f4346b2b4b8aa131f7e66"/>
                              <w:lock w:val="sdtLocked"/>
                              <w:richText/>
                            </w:sdtPr>
                            <w:sdtContent>
                              <w:r>
                                <w:rPr>
                                  <w:szCs w:val="24"/>
                                </w:rPr>
                                <w:t>14</w:t>
                              </w:r>
                              <w:r>
                                <w:rPr>
                                  <w:szCs w:val="24"/>
                                  <w:vertAlign w:val="superscript"/>
                                </w:rPr>
                                <w:t>2</w:t>
                              </w:r>
                              <w:r>
                                <w:rPr>
                                  <w:szCs w:val="24"/>
                                </w:rPr>
                                <w:t>.1</w:t>
                              </w:r>
                            </w:sdtContent>
                          </w:sdt>
                          <w:r>
                            <w:rPr>
                              <w:szCs w:val="24"/>
                            </w:rPr>
                            <w:t>. konkretūs sutaupymai, dėl kurių pablogėja Įmonių teikiamų paslaugų kokybė ir patikimumas;</w:t>
                          </w:r>
                        </w:p>
                      </w:sdtContent>
                    </w:sdt>
                    <w:sdt>
                      <w:sdtPr>
                        <w:alias w:val="14-2.2 p."/>
                        <w:tag w:val="part_bc739d2bbeda42488a020e898664d73c"/>
                        <w:lock w:val="sdtLocked"/>
                        <w:richText/>
                      </w:sdtPr>
                      <w:sdtContent>
                        <w:p>
                          <w:pPr>
                            <w:tabs>
                              <w:tab w:val="left" w:pos="1134"/>
                            </w:tabs>
                            <w:ind w:firstLine="709"/>
                            <w:jc w:val="both"/>
                            <w:rPr>
                              <w:szCs w:val="24"/>
                            </w:rPr>
                          </w:pPr>
                          <w:sdt>
                            <w:sdtPr>
                              <w:alias w:val="Numeris"/>
                              <w:tag w:val="nr_bc739d2bbeda42488a020e898664d73c"/>
                              <w:lock w:val="sdtLocked"/>
                              <w:richText/>
                            </w:sdtPr>
                            <w:sdtContent>
                              <w:r>
                                <w:rPr>
                                  <w:szCs w:val="24"/>
                                </w:rPr>
                                <w:t>14</w:t>
                              </w:r>
                              <w:r>
                                <w:rPr>
                                  <w:szCs w:val="24"/>
                                  <w:vertAlign w:val="superscript"/>
                                </w:rPr>
                                <w:t>2</w:t>
                              </w:r>
                              <w:r>
                                <w:rPr>
                                  <w:szCs w:val="24"/>
                                </w:rPr>
                                <w:t>.2</w:t>
                              </w:r>
                            </w:sdtContent>
                          </w:sdt>
                          <w:r>
                            <w:rPr>
                              <w:szCs w:val="24"/>
                            </w:rPr>
                            <w:t>. sutaupymai, sąlygoti neįgyvendintų remonto darbų, neprireikusių nusimatytų paslaugų, nepagrįstai didelių sąnaudų prognozių, išskyrus atvejus, kai dėl Įmonių priimtų konkrečių verslo sprendimų, remonto darbai ar nusimatytos paslaugos buvo įgyvendintos mažesnėmis sąnaudomis;</w:t>
                          </w:r>
                        </w:p>
                      </w:sdtContent>
                    </w:sdt>
                    <w:sdt>
                      <w:sdtPr>
                        <w:alias w:val="14-2.3 p."/>
                        <w:tag w:val="part_4b736f70ffa946349e07b5b9ad8e1451"/>
                        <w:lock w:val="sdtLocked"/>
                        <w:richText/>
                      </w:sdtPr>
                      <w:sdtContent>
                        <w:p>
                          <w:pPr>
                            <w:tabs>
                              <w:tab w:val="left" w:pos="1134"/>
                            </w:tabs>
                            <w:ind w:firstLine="709"/>
                            <w:jc w:val="both"/>
                          </w:pPr>
                          <w:sdt>
                            <w:sdtPr>
                              <w:alias w:val="Numeris"/>
                              <w:tag w:val="nr_4b736f70ffa946349e07b5b9ad8e1451"/>
                              <w:lock w:val="sdtLocked"/>
                              <w:richText/>
                            </w:sdtPr>
                            <w:sdtContent>
                              <w:r>
                                <w:rPr>
                                  <w:szCs w:val="24"/>
                                </w:rPr>
                                <w:t>14</w:t>
                              </w:r>
                              <w:r>
                                <w:rPr>
                                  <w:szCs w:val="24"/>
                                  <w:vertAlign w:val="superscript"/>
                                </w:rPr>
                                <w:t>2</w:t>
                              </w:r>
                              <w:r>
                                <w:rPr>
                                  <w:szCs w:val="24"/>
                                </w:rPr>
                                <w:t>.3</w:t>
                              </w:r>
                            </w:sdtContent>
                          </w:sdt>
                          <w:r>
                            <w:rPr>
                              <w:szCs w:val="24"/>
                            </w:rPr>
                            <w:t>. rinkos sąlygoti mažesni, nei buvo tikėtasi, viešųjų pirkimų rezultatai;</w:t>
                          </w:r>
                          <w:r>
                            <w:t xml:space="preserve"> </w:t>
                          </w:r>
                        </w:p>
                      </w:sdtContent>
                    </w:sdt>
                    <w:sdt>
                      <w:sdtPr>
                        <w:alias w:val="14-2.4 p."/>
                        <w:tag w:val="part_22eae20d937c4c3fb4ee2e1edf90f311"/>
                        <w:lock w:val="sdtLocked"/>
                        <w:richText/>
                      </w:sdtPr>
                      <w:sdtContent>
                        <w:p>
                          <w:pPr>
                            <w:tabs>
                              <w:tab w:val="left" w:pos="758"/>
                            </w:tabs>
                            <w:ind w:firstLine="709"/>
                            <w:jc w:val="both"/>
                          </w:pPr>
                          <w:sdt>
                            <w:sdtPr>
                              <w:alias w:val="Numeris"/>
                              <w:tag w:val="nr_22eae20d937c4c3fb4ee2e1edf90f311"/>
                              <w:lock w:val="sdtLocked"/>
                              <w:richText/>
                            </w:sdtPr>
                            <w:sdtContent>
                              <w:r>
                                <w:rPr>
                                  <w:szCs w:val="24"/>
                                </w:rPr>
                                <w:t>14</w:t>
                              </w:r>
                              <w:r>
                                <w:rPr>
                                  <w:szCs w:val="24"/>
                                  <w:vertAlign w:val="superscript"/>
                                </w:rPr>
                                <w:t>2</w:t>
                              </w:r>
                              <w:r>
                                <w:rPr>
                                  <w:szCs w:val="24"/>
                                </w:rPr>
                                <w:t>.4</w:t>
                              </w:r>
                            </w:sdtContent>
                          </w:sdt>
                          <w:r>
                            <w:rPr>
                              <w:szCs w:val="24"/>
                            </w:rPr>
                            <w:t xml:space="preserve">. </w:t>
                          </w:r>
                          <w:r>
                            <w:rPr>
                              <w:bCs/>
                              <w:kern w:val="32"/>
                              <w:szCs w:val="24"/>
                            </w:rPr>
                            <w:t>veiklos sąnaudų sumažėjimas dėl paklausos, reagavimo į paklausą priemonių diegimo, gamybos pajėgumų plėtros, įskaitant sutaupymą dėl elektros energijos perdavimo ar skirstymo paslaugų teikimo ar investicijų į tinklus sąnaudų sumažėjimo bei optimalaus tinklo eksploatavimo.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c032f0bd5511e688d0ed775a2e782a">
                            <w:r w:rsidRPr="00532B9F">
                              <w:rPr>
                                <w:rFonts w:ascii="Times New Roman" w:eastAsia="MS Mincho" w:hAnsi="Times New Roman"/>
                                <w:sz w:val="20"/>
                                <w:i/>
                                <w:iCs/>
                                <w:color w:val="0000FF" w:themeColor="hyperlink"/>
                                <w:u w:val="single"/>
                              </w:rPr>
                              <w:t>O3-416</w:t>
                            </w:r>
                          </w:fldSimple>
                          <w:r>
                            <w:rPr>
                              <w:rFonts w:ascii="Times New Roman" w:eastAsia="MS Mincho" w:hAnsi="Times New Roman"/>
                              <w:sz w:val="20"/>
                              <w:i/>
                              <w:iCs/>
                            </w:rPr>
                            <w:t>,
2016-12-08,
paskelbta TAR 2016-12-09, i. k. 2016-28524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15 p."/>
                    <w:tag w:val="part_e161e726b08e42ba9f7bb67224c9c626"/>
                    <w:lock w:val="sdtLocked"/>
                    <w:richText/>
                  </w:sdtPr>
                  <w:sdtContent>
                    <w:p>
                      <w:pPr>
                        <w:tabs>
                          <w:tab w:val="left" w:pos="758"/>
                        </w:tabs>
                        <w:ind w:firstLine="758"/>
                        <w:jc w:val="both"/>
                        <w:rPr>
                          <w:szCs w:val="24"/>
                        </w:rPr>
                      </w:pPr>
                      <w:sdt>
                        <w:sdtPr>
                          <w:alias w:val="Numeris"/>
                          <w:tag w:val="nr_e161e726b08e42ba9f7bb67224c9c626"/>
                          <w:lock w:val="sdtLocked"/>
                          <w:richText/>
                        </w:sdtPr>
                        <w:sdtContent>
                          <w:r>
                            <w:rPr>
                              <w:szCs w:val="24"/>
                            </w:rPr>
                            <w:t>15</w:t>
                          </w:r>
                        </w:sdtContent>
                      </w:sdt>
                      <w:r>
                        <w:rPr>
                          <w:szCs w:val="24"/>
                        </w:rPr>
                        <w:t>. Elektros energijos perdavimo ir skirstymo paslaugų leistina investicijų grąža po reguliuojamos veiklos pirmų dvejų reguliavimo periodo metų, o vėliau – likusio reguliavimo periodo sumažinama atitinkamai už kiekvieną persiuntimo patikimumo rodiklį:</w:t>
                      </w:r>
                    </w:p>
                    <w:sdt>
                      <w:sdtPr>
                        <w:alias w:val="15.1 pp."/>
                        <w:tag w:val="part_f8ec411d8d5542bea61eb91ff7621c02"/>
                        <w:lock w:val="sdtLocked"/>
                        <w:richText/>
                      </w:sdtPr>
                      <w:sdtContent>
                        <w:p>
                          <w:pPr>
                            <w:tabs>
                              <w:tab w:val="left" w:pos="758"/>
                            </w:tabs>
                            <w:ind w:firstLine="758"/>
                            <w:jc w:val="both"/>
                            <w:rPr>
                              <w:szCs w:val="24"/>
                            </w:rPr>
                          </w:pPr>
                          <w:sdt>
                            <w:sdtPr>
                              <w:alias w:val="Numeris"/>
                              <w:tag w:val="nr_f8ec411d8d5542bea61eb91ff7621c02"/>
                              <w:lock w:val="sdtLocked"/>
                              <w:richText/>
                            </w:sdtPr>
                            <w:sdtContent>
                              <w:r>
                                <w:rPr>
                                  <w:szCs w:val="24"/>
                                </w:rPr>
                                <w:t>15.1</w:t>
                              </w:r>
                            </w:sdtContent>
                          </w:sdt>
                          <w:r>
                            <w:rPr>
                              <w:szCs w:val="24"/>
                            </w:rPr>
                            <w:t>. 1 proc., jei persiuntimo patikimumo rodiklis, kuriam nustatytas minimalus lygis, pablogėjo nuo 5 iki 10 proc., palyginti su Komisijos nustatytu minimaliu lygiu;</w:t>
                          </w:r>
                        </w:p>
                      </w:sdtContent>
                    </w:sdt>
                    <w:sdt>
                      <w:sdtPr>
                        <w:alias w:val="15.2 pp."/>
                        <w:tag w:val="part_e26b17f768d3409db0aaa4ad1af7c7f1"/>
                        <w:lock w:val="sdtLocked"/>
                        <w:richText/>
                      </w:sdtPr>
                      <w:sdtContent>
                        <w:p>
                          <w:pPr>
                            <w:tabs>
                              <w:tab w:val="left" w:pos="758"/>
                            </w:tabs>
                            <w:ind w:firstLine="758"/>
                            <w:jc w:val="both"/>
                            <w:rPr>
                              <w:szCs w:val="24"/>
                            </w:rPr>
                          </w:pPr>
                          <w:sdt>
                            <w:sdtPr>
                              <w:alias w:val="Numeris"/>
                              <w:tag w:val="nr_e26b17f768d3409db0aaa4ad1af7c7f1"/>
                              <w:lock w:val="sdtLocked"/>
                              <w:richText/>
                            </w:sdtPr>
                            <w:sdtContent>
                              <w:r>
                                <w:rPr>
                                  <w:szCs w:val="24"/>
                                </w:rPr>
                                <w:t>15.2</w:t>
                              </w:r>
                            </w:sdtContent>
                          </w:sdt>
                          <w:r>
                            <w:rPr>
                              <w:szCs w:val="24"/>
                            </w:rPr>
                            <w:t>. 2 proc., jei persiuntimo patikimumo rodiklis, kuriam nustatytas minimalus lygis, pablogėjo daugiau nei 10 proc., palyginti su Komisijos nustatytu minimaliu lygiu.</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69e8da0f28411e5989ee743dd0efbb0">
                        <w:r w:rsidRPr="00532B9F">
                          <w:rPr>
                            <w:rFonts w:ascii="Times New Roman" w:eastAsia="MS Mincho" w:hAnsi="Times New Roman"/>
                            <w:sz w:val="20"/>
                            <w:i/>
                            <w:iCs/>
                            <w:color w:val="0000FF" w:themeColor="hyperlink"/>
                            <w:u w:val="single"/>
                          </w:rPr>
                          <w:t>O3-81</w:t>
                        </w:r>
                      </w:fldSimple>
                      <w:r>
                        <w:rPr>
                          <w:rFonts w:ascii="Times New Roman" w:eastAsia="MS Mincho" w:hAnsi="Times New Roman"/>
                          <w:sz w:val="20"/>
                          <w:i/>
                          <w:iCs/>
                        </w:rPr>
                        <w:t>,
2016-03-25,
paskelbta TAR 2016-03-25, i. k. 2016-06335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sdtContent>
                </w:sdt>
                <w:sdt>
                  <w:sdtPr>
                    <w:alias w:val="16 p."/>
                    <w:tag w:val="part_f2dc6bc52c10474794bcb90aa9749120"/>
                    <w:lock w:val="sdtLocked"/>
                    <w:richText/>
                  </w:sdtPr>
                  <w:sdtContent>
                    <w:p>
                      <w:pPr>
                        <w:tabs>
                          <w:tab w:val="left" w:pos="1080"/>
                          <w:tab w:val="left" w:pos="1260"/>
                        </w:tabs>
                        <w:ind w:firstLine="709"/>
                        <w:jc w:val="both"/>
                        <w:rPr>
                          <w:szCs w:val="24"/>
                        </w:rPr>
                      </w:pPr>
                      <w:sdt>
                        <w:sdtPr>
                          <w:alias w:val="Numeris"/>
                          <w:tag w:val="nr_f2dc6bc52c10474794bcb90aa9749120"/>
                          <w:lock w:val="sdtLocked"/>
                          <w:richText/>
                        </w:sdtPr>
                        <w:sdtContent>
                          <w:r>
                            <w:rPr>
                              <w:szCs w:val="24"/>
                            </w:rPr>
                            <w:t>16</w:t>
                          </w:r>
                        </w:sdtContent>
                      </w:sdt>
                      <w:r>
                        <w:rPr>
                          <w:szCs w:val="24"/>
                        </w:rPr>
                        <w:t>. Apskaičiuojant protingumo kriterijų atitinkančios investicijų grąžos viršijimo dydį, palyginti su nustatyta investicijų grąža, atsižvelgiant į taikytinų koregavimo koeficientų įtaką, skaičiuojamą po reguliuojamos veiklos pirmų dvejų reguliavimo periodo metų, o vėliau – viso reguliavimo periodo, kuriuo mažinamas reguliuojamos veiklos leistinas pajamų lygis ateinantiems metams, įvertinama:</w:t>
                      </w:r>
                    </w:p>
                    <w:sdt>
                      <w:sdtPr>
                        <w:alias w:val="16.1 p."/>
                        <w:tag w:val="part_ad5fbe8273a642fdb9d873b7760d4f28"/>
                        <w:lock w:val="sdtLocked"/>
                        <w:richText/>
                      </w:sdtPr>
                      <w:sdtContent>
                        <w:p>
                          <w:pPr>
                            <w:tabs>
                              <w:tab w:val="left" w:pos="0"/>
                              <w:tab w:val="left" w:pos="1276"/>
                              <w:tab w:val="left" w:pos="2268"/>
                            </w:tabs>
                            <w:ind w:firstLine="709"/>
                            <w:jc w:val="both"/>
                            <w:rPr>
                              <w:szCs w:val="24"/>
                            </w:rPr>
                          </w:pPr>
                          <w:sdt>
                            <w:sdtPr>
                              <w:alias w:val="Numeris"/>
                              <w:tag w:val="nr_ad5fbe8273a642fdb9d873b7760d4f28"/>
                              <w:lock w:val="sdtLocked"/>
                              <w:richText/>
                            </w:sdtPr>
                            <w:sdtContent>
                              <w:r>
                                <w:rPr>
                                  <w:szCs w:val="24"/>
                                </w:rPr>
                                <w:t>16.1</w:t>
                              </w:r>
                            </w:sdtContent>
                          </w:sdt>
                          <w:r>
                            <w:rPr>
                              <w:szCs w:val="24"/>
                            </w:rPr>
                            <w:t>. Įmonės uždirbta faktinė grąža iš reguliuojamos veiklos;</w:t>
                          </w:r>
                        </w:p>
                      </w:sdtContent>
                    </w:sdt>
                    <w:sdt>
                      <w:sdtPr>
                        <w:alias w:val="16.2 p."/>
                        <w:tag w:val="part_fc23133d39634d93b870027c2c715724"/>
                        <w:lock w:val="sdtLocked"/>
                        <w:richText/>
                      </w:sdtPr>
                      <w:sdtContent>
                        <w:p>
                          <w:pPr>
                            <w:tabs>
                              <w:tab w:val="left" w:pos="0"/>
                              <w:tab w:val="left" w:pos="1276"/>
                              <w:tab w:val="left" w:pos="2268"/>
                            </w:tabs>
                            <w:ind w:firstLine="709"/>
                            <w:jc w:val="both"/>
                            <w:rPr>
                              <w:szCs w:val="24"/>
                            </w:rPr>
                          </w:pPr>
                          <w:sdt>
                            <w:sdtPr>
                              <w:alias w:val="Numeris"/>
                              <w:tag w:val="nr_fc23133d39634d93b870027c2c715724"/>
                              <w:lock w:val="sdtLocked"/>
                              <w:richText/>
                            </w:sdtPr>
                            <w:sdtContent>
                              <w:r>
                                <w:rPr>
                                  <w:szCs w:val="24"/>
                                </w:rPr>
                                <w:t>16.2</w:t>
                              </w:r>
                            </w:sdtContent>
                          </w:sdt>
                          <w:r>
                            <w:rPr>
                              <w:szCs w:val="24"/>
                            </w:rPr>
                            <w:t>. Įmonės gautos papildomos pajamos, susijusios su reguliuojamų paslaugų ir (ar) produktų teikimu, kuriems teikti naudojami ar nenaudojami reguliuojamos veiklos ištekliai;</w:t>
                          </w:r>
                        </w:p>
                      </w:sdtContent>
                    </w:sdt>
                    <w:sdt>
                      <w:sdtPr>
                        <w:alias w:val="16.3 p."/>
                        <w:tag w:val="part_f941f63fc069460eaa9a50c96b031606"/>
                        <w:lock w:val="sdtLocked"/>
                        <w:richText/>
                      </w:sdtPr>
                      <w:sdtContent>
                        <w:p>
                          <w:pPr>
                            <w:tabs>
                              <w:tab w:val="left" w:pos="0"/>
                              <w:tab w:val="left" w:pos="1276"/>
                              <w:tab w:val="left" w:pos="2268"/>
                            </w:tabs>
                            <w:ind w:firstLine="709"/>
                            <w:jc w:val="both"/>
                            <w:rPr>
                              <w:szCs w:val="24"/>
                            </w:rPr>
                          </w:pPr>
                          <w:sdt>
                            <w:sdtPr>
                              <w:alias w:val="Numeris"/>
                              <w:tag w:val="nr_f941f63fc069460eaa9a50c96b031606"/>
                              <w:lock w:val="sdtLocked"/>
                              <w:richText/>
                            </w:sdtPr>
                            <w:sdtContent>
                              <w:r>
                                <w:rPr>
                                  <w:szCs w:val="24"/>
                                </w:rPr>
                                <w:t>16.3</w:t>
                              </w:r>
                            </w:sdtContent>
                          </w:sdt>
                          <w:r>
                            <w:rPr>
                              <w:szCs w:val="24"/>
                            </w:rPr>
                            <w:t>. kaštų, kuriems Komisija nustatė atitinkamus normatyvus Metodikos 7–10 punktuose nurodytoms sąnaudų grupėms, viršijimo suma, kuri apskaičiuojama Metodikos nustatyta tvarka;</w:t>
                          </w:r>
                        </w:p>
                      </w:sdtContent>
                    </w:sdt>
                    <w:sdt>
                      <w:sdtPr>
                        <w:alias w:val="16.4 p."/>
                        <w:tag w:val="part_c7e0495cad04494a853116a80c58616a"/>
                        <w:lock w:val="sdtLocked"/>
                        <w:richText/>
                      </w:sdtPr>
                      <w:sdtContent>
                        <w:p>
                          <w:pPr>
                            <w:tabs>
                              <w:tab w:val="left" w:pos="0"/>
                              <w:tab w:val="left" w:pos="1276"/>
                              <w:tab w:val="left" w:pos="2268"/>
                            </w:tabs>
                            <w:ind w:firstLine="709"/>
                            <w:jc w:val="both"/>
                            <w:rPr>
                              <w:szCs w:val="24"/>
                            </w:rPr>
                          </w:pPr>
                          <w:sdt>
                            <w:sdtPr>
                              <w:alias w:val="Numeris"/>
                              <w:tag w:val="nr_c7e0495cad04494a853116a80c58616a"/>
                              <w:lock w:val="sdtLocked"/>
                              <w:richText/>
                            </w:sdtPr>
                            <w:sdtContent>
                              <w:r>
                                <w:rPr>
                                  <w:szCs w:val="24"/>
                                </w:rPr>
                                <w:t>16.4</w:t>
                              </w:r>
                            </w:sdtContent>
                          </w:sdt>
                          <w:r>
                            <w:rPr>
                              <w:szCs w:val="24"/>
                            </w:rPr>
                            <w:t>. Įmonėms nukrypus nuo Komisijos nustatytų rodiklių, priežastys, lemiančios jų veiklos efektyvumą;</w:t>
                          </w:r>
                        </w:p>
                      </w:sdtContent>
                    </w:sdt>
                    <w:sdt>
                      <w:sdtPr>
                        <w:alias w:val="16.5 p."/>
                        <w:tag w:val="part_5e9b8b84056f4f28a21ca622f0d5375c"/>
                        <w:lock w:val="sdtLocked"/>
                        <w:richText/>
                      </w:sdtPr>
                      <w:sdtContent>
                        <w:p>
                          <w:pPr>
                            <w:tabs>
                              <w:tab w:val="left" w:pos="758"/>
                            </w:tabs>
                            <w:ind w:firstLine="758"/>
                            <w:jc w:val="both"/>
                          </w:pPr>
                          <w:sdt>
                            <w:sdtPr>
                              <w:alias w:val="Numeris"/>
                              <w:tag w:val="nr_5e9b8b84056f4f28a21ca622f0d5375c"/>
                              <w:lock w:val="sdtLocked"/>
                              <w:richText/>
                            </w:sdtPr>
                            <w:sdtContent>
                              <w:r>
                                <w:rPr>
                                  <w:szCs w:val="24"/>
                                </w:rPr>
                                <w:t>16.5</w:t>
                              </w:r>
                            </w:sdtContent>
                          </w:sdt>
                          <w:r>
                            <w:rPr>
                              <w:szCs w:val="24"/>
                            </w:rPr>
                            <w:t>. praėjusių laikotarpių investicijų grąžos korekcijos, nustatytos Komisijos sprendimu.</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sdtContent>
                    </w:sdt>
                  </w:sdtContent>
                </w:sdt>
                <w:sdt>
                  <w:sdtPr>
                    <w:alias w:val="16-1 p."/>
                    <w:tag w:val="part_3f26362e0d8b41bbba1082a113761cf5"/>
                    <w:lock w:val="sdtLocked"/>
                    <w:richText/>
                  </w:sdtPr>
                  <w:sdtContent>
                    <w:p>
                      <w:pPr>
                        <w:tabs>
                          <w:tab w:val="left" w:pos="709"/>
                        </w:tabs>
                        <w:ind w:firstLine="709"/>
                        <w:jc w:val="both"/>
                        <w:rPr>
                          <w:szCs w:val="24"/>
                        </w:rPr>
                      </w:pPr>
                      <w:sdt>
                        <w:sdtPr>
                          <w:alias w:val="Numeris"/>
                          <w:tag w:val="nr_3f26362e0d8b41bbba1082a113761cf5"/>
                          <w:lock w:val="sdtLocked"/>
                          <w:richText/>
                        </w:sdtPr>
                        <w:sdtContent>
                          <w:r>
                            <w:rPr>
                              <w:szCs w:val="24"/>
                            </w:rPr>
                            <w:t>16</w:t>
                          </w:r>
                          <w:r>
                            <w:rPr>
                              <w:szCs w:val="24"/>
                              <w:vertAlign w:val="superscript"/>
                            </w:rPr>
                            <w:t>1</w:t>
                          </w:r>
                        </w:sdtContent>
                      </w:sdt>
                      <w:r>
                        <w:rPr>
                          <w:szCs w:val="24"/>
                        </w:rPr>
                        <w:t>. Kai Metodikos 16 punkte numatyta tvarka apskaičiuotos investicijų grąžos, viršijančios Komisijos nustatytą dydį, grąžinimas išdėstomas per ilgesnį nei vienerių metų laikotarpį, įvertinama pinigų kaina. Pinigų kainos nustatymui taikomas Lietuvos banko pinigų finansų įstaigų paskolų euro zonos ne finansų bendrovėms likučių palūkanų normos svertinis vidurkis už paskutinius paskelbtus 12 mėnesių iki Metodikos 115 punkte nurodyto termino.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sdtContent>
                </w:sdt>
                <w:sdt>
                  <w:sdtPr>
                    <w:alias w:val="17 p."/>
                    <w:tag w:val="part_03bb3c27e8e94fb8999d8d575f3981ea"/>
                    <w:lock w:val="sdtLocked"/>
                    <w:richText/>
                  </w:sdtPr>
                  <w:sdtContent>
                    <w:p>
                      <w:pPr>
                        <w:tabs>
                          <w:tab w:val="left" w:pos="0"/>
                          <w:tab w:val="left" w:pos="426"/>
                          <w:tab w:val="left" w:pos="851"/>
                          <w:tab w:val="left" w:pos="1134"/>
                          <w:tab w:val="left" w:pos="1843"/>
                          <w:tab w:val="left" w:pos="2268"/>
                        </w:tabs>
                        <w:ind w:firstLine="709"/>
                        <w:jc w:val="both"/>
                        <w:rPr>
                          <w:szCs w:val="24"/>
                        </w:rPr>
                      </w:pPr>
                      <w:sdt>
                        <w:sdtPr>
                          <w:alias w:val="Numeris"/>
                          <w:tag w:val="nr_03bb3c27e8e94fb8999d8d575f3981ea"/>
                          <w:lock w:val="sdtLocked"/>
                          <w:richText/>
                        </w:sdtPr>
                        <w:sdtContent>
                          <w:r>
                            <w:rPr>
                              <w:szCs w:val="24"/>
                            </w:rPr>
                            <w:t>17</w:t>
                          </w:r>
                        </w:sdtContent>
                      </w:sdt>
                      <w:r>
                        <w:rPr>
                          <w:szCs w:val="24"/>
                        </w:rPr>
                        <w:t>. Komisija, atlikdama teigiamos investicijų grąžos neatitikties ribos koregavimą, atsižvelgia į prognozuojamus Įmonės pelningumo rodiklius iki reguliavimo periodo pabaigos. Jeigu vėlesniais reguliavimo periodo metais Įmonės pelningumo rodikliai, įvertinus Įmonei nustatytus efektyvumo rodiklius, yra žemesni nei Komisijos prognozuota, skirtumas tarp prognozuotos ir faktinės investicijų grąžos įvertinamas nustatant ir (arba) koreguojant artimiausių metų kainų viršutines ribas. Veiklos efektyvumui įvertinti Komisijai Įmonė turi pateikti konkrečių kaštų grupių, kurios darė įtaką Įmonės pelningumui, efektyvumo skaičiavimus. Metų, kuriais koreguojama teigiama investicijų grąžos neatitiktis, efektyvumas įvertinamas atsižvelgiant į Įmonės jau pasiektus efektyvumo rodiklius.</w:t>
                      </w:r>
                    </w:p>
                  </w:sdtContent>
                </w:sdt>
                <w:sdt>
                  <w:sdtPr>
                    <w:alias w:val="18 p."/>
                    <w:tag w:val="part_8e48f81e433e47f7abcb6b4942380dea"/>
                    <w:lock w:val="sdtLocked"/>
                    <w:richText/>
                  </w:sdtPr>
                  <w:sdtContent>
                    <w:p>
                      <w:pPr>
                        <w:tabs>
                          <w:tab w:val="left" w:pos="0"/>
                          <w:tab w:val="left" w:pos="426"/>
                          <w:tab w:val="left" w:pos="851"/>
                          <w:tab w:val="left" w:pos="1134"/>
                          <w:tab w:val="left" w:pos="1843"/>
                          <w:tab w:val="left" w:pos="2268"/>
                        </w:tabs>
                        <w:ind w:firstLine="709"/>
                        <w:jc w:val="both"/>
                        <w:rPr>
                          <w:szCs w:val="24"/>
                        </w:rPr>
                      </w:pPr>
                      <w:sdt>
                        <w:sdtPr>
                          <w:alias w:val="Numeris"/>
                          <w:tag w:val="nr_8e48f81e433e47f7abcb6b4942380dea"/>
                          <w:lock w:val="sdtLocked"/>
                          <w:richText/>
                        </w:sdtPr>
                        <w:sdtContent>
                          <w:r>
                            <w:rPr>
                              <w:szCs w:val="24"/>
                            </w:rPr>
                            <w:t>18</w:t>
                          </w:r>
                        </w:sdtContent>
                      </w:sdt>
                      <w:r>
                        <w:rPr>
                          <w:szCs w:val="24"/>
                        </w:rPr>
                        <w:t>. Reguliuojamų kainų paslaugos perduotos ar paskirstytos elektros energijos metinis kiekis reguliuojamų kainų galiojimo laikotarpiu nustatomas atsižvelgiant į realizuotiną paslaugos kiekį per vienerius reguliavimo periodo metus, įvertinus:</w:t>
                      </w:r>
                    </w:p>
                    <w:sdt>
                      <w:sdtPr>
                        <w:alias w:val="18.1 p."/>
                        <w:tag w:val="part_118d440fcb7f424ebeac5767a7af0eab"/>
                        <w:lock w:val="sdtLocked"/>
                        <w:richText/>
                      </w:sdtPr>
                      <w:sdtContent>
                        <w:p>
                          <w:pPr>
                            <w:tabs>
                              <w:tab w:val="left" w:pos="0"/>
                              <w:tab w:val="left" w:pos="426"/>
                              <w:tab w:val="left" w:pos="851"/>
                              <w:tab w:val="left" w:pos="1276"/>
                              <w:tab w:val="left" w:pos="1843"/>
                              <w:tab w:val="left" w:pos="2268"/>
                            </w:tabs>
                            <w:ind w:firstLine="709"/>
                            <w:jc w:val="both"/>
                            <w:rPr>
                              <w:szCs w:val="24"/>
                            </w:rPr>
                          </w:pPr>
                          <w:sdt>
                            <w:sdtPr>
                              <w:alias w:val="Numeris"/>
                              <w:tag w:val="nr_118d440fcb7f424ebeac5767a7af0eab"/>
                              <w:lock w:val="sdtLocked"/>
                              <w:richText/>
                            </w:sdtPr>
                            <w:sdtContent>
                              <w:r>
                                <w:rPr>
                                  <w:szCs w:val="24"/>
                                </w:rPr>
                                <w:t>18.1</w:t>
                              </w:r>
                            </w:sdtContent>
                          </w:sdt>
                          <w:r>
                            <w:rPr>
                              <w:szCs w:val="24"/>
                            </w:rPr>
                            <w:t xml:space="preserve">. metais </w:t>
                          </w:r>
                          <w:r>
                            <w:rPr>
                              <w:i/>
                              <w:szCs w:val="24"/>
                            </w:rPr>
                            <w:t>t-1</w:t>
                          </w:r>
                          <w:r>
                            <w:rPr>
                              <w:szCs w:val="24"/>
                            </w:rPr>
                            <w:t xml:space="preserve"> šie kiekiai skaičiuojami kaip suma faktinio kiekio už pirmus 6 kalendorinių metų mėnesius ir prognozuojamo kiekio už paskutinius 6 kalendorinių metų mėnesius, mėnesinį elektros energijos kiekį nustatant kaip praėjusių kalendorinių metų 6 paskutinių mėnesių kiekį, padaugintą iš faktinio </w:t>
                          </w:r>
                          <w:r>
                            <w:rPr>
                              <w:i/>
                              <w:szCs w:val="24"/>
                            </w:rPr>
                            <w:t>t-1</w:t>
                          </w:r>
                          <w:r>
                            <w:rPr>
                              <w:szCs w:val="24"/>
                            </w:rPr>
                            <w:t xml:space="preserve"> ir </w:t>
                          </w:r>
                          <w:r>
                            <w:rPr>
                              <w:i/>
                              <w:szCs w:val="24"/>
                            </w:rPr>
                            <w:t>t-2</w:t>
                          </w:r>
                          <w:r>
                            <w:rPr>
                              <w:szCs w:val="24"/>
                            </w:rPr>
                            <w:t xml:space="preserve"> pirmo pusmečio kiekio santykio;</w:t>
                          </w:r>
                        </w:p>
                      </w:sdtContent>
                    </w:sdt>
                    <w:sdt>
                      <w:sdtPr>
                        <w:alias w:val="18.2 p."/>
                        <w:tag w:val="part_96835b18fbed42229ce7e4f043cc9b53"/>
                        <w:lock w:val="sdtLocked"/>
                        <w:richText/>
                      </w:sdtPr>
                      <w:sdtContent>
                        <w:p>
                          <w:pPr>
                            <w:tabs>
                              <w:tab w:val="left" w:pos="0"/>
                              <w:tab w:val="left" w:pos="426"/>
                              <w:tab w:val="left" w:pos="851"/>
                              <w:tab w:val="left" w:pos="1134"/>
                              <w:tab w:val="left" w:pos="1276"/>
                              <w:tab w:val="left" w:pos="1843"/>
                              <w:tab w:val="left" w:pos="2268"/>
                            </w:tabs>
                            <w:ind w:firstLine="709"/>
                            <w:jc w:val="both"/>
                            <w:rPr>
                              <w:szCs w:val="24"/>
                            </w:rPr>
                          </w:pPr>
                          <w:sdt>
                            <w:sdtPr>
                              <w:alias w:val="Numeris"/>
                              <w:tag w:val="nr_96835b18fbed42229ce7e4f043cc9b53"/>
                              <w:lock w:val="sdtLocked"/>
                              <w:richText/>
                            </w:sdtPr>
                            <w:sdtContent>
                              <w:r>
                                <w:rPr>
                                  <w:szCs w:val="24"/>
                                </w:rPr>
                                <w:t>18.2</w:t>
                              </w:r>
                            </w:sdtContent>
                          </w:sdt>
                          <w:r>
                            <w:rPr>
                              <w:szCs w:val="24"/>
                            </w:rPr>
                            <w:t xml:space="preserve">. metais </w:t>
                          </w:r>
                          <w:r>
                            <w:rPr>
                              <w:i/>
                              <w:szCs w:val="24"/>
                            </w:rPr>
                            <w:t>t</w:t>
                          </w:r>
                          <w:r>
                            <w:rPr>
                              <w:szCs w:val="24"/>
                            </w:rPr>
                            <w:t xml:space="preserve"> – metų </w:t>
                          </w:r>
                          <w:r>
                            <w:rPr>
                              <w:i/>
                              <w:szCs w:val="24"/>
                            </w:rPr>
                            <w:t>t-1</w:t>
                          </w:r>
                          <w:r>
                            <w:rPr>
                              <w:szCs w:val="24"/>
                            </w:rPr>
                            <w:t xml:space="preserve"> duomenys padidinti t metų puse bendro vidaus produkto pokyčio pagal Finansų ministerijos arba Lietuvos banko pateiktas naujausias prognozes;</w:t>
                          </w:r>
                        </w:p>
                      </w:sdtContent>
                    </w:sdt>
                    <w:sdt>
                      <w:sdtPr>
                        <w:alias w:val="18.3 p."/>
                        <w:tag w:val="part_a1b3c43bc0194dba8295f76eb4842d61"/>
                        <w:lock w:val="sdtLocked"/>
                        <w:richText/>
                      </w:sdtPr>
                      <w:sdtContent>
                        <w:p>
                          <w:pPr>
                            <w:tabs>
                              <w:tab w:val="left" w:pos="0"/>
                              <w:tab w:val="left" w:pos="284"/>
                              <w:tab w:val="left" w:pos="851"/>
                              <w:tab w:val="left" w:pos="1276"/>
                              <w:tab w:val="left" w:pos="1843"/>
                              <w:tab w:val="left" w:pos="2268"/>
                            </w:tabs>
                            <w:ind w:firstLine="709"/>
                            <w:jc w:val="both"/>
                            <w:rPr>
                              <w:szCs w:val="24"/>
                            </w:rPr>
                          </w:pPr>
                          <w:sdt>
                            <w:sdtPr>
                              <w:alias w:val="Numeris"/>
                              <w:tag w:val="nr_a1b3c43bc0194dba8295f76eb4842d61"/>
                              <w:lock w:val="sdtLocked"/>
                              <w:richText/>
                            </w:sdtPr>
                            <w:sdtContent>
                              <w:r>
                                <w:rPr>
                                  <w:szCs w:val="24"/>
                                </w:rPr>
                                <w:t>18.3</w:t>
                              </w:r>
                            </w:sdtContent>
                          </w:sdt>
                          <w:r>
                            <w:rPr>
                              <w:szCs w:val="24"/>
                            </w:rPr>
                            <w:t>. priežasčių, kurias Įmonė nurodė kaip lemiančias realizuoto kiekio faktinių ir būsimų apimties pokyčių, pagrįstumą;</w:t>
                          </w:r>
                        </w:p>
                      </w:sdtContent>
                    </w:sdt>
                    <w:sdt>
                      <w:sdtPr>
                        <w:alias w:val="18.4 p."/>
                        <w:tag w:val="part_0c72403eb6454e6faf3d5bc0be5effbf"/>
                        <w:lock w:val="sdtLocked"/>
                        <w:richText/>
                      </w:sdtPr>
                      <w:sdtContent>
                        <w:p>
                          <w:pPr>
                            <w:tabs>
                              <w:tab w:val="left" w:pos="0"/>
                              <w:tab w:val="left" w:pos="284"/>
                              <w:tab w:val="left" w:pos="851"/>
                              <w:tab w:val="left" w:pos="1276"/>
                              <w:tab w:val="left" w:pos="1843"/>
                              <w:tab w:val="left" w:pos="2268"/>
                            </w:tabs>
                            <w:ind w:firstLine="709"/>
                            <w:jc w:val="both"/>
                          </w:pPr>
                          <w:sdt>
                            <w:sdtPr>
                              <w:alias w:val="Numeris"/>
                              <w:tag w:val="nr_0c72403eb6454e6faf3d5bc0be5effbf"/>
                              <w:lock w:val="sdtLocked"/>
                              <w:richText/>
                            </w:sdtPr>
                            <w:sdtContent>
                              <w:r>
                                <w:rPr>
                                  <w:szCs w:val="24"/>
                                </w:rPr>
                                <w:t>18.4</w:t>
                              </w:r>
                            </w:sdtContent>
                          </w:sdt>
                          <w:r>
                            <w:rPr>
                              <w:szCs w:val="24"/>
                            </w:rPr>
                            <w:t>. kitų Įmonių, galinčių daryti įtaką prognozuojamam kiekiui, plėtrą ir teisės aktuose nustatytus įpareigojimus.</w:t>
                          </w:r>
                        </w:p>
                      </w:sdtContent>
                    </w:sdt>
                  </w:sdtContent>
                </w:sdt>
                <w:sdt>
                  <w:sdtPr>
                    <w:alias w:val="18-1 p."/>
                    <w:tag w:val="part_b560e4e74e404fb4be78ecaa230d38ce"/>
                    <w:lock w:val="sdtLocked"/>
                    <w:richText/>
                  </w:sdtPr>
                  <w:sdtContent>
                    <w:p>
                      <w:pPr>
                        <w:ind w:firstLine="720"/>
                        <w:jc w:val="both"/>
                      </w:pPr>
                      <w:sdt>
                        <w:sdtPr>
                          <w:alias w:val="Numeris"/>
                          <w:tag w:val="nr_b560e4e74e404fb4be78ecaa230d38ce"/>
                          <w:lock w:val="sdtLocked"/>
                          <w:richText/>
                        </w:sdtPr>
                        <w:sdtContent>
                          <w:r>
                            <w:rPr>
                              <w:bCs/>
                              <w:color w:val="000000"/>
                              <w:szCs w:val="24"/>
                              <w:lang w:eastAsia="lt-LT"/>
                            </w:rPr>
                            <w:t>18</w:t>
                          </w:r>
                          <w:r>
                            <w:rPr>
                              <w:bCs/>
                              <w:color w:val="000000"/>
                              <w:szCs w:val="24"/>
                              <w:vertAlign w:val="superscript"/>
                              <w:lang w:eastAsia="lt-LT"/>
                            </w:rPr>
                            <w:t>1</w:t>
                          </w:r>
                        </w:sdtContent>
                      </w:sdt>
                      <w:r>
                        <w:rPr>
                          <w:bCs/>
                          <w:color w:val="000000"/>
                          <w:szCs w:val="24"/>
                          <w:lang w:eastAsia="lt-LT"/>
                        </w:rPr>
                        <w:t>.</w:t>
                      </w:r>
                      <w:r>
                        <w:rPr>
                          <w:color w:val="000000"/>
                          <w:szCs w:val="24"/>
                          <w:lang w:eastAsia="lt-LT"/>
                        </w:rPr>
                        <w:t xml:space="preserve"> </w:t>
                      </w:r>
                      <w:r>
                        <w:rPr>
                          <w:bCs/>
                          <w:color w:val="000000"/>
                          <w:szCs w:val="24"/>
                          <w:lang w:eastAsia="lt-LT"/>
                        </w:rPr>
                        <w:t>Reguliuojančiosios institucijos motyvuotu sprendimu elektros energijos skirstymo paslaugų VĮ ir ŽĮ tinkluose kainų viršutinės ribos gali būti koreguojamos skirtumu tarp skirstymo tinklų operatoriaus garantiniam elektros energijos tiekimui vykdyti patirtų kaštų ir iš garantinio elektros energijos tiekimo gautų pajamų, atsižvelgiant į tai, kurios įtampos tinkluose yra patiriami garantinio tiekimo paslaugos kaštai ir gaunamos garantinio tiekimo paslaugos pajamos.</w:t>
                      </w:r>
                      <w:r>
                        <w:t xml:space="preserve"> </w:t>
                      </w:r>
                    </w:p>
                    <w:p>
                      <w:pPr>
                        <w:jc w:val="both"/>
                        <w:rPr>
                          <w:szCs w:val="24"/>
                        </w:rPr>
                      </w:pPr>
                      <w:r>
                        <w:rPr>
                          <w:b/>
                          <w:i/>
                          <w:sz w:val="20"/>
                        </w:rPr>
                        <w:t>TAR pastaba.</w:t>
                      </w:r>
                      <w:r>
                        <w:rPr>
                          <w:i/>
                          <w:sz w:val="20"/>
                        </w:rPr>
                        <w:t xml:space="preserve"> 18</w:t>
                      </w:r>
                      <w:r>
                        <w:rPr>
                          <w:i/>
                          <w:sz w:val="20"/>
                          <w:vertAlign w:val="superscript"/>
                        </w:rPr>
                        <w:t>1</w:t>
                      </w:r>
                      <w:r>
                        <w:rPr>
                          <w:i/>
                          <w:sz w:val="20"/>
                        </w:rPr>
                        <w:t xml:space="preserve"> punkto nuostatos taikomos </w:t>
                      </w:r>
                      <w:r>
                        <w:rPr>
                          <w:bCs/>
                          <w:i/>
                          <w:sz w:val="20"/>
                        </w:rPr>
                        <w:t>nustatant arba koreguojant 2020 metų ir vėlesnių laikotarpių elektros energijos perdavimo, skirstymo ir visuomeninio tiekimo paslaugų bei visuomeninės kainos viršutines ribas</w:t>
                      </w:r>
                      <w:r>
                        <w:rPr>
                          <w:bCs/>
                        </w:rPr>
                        <w:t>.</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2bc050eb6011e99681cd81dcdca52c">
                        <w:r w:rsidRPr="00532B9F">
                          <w:rPr>
                            <w:rFonts w:ascii="Times New Roman" w:eastAsia="MS Mincho" w:hAnsi="Times New Roman"/>
                            <w:sz w:val="20"/>
                            <w:i/>
                            <w:iCs/>
                            <w:color w:val="0000FF" w:themeColor="hyperlink"/>
                            <w:u w:val="single"/>
                          </w:rPr>
                          <w:t>O3E-548</w:t>
                        </w:r>
                      </w:fldSimple>
                      <w:r>
                        <w:rPr>
                          <w:rFonts w:ascii="Times New Roman" w:eastAsia="MS Mincho" w:hAnsi="Times New Roman"/>
                          <w:sz w:val="20"/>
                          <w:i/>
                          <w:iCs/>
                        </w:rPr>
                        <w:t>,
2019-10-10,
paskelbta TAR 2019-10-10, i. k. 2019-16169        </w:t>
                      </w:r>
                    </w:p>
                    <w:p/>
                  </w:sdtContent>
                </w:sdt>
              </w:sdtContent>
            </w:sdt>
            <w:sdt>
              <w:sdtPr>
                <w:alias w:val="skirsnis"/>
                <w:tag w:val="part_fef0e2518339433085facff293bda298"/>
                <w:lock w:val="sdtLocked"/>
                <w:richText/>
              </w:sdtPr>
              <w:sdtContent>
                <w:p>
                  <w:pPr>
                    <w:widowControl w:val="0"/>
                    <w:tabs>
                      <w:tab w:val="left" w:pos="993"/>
                      <w:tab w:val="left" w:pos="1843"/>
                    </w:tabs>
                    <w:jc w:val="center"/>
                    <w:rPr>
                      <w:b/>
                      <w:szCs w:val="24"/>
                    </w:rPr>
                  </w:pPr>
                  <w:sdt>
                    <w:sdtPr>
                      <w:alias w:val="Numeris"/>
                      <w:tag w:val="nr_fef0e2518339433085facff293bda298"/>
                      <w:lock w:val="sdtLocked"/>
                      <w:richText/>
                    </w:sdtPr>
                    <w:sdtContent>
                      <w:r>
                        <w:rPr>
                          <w:b/>
                          <w:szCs w:val="24"/>
                        </w:rPr>
                        <w:t>ANTRASIS</w:t>
                      </w:r>
                    </w:sdtContent>
                  </w:sdt>
                  <w:r>
                    <w:rPr>
                      <w:b/>
                      <w:szCs w:val="24"/>
                    </w:rPr>
                    <w:t xml:space="preserve"> SKIRSNIS</w:t>
                  </w:r>
                </w:p>
                <w:p>
                  <w:pPr>
                    <w:widowControl w:val="0"/>
                    <w:tabs>
                      <w:tab w:val="left" w:pos="993"/>
                      <w:tab w:val="left" w:pos="1843"/>
                    </w:tabs>
                    <w:jc w:val="center"/>
                    <w:rPr>
                      <w:b/>
                      <w:szCs w:val="24"/>
                    </w:rPr>
                  </w:pPr>
                  <w:sdt>
                    <w:sdtPr>
                      <w:alias w:val="Pavadinimas"/>
                      <w:tag w:val="title_fef0e2518339433085facff293bda298"/>
                      <w:lock w:val="sdtLocked"/>
                      <w:richText/>
                    </w:sdtPr>
                    <w:sdtContent>
                      <w:r>
                        <w:rPr>
                          <w:b/>
                          <w:szCs w:val="24"/>
                        </w:rPr>
                        <w:t>ĮMONIŲ, BESIVERČIANČIŲ SKIRSTYMO VEIKLA, KURIŲ VEIKLOS TERITORIJOJE ESANČIŲ VARTOTOJŲ SKAIČIUS MAŽESNIS NEI 100 TŪKSTANČIŲ, IR ĮMONIŲ, BESIVERČIANČIŲ VISUOMENINIO TIEKIMO VEIKLA KAINODAROS TAISYKLĖS</w:t>
                      </w:r>
                    </w:sdtContent>
                  </w:sdt>
                </w:p>
                <w:p>
                  <w:pPr>
                    <w:widowControl w:val="0"/>
                    <w:tabs>
                      <w:tab w:val="left" w:pos="993"/>
                      <w:tab w:val="left" w:pos="1843"/>
                    </w:tabs>
                    <w:spacing w:line="240" w:lineRule="atLeast"/>
                    <w:ind w:left="900"/>
                    <w:jc w:val="both"/>
                    <w:rPr>
                      <w:szCs w:val="24"/>
                    </w:rPr>
                  </w:pPr>
                </w:p>
                <w:p>
                  <w:pPr>
                    <w:widowControl w:val="0"/>
                    <w:tabs>
                      <w:tab w:val="left" w:pos="993"/>
                      <w:tab w:val="left" w:pos="1843"/>
                    </w:tabs>
                    <w:spacing w:line="240" w:lineRule="atLeast"/>
                    <w:ind w:left="900"/>
                    <w:jc w:val="both"/>
                    <w:rPr>
                      <w:szCs w:val="24"/>
                    </w:rPr>
                  </w:pPr>
                </w:p>
                <w:sdt>
                  <w:sdtPr>
                    <w:alias w:val="19 p."/>
                    <w:tag w:val="part_5afcd837a8524ceeaa28ac821b3fe4a7"/>
                    <w:lock w:val="sdtLocked"/>
                    <w:richText/>
                  </w:sdtPr>
                  <w:sdtContent>
                    <w:p>
                      <w:pPr>
                        <w:widowControl w:val="0"/>
                        <w:tabs>
                          <w:tab w:val="left" w:pos="0"/>
                          <w:tab w:val="left" w:pos="1134"/>
                        </w:tabs>
                        <w:ind w:firstLine="709"/>
                        <w:jc w:val="both"/>
                        <w:rPr>
                          <w:szCs w:val="24"/>
                        </w:rPr>
                      </w:pPr>
                      <w:sdt>
                        <w:sdtPr>
                          <w:alias w:val="Numeris"/>
                          <w:tag w:val="nr_5afcd837a8524ceeaa28ac821b3fe4a7"/>
                          <w:lock w:val="sdtLocked"/>
                          <w:richText/>
                        </w:sdtPr>
                        <w:sdtContent>
                          <w:r>
                            <w:rPr>
                              <w:szCs w:val="24"/>
                            </w:rPr>
                            <w:t>19</w:t>
                          </w:r>
                        </w:sdtContent>
                      </w:sdt>
                      <w:r>
                        <w:rPr>
                          <w:szCs w:val="24"/>
                        </w:rPr>
                        <w:t>. Įmonių reguliuojamų paslaugų kainų viršutinės ribos nustatomos 5 metų reguliavimo periodui. Šių Įmonių leistinas metinis pajamų lygis nustatomos susumavus ekonomiškai pagrįstus (būtinus) metinius kaštus konkrečiai paslaugai teikti. Reguliuojamos paslaugos kaštams priskiriami ekonomiškai pagrįsti kaštai, būtini Įmonės reguliuojamai veiklai vykdyti. Būtini kaštai, suprantami kaip kaštai, kurių nepatyrusi Įmonė negalėtų saugiai ir efektyviai vykdyti reguliuojamos veiklos bei su ja susijusių teisės aktų įpareigojimų. Finansinės-investicinės veiklos kaštai nepriskiriami prie reguliuojamos veiklos kaštų.</w:t>
                      </w:r>
                    </w:p>
                  </w:sdtContent>
                </w:sdt>
                <w:sdt>
                  <w:sdtPr>
                    <w:alias w:val="20 p."/>
                    <w:tag w:val="part_a942da867700476793bef7dc6f66f3a2"/>
                    <w:lock w:val="sdtLocked"/>
                    <w:richText/>
                  </w:sdtPr>
                  <w:sdtContent>
                    <w:p>
                      <w:pPr>
                        <w:widowControl w:val="0"/>
                        <w:tabs>
                          <w:tab w:val="left" w:pos="0"/>
                          <w:tab w:val="left" w:pos="1134"/>
                        </w:tabs>
                        <w:ind w:firstLine="709"/>
                        <w:jc w:val="both"/>
                        <w:rPr>
                          <w:szCs w:val="24"/>
                        </w:rPr>
                      </w:pPr>
                      <w:sdt>
                        <w:sdtPr>
                          <w:alias w:val="Numeris"/>
                          <w:tag w:val="nr_a942da867700476793bef7dc6f66f3a2"/>
                          <w:lock w:val="sdtLocked"/>
                          <w:richText/>
                        </w:sdtPr>
                        <w:sdtContent>
                          <w:r>
                            <w:rPr>
                              <w:szCs w:val="24"/>
                            </w:rPr>
                            <w:t>20</w:t>
                          </w:r>
                        </w:sdtContent>
                      </w:sdt>
                      <w:r>
                        <w:rPr>
                          <w:szCs w:val="24"/>
                        </w:rPr>
                        <w:t>. Ekonomiškai pagrįsti (būtini) metiniai Kapitalo kaštai apskaičiuojami kiekvieniems metams atsižvelgiant į:</w:t>
                      </w:r>
                    </w:p>
                    <w:sdt>
                      <w:sdtPr>
                        <w:alias w:val="20.1 p."/>
                        <w:tag w:val="part_3952c9c8478140478208cb29339a4698"/>
                        <w:lock w:val="sdtLocked"/>
                        <w:richText/>
                      </w:sdtPr>
                      <w:sdtContent>
                        <w:p>
                          <w:pPr>
                            <w:widowControl w:val="0"/>
                            <w:tabs>
                              <w:tab w:val="left" w:pos="0"/>
                              <w:tab w:val="left" w:pos="1276"/>
                            </w:tabs>
                            <w:ind w:firstLine="709"/>
                            <w:jc w:val="both"/>
                            <w:rPr>
                              <w:szCs w:val="24"/>
                            </w:rPr>
                          </w:pPr>
                          <w:sdt>
                            <w:sdtPr>
                              <w:alias w:val="Numeris"/>
                              <w:tag w:val="nr_3952c9c8478140478208cb29339a4698"/>
                              <w:lock w:val="sdtLocked"/>
                              <w:richText/>
                            </w:sdtPr>
                            <w:sdtContent>
                              <w:r>
                                <w:rPr>
                                  <w:szCs w:val="24"/>
                                </w:rPr>
                                <w:t>20.1</w:t>
                              </w:r>
                            </w:sdtContent>
                          </w:sdt>
                          <w:r>
                            <w:rPr>
                              <w:szCs w:val="24"/>
                            </w:rPr>
                            <w:t>. nusidėvėjimo kaštų dydį, kuris suskaičiuotas:</w:t>
                          </w:r>
                        </w:p>
                        <w:sdt>
                          <w:sdtPr>
                            <w:alias w:val="20.1.1 p."/>
                            <w:tag w:val="part_d1335ce682474c8f8502a37e288e1e34"/>
                            <w:lock w:val="sdtLocked"/>
                            <w:richText/>
                          </w:sdtPr>
                          <w:sdtContent>
                            <w:p>
                              <w:pPr>
                                <w:widowControl w:val="0"/>
                                <w:tabs>
                                  <w:tab w:val="left" w:pos="0"/>
                                  <w:tab w:val="left" w:pos="1276"/>
                                </w:tabs>
                                <w:ind w:firstLine="709"/>
                                <w:jc w:val="both"/>
                              </w:pPr>
                              <w:sdt>
                                <w:sdtPr>
                                  <w:alias w:val="Numeris"/>
                                  <w:tag w:val="nr_d1335ce682474c8f8502a37e288e1e34"/>
                                  <w:lock w:val="sdtLocked"/>
                                  <w:richText/>
                                </w:sdtPr>
                                <w:sdtContent>
                                  <w:r>
                                    <w:rPr>
                                      <w:szCs w:val="24"/>
                                    </w:rPr>
                                    <w:t>20.1.1</w:t>
                                  </w:r>
                                </w:sdtContent>
                              </w:sdt>
                              <w:r>
                                <w:rPr>
                                  <w:szCs w:val="24"/>
                                </w:rPr>
                                <w:t>. taikant tiesiogiai proporcingą (tiesinį) nusidėvėjimo metodą.</w:t>
                              </w:r>
                            </w:p>
                          </w:sdtContent>
                        </w:sdt>
                        <w:sdt>
                          <w:sdtPr>
                            <w:alias w:val="21.1.1-1 p."/>
                            <w:tag w:val="part_ac6c118e544c4b11a4a641702c9ceabd"/>
                            <w:lock w:val="sdtLocked"/>
                            <w:richText/>
                          </w:sdtPr>
                          <w:sdtContent>
                            <w:p>
                              <w:pPr>
                                <w:tabs>
                                  <w:tab w:val="left" w:pos="1134"/>
                                  <w:tab w:val="left" w:pos="1276"/>
                                </w:tabs>
                                <w:ind w:firstLine="709"/>
                                <w:jc w:val="both"/>
                                <w:rPr>
                                  <w:bCs/>
                                  <w:szCs w:val="24"/>
                                </w:rPr>
                              </w:pPr>
                              <w:sdt>
                                <w:sdtPr>
                                  <w:alias w:val="Numeris"/>
                                  <w:tag w:val="nr_ac6c118e544c4b11a4a641702c9ceabd"/>
                                  <w:lock w:val="sdtLocked"/>
                                  <w:richText/>
                                </w:sdtPr>
                                <w:sdtContent>
                                  <w:r>
                                    <w:rPr>
                                      <w:szCs w:val="24"/>
                                    </w:rPr>
                                    <w:t>21.1.1</w:t>
                                  </w:r>
                                  <w:r>
                                    <w:rPr>
                                      <w:szCs w:val="24"/>
                                      <w:vertAlign w:val="superscript"/>
                                    </w:rPr>
                                    <w:t>1</w:t>
                                  </w:r>
                                </w:sdtContent>
                              </w:sdt>
                              <w:r>
                                <w:rPr>
                                  <w:bCs/>
                                  <w:szCs w:val="24"/>
                                </w:rPr>
                                <w:t xml:space="preserve">. Įmonėms, kurioms Komisija yra atlikusi reguliuojamų paslaugų sąnaudų pagrįstumo (būtinumo) patikrinimą, naujojo reguliavimo periodo pagrįstų metinių OPEX  kaštų (išskyrus darbo užmokesčio kaštus) dydis nustatomas:</w:t>
                              </w:r>
                            </w:p>
                            <w:sdt>
                              <w:sdtPr>
                                <w:alias w:val="21.1.1-1.1 p."/>
                                <w:tag w:val="part_657c5f8cb3a240b397159bb6727604af"/>
                                <w:lock w:val="sdtLocked"/>
                                <w:richText/>
                              </w:sdtPr>
                              <w:sdtContent>
                                <w:p>
                                  <w:pPr>
                                    <w:tabs>
                                      <w:tab w:val="left" w:pos="1134"/>
                                      <w:tab w:val="left" w:pos="1276"/>
                                    </w:tabs>
                                    <w:ind w:firstLine="709"/>
                                    <w:jc w:val="both"/>
                                    <w:rPr>
                                      <w:bCs/>
                                      <w:szCs w:val="24"/>
                                    </w:rPr>
                                  </w:pPr>
                                  <w:sdt>
                                    <w:sdtPr>
                                      <w:alias w:val="Numeris"/>
                                      <w:tag w:val="nr_657c5f8cb3a240b397159bb6727604af"/>
                                      <w:lock w:val="sdtLocked"/>
                                      <w:richText/>
                                    </w:sdtPr>
                                    <w:sdtContent>
                                      <w:r>
                                        <w:rPr>
                                          <w:szCs w:val="24"/>
                                        </w:rPr>
                                        <w:t>21.1.1</w:t>
                                      </w:r>
                                      <w:r>
                                        <w:rPr>
                                          <w:szCs w:val="24"/>
                                          <w:vertAlign w:val="superscript"/>
                                        </w:rPr>
                                        <w:t>1</w:t>
                                      </w:r>
                                      <w:r>
                                        <w:rPr>
                                          <w:szCs w:val="24"/>
                                        </w:rPr>
                                        <w:t>.1</w:t>
                                      </w:r>
                                    </w:sdtContent>
                                  </w:sdt>
                                  <w:r>
                                    <w:rPr>
                                      <w:szCs w:val="24"/>
                                    </w:rPr>
                                    <w:t xml:space="preserve">. </w:t>
                                  </w:r>
                                  <w:r>
                                    <w:rPr>
                                      <w:bCs/>
                                      <w:szCs w:val="24"/>
                                    </w:rPr>
                                    <w:t>Komisijos atlikto paskutinių reguliuojamų paslaugų sąnaudų pagrįstumo (būtinumo) patikrinimo metų pagrįstą šių kaštų dydį, pakoreguojant prognozuojamu vidutinio metinio vartotojų kainų indekso (VKI) pokyčiu;</w:t>
                                  </w:r>
                                </w:p>
                              </w:sdtContent>
                            </w:sdt>
                            <w:sdt>
                              <w:sdtPr>
                                <w:alias w:val="21.1.1-1.2 p."/>
                                <w:tag w:val="part_b9078bc747c94ceb852f5199fc7b9335"/>
                                <w:lock w:val="sdtLocked"/>
                                <w:richText/>
                              </w:sdtPr>
                              <w:sdtContent>
                                <w:p>
                                  <w:pPr>
                                    <w:tabs>
                                      <w:tab w:val="left" w:pos="1134"/>
                                      <w:tab w:val="left" w:pos="1276"/>
                                    </w:tabs>
                                    <w:ind w:firstLine="709"/>
                                    <w:jc w:val="both"/>
                                    <w:rPr>
                                      <w:bCs/>
                                      <w:szCs w:val="24"/>
                                    </w:rPr>
                                  </w:pPr>
                                  <w:sdt>
                                    <w:sdtPr>
                                      <w:alias w:val="Numeris"/>
                                      <w:tag w:val="nr_b9078bc747c94ceb852f5199fc7b9335"/>
                                      <w:lock w:val="sdtLocked"/>
                                      <w:richText/>
                                    </w:sdtPr>
                                    <w:sdtContent>
                                      <w:r>
                                        <w:rPr>
                                          <w:szCs w:val="24"/>
                                        </w:rPr>
                                        <w:t>21.1.1</w:t>
                                      </w:r>
                                      <w:r>
                                        <w:rPr>
                                          <w:szCs w:val="24"/>
                                          <w:vertAlign w:val="superscript"/>
                                        </w:rPr>
                                        <w:t>1</w:t>
                                      </w:r>
                                      <w:r>
                                        <w:rPr>
                                          <w:szCs w:val="24"/>
                                        </w:rPr>
                                        <w:t>.2</w:t>
                                      </w:r>
                                    </w:sdtContent>
                                  </w:sdt>
                                  <w:r>
                                    <w:rPr>
                                      <w:szCs w:val="24"/>
                                    </w:rPr>
                                    <w:t xml:space="preserve">. </w:t>
                                  </w:r>
                                  <w:r>
                                    <w:rPr>
                                      <w:bCs/>
                                      <w:szCs w:val="24"/>
                                    </w:rPr>
                                    <w:t>įvertinus efektyvumo rodiklį, pagal atitinkamais metais galiojusią Komisijos patvirtintą Elektros energijos perdavimo, skirstymo ir visuomeninio tiekimo paslaugų bei visuomeninės kainos viršutinės ribos nustatymo metodiką;</w:t>
                                  </w:r>
                                </w:p>
                              </w:sdtContent>
                            </w:sdt>
                            <w:sdt>
                              <w:sdtPr>
                                <w:alias w:val="21.1.1-1.3 p."/>
                                <w:tag w:val="part_73adde6aa23b4425a101a687002194a5"/>
                                <w:lock w:val="sdtLocked"/>
                                <w:richText/>
                              </w:sdtPr>
                              <w:sdtContent>
                                <w:p>
                                  <w:pPr>
                                    <w:tabs>
                                      <w:tab w:val="left" w:pos="1134"/>
                                      <w:tab w:val="left" w:pos="1276"/>
                                    </w:tabs>
                                    <w:ind w:firstLine="709"/>
                                    <w:jc w:val="both"/>
                                    <w:rPr>
                                      <w:szCs w:val="24"/>
                                    </w:rPr>
                                  </w:pPr>
                                  <w:sdt>
                                    <w:sdtPr>
                                      <w:alias w:val="Numeris"/>
                                      <w:tag w:val="nr_73adde6aa23b4425a101a687002194a5"/>
                                      <w:lock w:val="sdtLocked"/>
                                      <w:richText/>
                                    </w:sdtPr>
                                    <w:sdtContent>
                                      <w:r>
                                        <w:rPr>
                                          <w:bCs/>
                                          <w:szCs w:val="24"/>
                                        </w:rPr>
                                        <w:t>21.1.1</w:t>
                                      </w:r>
                                      <w:r>
                                        <w:rPr>
                                          <w:bCs/>
                                          <w:szCs w:val="24"/>
                                          <w:vertAlign w:val="superscript"/>
                                        </w:rPr>
                                        <w:t>1</w:t>
                                      </w:r>
                                      <w:r>
                                        <w:rPr>
                                          <w:bCs/>
                                          <w:szCs w:val="24"/>
                                        </w:rPr>
                                        <w:t>.3</w:t>
                                      </w:r>
                                    </w:sdtContent>
                                  </w:sdt>
                                  <w:r>
                                    <w:rPr>
                                      <w:bCs/>
                                      <w:szCs w:val="24"/>
                                    </w:rPr>
                                    <w:t xml:space="preserve">. </w:t>
                                  </w:r>
                                  <w:r>
                                    <w:rPr>
                                      <w:szCs w:val="24"/>
                                    </w:rPr>
                                    <w:t xml:space="preserve">įvertinus </w:t>
                                  </w:r>
                                  <w:r>
                                    <w:rPr>
                                      <w:bCs/>
                                      <w:szCs w:val="24"/>
                                    </w:rPr>
                                    <w:t xml:space="preserve">Apraše </w:t>
                                  </w:r>
                                  <w:r>
                                    <w:rPr>
                                      <w:szCs w:val="24"/>
                                    </w:rPr>
                                    <w:t>nustatytą reguliuojamai veiklai vykdyti būtinųjų leistinų sąnaudų procentą</w:t>
                                  </w:r>
                                  <w:r>
                                    <w:rPr>
                                      <w:bCs/>
                                      <w:szCs w:val="24"/>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20.1.2 p."/>
                            <w:tag w:val="part_ecbeb98946de45ec86c2402fbb8e22b9"/>
                            <w:lock w:val="sdtLocked"/>
                            <w:richText/>
                          </w:sdtPr>
                          <w:sdtContent>
                            <w:p>
                              <w:pPr>
                                <w:widowControl w:val="0"/>
                                <w:tabs>
                                  <w:tab w:val="left" w:pos="0"/>
                                  <w:tab w:val="left" w:pos="1276"/>
                                </w:tabs>
                                <w:ind w:firstLine="709"/>
                                <w:jc w:val="both"/>
                                <w:rPr>
                                  <w:szCs w:val="24"/>
                                </w:rPr>
                              </w:pPr>
                              <w:sdt>
                                <w:sdtPr>
                                  <w:alias w:val="Numeris"/>
                                  <w:tag w:val="nr_ecbeb98946de45ec86c2402fbb8e22b9"/>
                                  <w:lock w:val="sdtLocked"/>
                                  <w:richText/>
                                </w:sdtPr>
                                <w:sdtContent>
                                  <w:r>
                                    <w:rPr>
                                      <w:szCs w:val="24"/>
                                    </w:rPr>
                                    <w:t>20.1.2</w:t>
                                  </w:r>
                                </w:sdtContent>
                              </w:sdt>
                              <w:r>
                                <w:rPr>
                                  <w:szCs w:val="24"/>
                                </w:rPr>
                                <w:t>. taikant konkrečiam ilgalaikiam turtui nustatytus nusidėvėjimo (amortizacijos) normatyvus, nurodytus Aprašo 5 priede;</w:t>
                              </w:r>
                            </w:p>
                          </w:sdtContent>
                        </w:sdt>
                        <w:sdt>
                          <w:sdtPr>
                            <w:alias w:val="20.1.3 p."/>
                            <w:tag w:val="part_6044110cdf7d4225aaa1f558f5f5d4b9"/>
                            <w:lock w:val="sdtLocked"/>
                            <w:richText/>
                          </w:sdtPr>
                          <w:sdtContent>
                            <w:p>
                              <w:pPr>
                                <w:widowControl w:val="0"/>
                                <w:tabs>
                                  <w:tab w:val="left" w:pos="0"/>
                                  <w:tab w:val="left" w:pos="1276"/>
                                </w:tabs>
                                <w:ind w:firstLine="709"/>
                                <w:jc w:val="both"/>
                                <w:rPr>
                                  <w:szCs w:val="24"/>
                                </w:rPr>
                              </w:pPr>
                              <w:sdt>
                                <w:sdtPr>
                                  <w:alias w:val="Numeris"/>
                                  <w:tag w:val="nr_6044110cdf7d4225aaa1f558f5f5d4b9"/>
                                  <w:lock w:val="sdtLocked"/>
                                  <w:richText/>
                                </w:sdtPr>
                                <w:sdtContent>
                                  <w:r>
                                    <w:rPr>
                                      <w:szCs w:val="24"/>
                                    </w:rPr>
                                    <w:t>20.1.3</w:t>
                                  </w:r>
                                </w:sdtContent>
                              </w:sdt>
                              <w:r>
                                <w:rPr>
                                  <w:szCs w:val="24"/>
                                </w:rPr>
                                <w:t>. eliminuojant Metodikos 7.2.4 ir 7.2.5 punktuose nurodyto ilgalaikio turto nusidėvėjimo kaštų dalį;</w:t>
                              </w:r>
                            </w:p>
                          </w:sdtContent>
                        </w:sdt>
                        <w:sdt>
                          <w:sdtPr>
                            <w:alias w:val="20.1.4 p."/>
                            <w:tag w:val="part_bbe0a308718c44288aae8b1ae82c6f1c"/>
                            <w:lock w:val="sdtLocked"/>
                            <w:richText/>
                          </w:sdtPr>
                          <w:sdtContent>
                            <w:p>
                              <w:pPr>
                                <w:widowControl w:val="0"/>
                                <w:tabs>
                                  <w:tab w:val="left" w:pos="0"/>
                                  <w:tab w:val="left" w:pos="1276"/>
                                </w:tabs>
                                <w:ind w:firstLine="709"/>
                                <w:jc w:val="both"/>
                                <w:rPr>
                                  <w:szCs w:val="24"/>
                                </w:rPr>
                              </w:pPr>
                              <w:sdt>
                                <w:sdtPr>
                                  <w:alias w:val="Numeris"/>
                                  <w:tag w:val="nr_bbe0a308718c44288aae8b1ae82c6f1c"/>
                                  <w:lock w:val="sdtLocked"/>
                                  <w:richText/>
                                </w:sdtPr>
                                <w:sdtContent>
                                  <w:r>
                                    <w:rPr>
                                      <w:szCs w:val="24"/>
                                    </w:rPr>
                                    <w:t>20.1.4</w:t>
                                  </w:r>
                                </w:sdtContent>
                              </w:sdt>
                              <w:r>
                                <w:rPr>
                                  <w:szCs w:val="24"/>
                                </w:rPr>
                                <w:t xml:space="preserve">. </w:t>
                              </w:r>
                              <w:r>
                                <w:t>atsižvelgiant į finansavimą už Europos Sąjungos struktūrinių fondų lėšas, gautas subsidijas, dotacijas ir už elektros energijos vartotojų įrenginių prijungimą prie tinklų sumokėtas įmokas;</w:t>
                              </w:r>
                            </w:p>
                          </w:sdtContent>
                        </w:sdt>
                      </w:sdtContent>
                    </w:sdt>
                    <w:sdt>
                      <w:sdtPr>
                        <w:alias w:val="20.2 p."/>
                        <w:tag w:val="part_94892ee2003341a68c130b691f6e9faf"/>
                        <w:lock w:val="sdtLocked"/>
                        <w:richText/>
                      </w:sdtPr>
                      <w:sdtContent>
                        <w:p>
                          <w:pPr>
                            <w:widowControl w:val="0"/>
                            <w:tabs>
                              <w:tab w:val="left" w:pos="0"/>
                              <w:tab w:val="left" w:pos="1276"/>
                            </w:tabs>
                            <w:spacing w:line="240" w:lineRule="atLeast"/>
                            <w:ind w:firstLine="709"/>
                            <w:jc w:val="both"/>
                            <w:rPr>
                              <w:szCs w:val="24"/>
                            </w:rPr>
                          </w:pPr>
                          <w:sdt>
                            <w:sdtPr>
                              <w:alias w:val="Numeris"/>
                              <w:tag w:val="nr_94892ee2003341a68c130b691f6e9faf"/>
                              <w:lock w:val="sdtLocked"/>
                              <w:richText/>
                            </w:sdtPr>
                            <w:sdtContent>
                              <w:r>
                                <w:rPr>
                                  <w:szCs w:val="24"/>
                                </w:rPr>
                                <w:t>20.2</w:t>
                              </w:r>
                            </w:sdtContent>
                          </w:sdt>
                          <w:r>
                            <w:rPr>
                              <w:szCs w:val="24"/>
                            </w:rPr>
                            <w:t>. paslaugai ir (ar) produktui priskirtino reguliuojamo turto vertę (RAB):</w:t>
                          </w:r>
                        </w:p>
                        <w:sdt>
                          <w:sdtPr>
                            <w:alias w:val="20.2.1 p."/>
                            <w:tag w:val="part_3a1e07daf0e24798aa6166a4b91a5172"/>
                            <w:lock w:val="sdtLocked"/>
                            <w:richText/>
                          </w:sdtPr>
                          <w:sdtContent>
                            <w:p>
                              <w:pPr>
                                <w:tabs>
                                  <w:tab w:val="left" w:pos="1134"/>
                                </w:tabs>
                                <w:ind w:firstLine="709"/>
                                <w:jc w:val="both"/>
                                <w:rPr>
                                  <w:szCs w:val="24"/>
                                </w:rPr>
                              </w:pPr>
                              <w:sdt>
                                <w:sdtPr>
                                  <w:alias w:val="Numeris"/>
                                  <w:tag w:val="nr_3a1e07daf0e24798aa6166a4b91a5172"/>
                                  <w:lock w:val="sdtLocked"/>
                                  <w:richText/>
                                </w:sdtPr>
                                <w:sdtContent>
                                  <w:r>
                                    <w:rPr>
                                      <w:szCs w:val="24"/>
                                    </w:rPr>
                                    <w:t>20.2.1</w:t>
                                  </w:r>
                                </w:sdtContent>
                              </w:sdt>
                              <w:r>
                                <w:rPr>
                                  <w:szCs w:val="24"/>
                                </w:rPr>
                                <w:t>. įmonių, besiverčiančių skirstymo veikla, kurių veiklos teritorijoje esančių vartotojų skaičius mažesnis nei 100 tūkstančių atveju apskaičiuotą pagal (7) formulę licencijuojamai veiklai naudojamo turto vertę, ir duomenis šiam turtui apskaičiuoti, pateikiamus pagal Metodikos 2 priedą:</w:t>
                              </w:r>
                            </w:p>
                            <w:p>
                              <w:pPr>
                                <w:tabs>
                                  <w:tab w:val="left" w:pos="993"/>
                                </w:tabs>
                                <w:ind w:firstLine="709"/>
                                <w:jc w:val="both"/>
                                <w:rPr>
                                  <w:szCs w:val="24"/>
                                </w:rPr>
                              </w:pPr>
                            </w:p>
                            <w:p>
                              <w:pPr>
                                <w:tabs>
                                  <w:tab w:val="left" w:pos="993"/>
                                  <w:tab w:val="left" w:pos="9356"/>
                                </w:tabs>
                                <w:ind w:firstLine="993"/>
                                <w:jc w:val="both"/>
                                <w:rPr>
                                  <w:szCs w:val="24"/>
                                </w:rPr>
                              </w:pPr>
                              <m:oMath>
                                <m:sSub>
                                  <m:sSubPr>
                                    <m:ctrlPr>
                                      <w:rPr>
                                        <w:rFonts w:ascii="Cambria Math" w:hAnsi="Cambria Math"/>
                                        <w:i/>
                                        <w:szCs w:val="24"/>
                                      </w:rPr>
                                    </m:ctrlPr>
                                  </m:sSubPr>
                                  <m:e>
                                    <m:r>
                                      <w:rPr>
                                        <w:rFonts w:ascii="Cambria Math" w:hAnsi="Cambria Math"/>
                                        <w:szCs w:val="24"/>
                                      </w:rPr>
                                      <m:t>RAB</m:t>
                                    </m:r>
                                  </m:e>
                                  <m:sub>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RAB</m:t>
                                    </m:r>
                                  </m:e>
                                  <m:sub>
                                    <m:r>
                                      <w:rPr>
                                        <w:rFonts w:ascii="Cambria Math" w:hAnsi="Cambria Math"/>
                                        <w:szCs w:val="24"/>
                                      </w:rPr>
                                      <m:t>t</m:t>
                                    </m:r>
                                    <m:r>
                                      <w:rPr>
                                        <w:rFonts w:ascii="Cambria Math" w:hAnsi="Cambria Math"/>
                                        <w:szCs w:val="24"/>
                                      </w:rPr>
                                      <m:t>-1</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I</m:t>
                                    </m:r>
                                  </m:e>
                                  <m:sub>
                                    <m:r>
                                      <w:rPr>
                                        <w:rFonts w:ascii="Cambria Math" w:hAnsi="Cambria Math"/>
                                        <w:szCs w:val="24"/>
                                      </w:rPr>
                                      <m:t>t</m:t>
                                    </m:r>
                                    <m:r>
                                      <w:rPr>
                                        <w:rFonts w:ascii="Cambria Math" w:hAnsi="Cambria Math"/>
                                        <w:szCs w:val="24"/>
                                      </w:rPr>
                                      <m:t>-1</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N</m:t>
                                    </m:r>
                                  </m:e>
                                  <m:sub>
                                    <m:r>
                                      <w:rPr>
                                        <w:rFonts w:ascii="Cambria Math" w:hAnsi="Cambria Math"/>
                                        <w:szCs w:val="24"/>
                                      </w:rPr>
                                      <m:t>t</m:t>
                                    </m:r>
                                    <m:r>
                                      <w:rPr>
                                        <w:rFonts w:ascii="Cambria Math" w:hAnsi="Cambria Math"/>
                                        <w:szCs w:val="24"/>
                                      </w:rPr>
                                      <m:t>-1</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R</m:t>
                                    </m:r>
                                  </m:e>
                                  <m:sub>
                                    <m:r>
                                      <w:rPr>
                                        <w:rFonts w:ascii="Cambria Math" w:hAnsi="Cambria Math"/>
                                        <w:szCs w:val="24"/>
                                      </w:rPr>
                                      <m:t>t</m:t>
                                    </m:r>
                                    <m:r>
                                      <w:rPr>
                                        <w:rFonts w:ascii="Cambria Math" w:hAnsi="Cambria Math"/>
                                        <w:szCs w:val="24"/>
                                      </w:rPr>
                                      <m:t>-1</m:t>
                                    </m:r>
                                  </m:sub>
                                </m:sSub>
                              </m:oMath>
                              <w:r>
                                <w:rPr>
                                  <w:szCs w:val="24"/>
                                </w:rPr>
                                <w:t>(7)</w:t>
                              </w:r>
                            </w:p>
                            <w:p>
                              <w:pPr>
                                <w:tabs>
                                  <w:tab w:val="left" w:pos="993"/>
                                  <w:tab w:val="left" w:pos="9356"/>
                                </w:tabs>
                                <w:ind w:firstLine="709"/>
                                <w:jc w:val="both"/>
                                <w:rPr>
                                  <w:szCs w:val="24"/>
                                </w:rPr>
                              </w:pPr>
                            </w:p>
                            <w:p>
                              <w:pPr>
                                <w:tabs>
                                  <w:tab w:val="left" w:pos="993"/>
                                </w:tabs>
                                <w:jc w:val="both"/>
                                <w:rPr>
                                  <w:i/>
                                  <w:iCs/>
                                  <w:szCs w:val="24"/>
                                </w:rPr>
                              </w:pPr>
                              <w:r>
                                <w:rPr>
                                  <w:i/>
                                  <w:iCs/>
                                  <w:szCs w:val="24"/>
                                </w:rPr>
                                <w:t>čia:</w:t>
                              </w:r>
                            </w:p>
                            <w:p>
                              <w:pPr>
                                <w:tabs>
                                  <w:tab w:val="left" w:pos="993"/>
                                </w:tabs>
                                <w:jc w:val="both"/>
                                <w:rPr>
                                  <w:szCs w:val="24"/>
                                </w:rPr>
                              </w:pPr>
                              <w:r>
                                <w:rPr>
                                  <w:i/>
                                  <w:iCs/>
                                  <w:szCs w:val="24"/>
                                </w:rPr>
                                <w:t>RAB</w:t>
                              </w:r>
                              <w:r>
                                <w:rPr>
                                  <w:i/>
                                  <w:iCs/>
                                  <w:szCs w:val="24"/>
                                  <w:vertAlign w:val="subscript"/>
                                </w:rPr>
                                <w:t>t</w:t>
                              </w:r>
                              <w:r>
                                <w:rPr>
                                  <w:szCs w:val="24"/>
                                </w:rPr>
                                <w:t xml:space="preserve">– paslaugos teikėjo licencijuojamai veiklai naudojamo turto vertė </w:t>
                              </w:r>
                              <w:r>
                                <w:rPr>
                                  <w:i/>
                                  <w:iCs/>
                                  <w:szCs w:val="24"/>
                                </w:rPr>
                                <w:t xml:space="preserve">t </w:t>
                              </w:r>
                              <w:r>
                                <w:rPr>
                                  <w:iCs/>
                                  <w:szCs w:val="24"/>
                                </w:rPr>
                                <w:t>metų pradžiai</w:t>
                              </w:r>
                              <w:r>
                                <w:rPr>
                                  <w:szCs w:val="24"/>
                                </w:rPr>
                                <w:t>, EUR;</w:t>
                              </w:r>
                            </w:p>
                            <w:p>
                              <w:pPr>
                                <w:tabs>
                                  <w:tab w:val="left" w:pos="993"/>
                                </w:tabs>
                                <w:ind w:hanging="11"/>
                                <w:jc w:val="both"/>
                                <w:rPr>
                                  <w:szCs w:val="24"/>
                                </w:rPr>
                              </w:pPr>
                              <w:r>
                                <w:rPr>
                                  <w:i/>
                                  <w:iCs/>
                                  <w:szCs w:val="24"/>
                                </w:rPr>
                                <w:t>RAB</w:t>
                              </w:r>
                              <w:r>
                                <w:rPr>
                                  <w:i/>
                                  <w:iCs/>
                                  <w:szCs w:val="24"/>
                                  <w:vertAlign w:val="subscript"/>
                                </w:rPr>
                                <w:t xml:space="preserve">t-1 </w:t>
                              </w:r>
                              <w:r>
                                <w:rPr>
                                  <w:szCs w:val="24"/>
                                </w:rPr>
                                <w:t xml:space="preserve">– paslaugos teikėjo licencijuojamai veiklai naudojamo turto vertė </w:t>
                              </w:r>
                              <w:r>
                                <w:rPr>
                                  <w:i/>
                                  <w:iCs/>
                                  <w:szCs w:val="24"/>
                                </w:rPr>
                                <w:t xml:space="preserve">t-1 </w:t>
                              </w:r>
                              <w:r>
                                <w:rPr>
                                  <w:iCs/>
                                  <w:szCs w:val="24"/>
                                </w:rPr>
                                <w:t>metų pradžiai</w:t>
                              </w:r>
                              <w:r>
                                <w:rPr>
                                  <w:szCs w:val="24"/>
                                </w:rPr>
                                <w:t xml:space="preserve">, EUR. Pirmaisiais reguliavimo periodo metais, kurių pradiniam pajamų lygiui apskaičiuoti bus naudojama paslaugos teikėjo naudojamo turto vertė lygi ilgalaikio turto neperkainotai grynajai buhalterinei vertei 2001 m. gruodžio 31 d., įvertinant investicijas (į eksploataciją įvestą turtą), turto nusidėvėjimą, nurašymus ir pardavimus laikotarpiu tarp šios datos ir metų </w:t>
                              </w:r>
                              <w:r>
                                <w:rPr>
                                  <w:i/>
                                  <w:iCs/>
                                  <w:szCs w:val="24"/>
                                </w:rPr>
                                <w:t xml:space="preserve">t-2 </w:t>
                              </w:r>
                              <w:r>
                                <w:rPr>
                                  <w:szCs w:val="24"/>
                                </w:rPr>
                                <w:t>pabaigos;</w:t>
                              </w:r>
                            </w:p>
                            <w:p>
                              <w:pPr>
                                <w:tabs>
                                  <w:tab w:val="left" w:pos="993"/>
                                </w:tabs>
                                <w:jc w:val="both"/>
                                <w:rPr>
                                  <w:szCs w:val="24"/>
                                </w:rPr>
                              </w:pPr>
                              <w:r>
                                <w:rPr>
                                  <w:i/>
                                  <w:iCs/>
                                  <w:szCs w:val="24"/>
                                </w:rPr>
                                <w:t>I</w:t>
                              </w:r>
                              <w:r>
                                <w:rPr>
                                  <w:i/>
                                  <w:iCs/>
                                  <w:szCs w:val="24"/>
                                  <w:vertAlign w:val="subscript"/>
                                </w:rPr>
                                <w:t xml:space="preserve">t-1 </w:t>
                              </w:r>
                              <w:r>
                                <w:rPr>
                                  <w:szCs w:val="24"/>
                                </w:rPr>
                                <w:t xml:space="preserve">– paslaugos teikėjo investicijos (eksploatuojamas turtas) į ilgalaikį turtą metais </w:t>
                              </w:r>
                              <w:r>
                                <w:rPr>
                                  <w:i/>
                                  <w:iCs/>
                                  <w:szCs w:val="24"/>
                                </w:rPr>
                                <w:t>t-1</w:t>
                              </w:r>
                              <w:r>
                                <w:rPr>
                                  <w:szCs w:val="24"/>
                                </w:rPr>
                                <w:t>, EUR;</w:t>
                              </w:r>
                            </w:p>
                            <w:p>
                              <w:pPr>
                                <w:tabs>
                                  <w:tab w:val="left" w:pos="993"/>
                                </w:tabs>
                                <w:jc w:val="both"/>
                                <w:rPr>
                                  <w:szCs w:val="24"/>
                                </w:rPr>
                              </w:pPr>
                              <w:r>
                                <w:rPr>
                                  <w:i/>
                                  <w:iCs/>
                                  <w:szCs w:val="24"/>
                                </w:rPr>
                                <w:t>N</w:t>
                              </w:r>
                              <w:r>
                                <w:rPr>
                                  <w:i/>
                                  <w:iCs/>
                                  <w:szCs w:val="24"/>
                                  <w:vertAlign w:val="subscript"/>
                                </w:rPr>
                                <w:t xml:space="preserve">t-1 </w:t>
                              </w:r>
                              <w:r>
                                <w:rPr>
                                  <w:szCs w:val="24"/>
                                </w:rPr>
                                <w:t xml:space="preserve">– paslaugos teikėjo turto nusidėvėjimo kaštai metais </w:t>
                              </w:r>
                              <w:r>
                                <w:rPr>
                                  <w:i/>
                                  <w:iCs/>
                                  <w:szCs w:val="24"/>
                                </w:rPr>
                                <w:t>t-1</w:t>
                              </w:r>
                              <w:r>
                                <w:rPr>
                                  <w:szCs w:val="24"/>
                                </w:rPr>
                                <w:t>, EUR;</w:t>
                              </w:r>
                            </w:p>
                            <w:p>
                              <w:pPr>
                                <w:tabs>
                                  <w:tab w:val="left" w:pos="993"/>
                                </w:tabs>
                                <w:jc w:val="both"/>
                                <w:rPr>
                                  <w:szCs w:val="24"/>
                                </w:rPr>
                              </w:pPr>
                              <w:r>
                                <w:rPr>
                                  <w:i/>
                                  <w:iCs/>
                                  <w:szCs w:val="24"/>
                                </w:rPr>
                                <w:t>R</w:t>
                              </w:r>
                              <w:r>
                                <w:rPr>
                                  <w:i/>
                                  <w:iCs/>
                                  <w:szCs w:val="24"/>
                                  <w:vertAlign w:val="subscript"/>
                                </w:rPr>
                                <w:t xml:space="preserve">t-1 </w:t>
                              </w:r>
                              <w:r>
                                <w:rPr>
                                  <w:szCs w:val="24"/>
                                </w:rPr>
                                <w:t xml:space="preserve">– paslaugos teikėjo nurašytas ir parduotas turtas, įskaitant Metodikos 7.2.4 ir 7.2.5 punktuose nurodomą turtą, metais </w:t>
                              </w:r>
                              <w:r>
                                <w:rPr>
                                  <w:i/>
                                  <w:iCs/>
                                  <w:szCs w:val="24"/>
                                </w:rPr>
                                <w:t>t-1</w:t>
                              </w:r>
                              <w:r>
                                <w:rPr>
                                  <w:szCs w:val="24"/>
                                </w:rPr>
                                <w:t>, EUR;</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20.2.1-1 p."/>
                            <w:tag w:val="part_7691f0c4898f4ab998c24fbf4d787110"/>
                            <w:lock w:val="sdtLocked"/>
                            <w:richText/>
                          </w:sdtPr>
                          <w:sdtContent>
                            <w:p>
                              <w:pPr>
                                <w:tabs>
                                  <w:tab w:val="left" w:pos="758"/>
                                </w:tabs>
                                <w:ind w:firstLine="709"/>
                                <w:jc w:val="both"/>
                                <w:rPr>
                                  <w:szCs w:val="24"/>
                                </w:rPr>
                              </w:pPr>
                              <w:sdt>
                                <w:sdtPr>
                                  <w:alias w:val="Numeris"/>
                                  <w:tag w:val="nr_7691f0c4898f4ab998c24fbf4d787110"/>
                                  <w:lock w:val="sdtLocked"/>
                                  <w:richText/>
                                </w:sdtPr>
                                <w:sdtContent>
                                  <w:r>
                                    <w:rPr>
                                      <w:szCs w:val="24"/>
                                    </w:rPr>
                                    <w:t>20.2.1</w:t>
                                  </w:r>
                                  <w:r>
                                    <w:rPr>
                                      <w:szCs w:val="24"/>
                                      <w:vertAlign w:val="superscript"/>
                                    </w:rPr>
                                    <w:t>1</w:t>
                                  </w:r>
                                </w:sdtContent>
                              </w:sdt>
                              <w:r>
                                <w:rPr>
                                  <w:szCs w:val="24"/>
                                </w:rPr>
                                <w:t xml:space="preserve">. įtraukiant būtinas ir pagrįstas investicijas </w:t>
                              </w:r>
                              <w:r>
                                <w:rPr>
                                  <w:bCs/>
                                  <w:kern w:val="32"/>
                                  <w:szCs w:val="24"/>
                                </w:rPr>
                                <w:t>į energijos vartojimo efektyvumo didinimo priemones, įskaitant išmaniųjų elektros tinklų plėtrą, kurios leistų Įmonėms efektyviau vykdyti reguliuojamą veiklą ir teikti papildomas paslaugas asmenims, įgyvendinantiems energijos vartojimo efektyvumą didinančias priemones. Nustatant tokių investicijų pagrįstumą ir būtinumą, turi būti įvertinami kiekvienos energijos efektyvumą didinančios priemonės kaštai ir nauda.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c032f0bd5511e688d0ed775a2e782a">
                                <w:r w:rsidRPr="00532B9F">
                                  <w:rPr>
                                    <w:rFonts w:ascii="Times New Roman" w:eastAsia="MS Mincho" w:hAnsi="Times New Roman"/>
                                    <w:sz w:val="20"/>
                                    <w:i/>
                                    <w:iCs/>
                                    <w:color w:val="0000FF" w:themeColor="hyperlink"/>
                                    <w:u w:val="single"/>
                                  </w:rPr>
                                  <w:t>O3-416</w:t>
                                </w:r>
                              </w:fldSimple>
                              <w:r>
                                <w:rPr>
                                  <w:rFonts w:ascii="Times New Roman" w:eastAsia="MS Mincho" w:hAnsi="Times New Roman"/>
                                  <w:sz w:val="20"/>
                                  <w:i/>
                                  <w:iCs/>
                                </w:rPr>
                                <w:t>,
2016-12-08,
paskelbta TAR 2016-12-09, i. k. 2016-28524        </w:t>
                              </w:r>
                            </w:p>
                            <w:p/>
                          </w:sdtContent>
                        </w:sdt>
                        <w:sdt>
                          <w:sdtPr>
                            <w:alias w:val="20.2.2 p."/>
                            <w:tag w:val="part_3e170d48b9c443f0a1511995d44947d4"/>
                            <w:lock w:val="sdtLocked"/>
                            <w:richText/>
                          </w:sdtPr>
                          <w:sdtContent>
                            <w:p>
                              <w:pPr>
                                <w:ind w:firstLine="720"/>
                                <w:jc w:val="both"/>
                                <w:rPr>
                                  <w:color w:val="000000"/>
                                  <w:szCs w:val="24"/>
                                  <w:lang w:eastAsia="lt-LT"/>
                                </w:rPr>
                              </w:pPr>
                              <w:sdt>
                                <w:sdtPr>
                                  <w:alias w:val="Numeris"/>
                                  <w:tag w:val="nr_3e170d48b9c443f0a1511995d44947d4"/>
                                  <w:lock w:val="sdtLocked"/>
                                  <w:richText/>
                                </w:sdtPr>
                                <w:sdtContent>
                                  <w:r>
                                    <w:rPr>
                                      <w:szCs w:val="24"/>
                                      <w:lang w:eastAsia="lt-LT"/>
                                    </w:rPr>
                                    <w:t>20.2.2</w:t>
                                  </w:r>
                                </w:sdtContent>
                              </w:sdt>
                              <w:r>
                                <w:rPr>
                                  <w:szCs w:val="24"/>
                                  <w:lang w:eastAsia="lt-LT"/>
                                </w:rPr>
                                <w:t>. visuomeninio tiekimo paslaugos teikimo atveju reguliuojamo turto bazę sudaro ilgalaikio turto vertė, apskaičiuota</w:t>
                              </w:r>
                              <w:r>
                                <w:rPr>
                                  <w:b/>
                                  <w:bCs/>
                                  <w:szCs w:val="24"/>
                                  <w:lang w:eastAsia="lt-LT"/>
                                </w:rPr>
                                <w:t xml:space="preserve"> </w:t>
                              </w:r>
                              <w:r>
                                <w:rPr>
                                  <w:szCs w:val="24"/>
                                  <w:lang w:eastAsia="lt-LT"/>
                                </w:rPr>
                                <w:t xml:space="preserve">Metodikos 20.2.1 punkte nustatyta tvarka, ir apyvartinio kapitalo, reikalingo visuomeninio tiekimo veiklai, apimtis, kuri apskaičiuojama buitinių vartotojų vidutinį atsiskaitymo terminą po sąskaitos išrašymo dienos, kuris lygus 40 dienų, padauginus iš </w:t>
                              </w:r>
                              <w:r>
                                <w:rPr>
                                  <w:i/>
                                  <w:iCs/>
                                  <w:szCs w:val="24"/>
                                  <w:lang w:eastAsia="lt-LT"/>
                                </w:rPr>
                                <w:t>t</w:t>
                              </w:r>
                              <w:r>
                                <w:rPr>
                                  <w:szCs w:val="24"/>
                                  <w:lang w:eastAsia="lt-LT"/>
                                </w:rPr>
                                <w:t xml:space="preserve">-2 metų </w:t>
                              </w:r>
                              <w:r>
                                <w:rPr>
                                  <w:color w:val="000000"/>
                                  <w:szCs w:val="24"/>
                                  <w:lang w:eastAsia="lt-LT"/>
                                </w:rPr>
                                <w:t>vidutinių vienos dienos visuomeninio tiekėjo paskirstomųjų sąnaudų, kurios nustatomos atsižvelgiant</w:t>
                              </w:r>
                              <w:r>
                                <w:rPr>
                                  <w:szCs w:val="24"/>
                                  <w:lang w:eastAsia="lt-LT"/>
                                </w:rPr>
                                <w:t xml:space="preserve"> į iš gamintojų, tiekėjų, biržoje, balansavimo rinkoje įsigytos elektros energijos ir persiuntimo paslaugų kaštų vertę (įskaitant viešuosius interesus atitinkančių paslaugų (toliau – VIAP) ir sisteminių paslaugų kainą) bei visuomeninio tiekimo paslaugos kaštus. Kai vykdant visuomeninio tiekimo veiklą per praėjusius laikotarpius susidaręs skirtumas </w:t>
                              </w:r>
                              <w:r>
                                <w:rPr>
                                  <w:color w:val="000000"/>
                                  <w:szCs w:val="24"/>
                                  <w:lang w:eastAsia="lt-LT"/>
                                </w:rPr>
                                <w:t xml:space="preserve">tarp faktinės ir prognozuojamos elektros energijos įsigijimo kainos yra teigiamas ir jis nebuvo kompensuotas </w:t>
                              </w:r>
                              <w:r>
                                <w:rPr>
                                  <w:i/>
                                  <w:iCs/>
                                  <w:color w:val="000000"/>
                                  <w:szCs w:val="24"/>
                                  <w:lang w:eastAsia="lt-LT"/>
                                </w:rPr>
                                <w:t xml:space="preserve">t </w:t>
                              </w:r>
                              <w:r>
                                <w:rPr>
                                  <w:color w:val="000000"/>
                                  <w:szCs w:val="24"/>
                                  <w:lang w:eastAsia="lt-LT"/>
                                </w:rPr>
                                <w:t>metais ar ankstesniais metais,</w:t>
                              </w:r>
                              <w:r>
                                <w:rPr>
                                  <w:szCs w:val="24"/>
                                  <w:lang w:eastAsia="lt-LT"/>
                                </w:rPr>
                                <w:t xml:space="preserve"> tai šis skirtumas </w:t>
                              </w:r>
                              <w:r>
                                <w:rPr>
                                  <w:color w:val="000000"/>
                                  <w:szCs w:val="24"/>
                                  <w:lang w:eastAsia="lt-LT"/>
                                </w:rPr>
                                <w:t xml:space="preserve">yra įvertinamas nustatant visuomeninio tiekimo veiklos apyvartinio kapitalo apimtį </w:t>
                              </w:r>
                              <w:r>
                                <w:rPr>
                                  <w:i/>
                                  <w:iCs/>
                                  <w:color w:val="000000"/>
                                  <w:szCs w:val="24"/>
                                  <w:lang w:eastAsia="lt-LT"/>
                                </w:rPr>
                                <w:t xml:space="preserve">t </w:t>
                              </w:r>
                              <w:r>
                                <w:rPr>
                                  <w:color w:val="000000"/>
                                  <w:szCs w:val="24"/>
                                  <w:lang w:eastAsia="lt-LT"/>
                                </w:rPr>
                                <w:t>metais.</w:t>
                              </w:r>
                            </w:p>
                            <w:p>
                              <w:pPr>
                                <w:jc w:val="both"/>
                                <w:rPr>
                                  <w:szCs w:val="24"/>
                                </w:rPr>
                              </w:pPr>
                              <w:r>
                                <w:rPr>
                                  <w:b/>
                                  <w:i/>
                                  <w:color w:val="000000"/>
                                  <w:sz w:val="20"/>
                                  <w:lang w:eastAsia="lt-LT"/>
                                </w:rPr>
                                <w:t>TAR pastaba.</w:t>
                              </w:r>
                              <w:r>
                                <w:rPr>
                                  <w:i/>
                                  <w:color w:val="000000"/>
                                  <w:sz w:val="20"/>
                                  <w:lang w:eastAsia="lt-LT"/>
                                </w:rPr>
                                <w:t xml:space="preserve"> 20.2.2. papunkčio taikomos </w:t>
                              </w:r>
                              <w:r>
                                <w:rPr>
                                  <w:bCs/>
                                  <w:i/>
                                  <w:color w:val="000000"/>
                                  <w:sz w:val="20"/>
                                  <w:lang w:eastAsia="lt-LT"/>
                                </w:rPr>
                                <w:t>nustatant arba koreguojant 2020 metų ir vėlesnių laikotarpių elektros energijos perdavimo, skirstymo ir visuomeninio tiekimo paslaugų bei visuomeninės kainos viršutines ribas</w:t>
                              </w:r>
                              <w:r>
                                <w:rPr>
                                  <w:bCs/>
                                  <w:color w:val="000000"/>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2bc050eb6011e99681cd81dcdca52c">
                                <w:r w:rsidRPr="00532B9F">
                                  <w:rPr>
                                    <w:rFonts w:ascii="Times New Roman" w:eastAsia="MS Mincho" w:hAnsi="Times New Roman"/>
                                    <w:sz w:val="20"/>
                                    <w:i/>
                                    <w:iCs/>
                                    <w:color w:val="0000FF" w:themeColor="hyperlink"/>
                                    <w:u w:val="single"/>
                                  </w:rPr>
                                  <w:t>O3E-548</w:t>
                                </w:r>
                              </w:fldSimple>
                              <w:r>
                                <w:rPr>
                                  <w:rFonts w:ascii="Times New Roman" w:eastAsia="MS Mincho" w:hAnsi="Times New Roman"/>
                                  <w:sz w:val="20"/>
                                  <w:i/>
                                  <w:iCs/>
                                </w:rPr>
                                <w:t>,
2019-10-10,
paskelbta TAR 2019-10-10, i. k. 2019-16169            </w:t>
                              </w:r>
                            </w:p>
                            <w:p/>
                          </w:sdtContent>
                        </w:sdt>
                      </w:sdtContent>
                    </w:sdt>
                    <w:sdt>
                      <w:sdtPr>
                        <w:alias w:val="20.3 p."/>
                        <w:tag w:val="part_11f547a9e0aa47e1b8a9910d1bc7d933"/>
                        <w:lock w:val="sdtLocked"/>
                        <w:richText/>
                      </w:sdtPr>
                      <w:sdtContent>
                        <w:p>
                          <w:pPr>
                            <w:tabs>
                              <w:tab w:val="left" w:pos="1276"/>
                            </w:tabs>
                            <w:ind w:firstLine="709"/>
                            <w:jc w:val="both"/>
                            <w:rPr>
                              <w:szCs w:val="24"/>
                            </w:rPr>
                          </w:pPr>
                          <w:sdt>
                            <w:sdtPr>
                              <w:alias w:val="Numeris"/>
                              <w:tag w:val="nr_11f547a9e0aa47e1b8a9910d1bc7d933"/>
                              <w:lock w:val="sdtLocked"/>
                              <w:richText/>
                            </w:sdtPr>
                            <w:sdtContent>
                              <w:r>
                                <w:rPr>
                                  <w:szCs w:val="24"/>
                                </w:rPr>
                                <w:t>20.3</w:t>
                              </w:r>
                            </w:sdtContent>
                          </w:sdt>
                          <w:r>
                            <w:rPr>
                              <w:szCs w:val="24"/>
                            </w:rPr>
                            <w:t>. Protingumo kriterijus atitinkančią investicijų grąžą, atsižvelgiant į:</w:t>
                          </w:r>
                        </w:p>
                        <w:sdt>
                          <w:sdtPr>
                            <w:alias w:val="20.3.1 p."/>
                            <w:tag w:val="part_cdfb24b0763e41308671c69f87be4ef2"/>
                            <w:lock w:val="sdtLocked"/>
                            <w:richText/>
                          </w:sdtPr>
                          <w:sdtContent>
                            <w:p>
                              <w:pPr>
                                <w:tabs>
                                  <w:tab w:val="left" w:pos="1134"/>
                                  <w:tab w:val="left" w:pos="1276"/>
                                </w:tabs>
                                <w:ind w:firstLine="709"/>
                                <w:jc w:val="both"/>
                                <w:rPr>
                                  <w:szCs w:val="24"/>
                                </w:rPr>
                              </w:pPr>
                              <w:sdt>
                                <w:sdtPr>
                                  <w:alias w:val="Numeris"/>
                                  <w:tag w:val="nr_cdfb24b0763e41308671c69f87be4ef2"/>
                                  <w:lock w:val="sdtLocked"/>
                                  <w:richText/>
                                </w:sdtPr>
                                <w:sdtContent>
                                  <w:r>
                                    <w:rPr>
                                      <w:szCs w:val="24"/>
                                    </w:rPr>
                                    <w:t>20.3.1</w:t>
                                  </w:r>
                                </w:sdtContent>
                              </w:sdt>
                              <w:r>
                                <w:rPr>
                                  <w:szCs w:val="24"/>
                                </w:rPr>
                                <w:t>. Komisijos nustatytai paslaugai ir (ar) produktui priskirtino reguliuojamo turto vertę pagal Metodikos 20.2 punkto nuostatas;</w:t>
                              </w:r>
                            </w:p>
                          </w:sdtContent>
                        </w:sdt>
                        <w:sdt>
                          <w:sdtPr>
                            <w:alias w:val="20.3.2 p."/>
                            <w:tag w:val="part_5a71f93bebd7437b99f05e61c8fae820"/>
                            <w:lock w:val="sdtLocked"/>
                            <w:richText/>
                          </w:sdtPr>
                          <w:sdtContent>
                            <w:p>
                              <w:pPr>
                                <w:tabs>
                                  <w:tab w:val="left" w:pos="1276"/>
                                </w:tabs>
                                <w:ind w:firstLine="709"/>
                                <w:jc w:val="both"/>
                                <w:rPr>
                                  <w:szCs w:val="24"/>
                                </w:rPr>
                              </w:pPr>
                              <w:sdt>
                                <w:sdtPr>
                                  <w:alias w:val="Numeris"/>
                                  <w:tag w:val="nr_5a71f93bebd7437b99f05e61c8fae820"/>
                                  <w:lock w:val="sdtLocked"/>
                                  <w:richText/>
                                </w:sdtPr>
                                <w:sdtContent>
                                  <w:r>
                                    <w:rPr>
                                      <w:szCs w:val="24"/>
                                    </w:rPr>
                                    <w:t>20.3.2</w:t>
                                  </w:r>
                                </w:sdtContent>
                              </w:sdt>
                              <w:r>
                                <w:rPr>
                                  <w:szCs w:val="24"/>
                                </w:rPr>
                                <w:t xml:space="preserve">. protingumo kriterijų atitinkančios investicijų grąžos normą </w:t>
                              </w:r>
                              <w:r>
                                <w:rPr>
                                  <w:i/>
                                  <w:szCs w:val="24"/>
                                </w:rPr>
                                <w:t>r</w:t>
                              </w:r>
                              <w:r>
                                <w:rPr>
                                  <w:szCs w:val="24"/>
                                </w:rPr>
                                <w:t xml:space="preserve"> (procentais) pagal (8) formulę:</w:t>
                              </w:r>
                            </w:p>
                            <w:p>
                              <w:pPr>
                                <w:tabs>
                                  <w:tab w:val="left" w:pos="1276"/>
                                </w:tabs>
                                <w:jc w:val="both"/>
                                <w:rPr>
                                  <w:szCs w:val="24"/>
                                </w:rPr>
                              </w:pPr>
                            </w:p>
                            <w:p>
                              <w:pPr>
                                <w:tabs>
                                  <w:tab w:val="left" w:pos="9214"/>
                                </w:tabs>
                                <w:jc w:val="both"/>
                                <w:rPr>
                                  <w:szCs w:val="24"/>
                                </w:rPr>
                              </w:pPr>
                              <w:r>
                                <w:rPr>
                                  <w:szCs w:val="24"/>
                                </w:rPr>
                                <w:t>ROI</w:t>
                              </w:r>
                              <w:r>
                                <w:rPr>
                                  <w:szCs w:val="24"/>
                                  <w:vertAlign w:val="subscript"/>
                                </w:rPr>
                                <w:t>i</w:t>
                              </w:r>
                              <w:r>
                                <w:rPr>
                                  <w:szCs w:val="24"/>
                                </w:rPr>
                                <w:t>=r×RAB</w:t>
                              </w:r>
                              <w:r>
                                <w:rPr>
                                  <w:szCs w:val="24"/>
                                  <w:vertAlign w:val="subscript"/>
                                </w:rPr>
                                <w:t xml:space="preserve">i </w:t>
                              </w:r>
                              <w:r>
                                <w:rPr>
                                  <w:szCs w:val="24"/>
                                </w:rPr>
                                <w:tab/>
                                <w:t>(8)</w:t>
                              </w:r>
                            </w:p>
                            <w:p>
                              <w:pPr>
                                <w:tabs>
                                  <w:tab w:val="left" w:pos="9214"/>
                                </w:tabs>
                                <w:jc w:val="both"/>
                                <w:rPr>
                                  <w:szCs w:val="24"/>
                                  <w:vertAlign w:val="subscript"/>
                                </w:rPr>
                              </w:pPr>
                            </w:p>
                            <w:p>
                              <w:pPr>
                                <w:tabs>
                                  <w:tab w:val="left" w:pos="1843"/>
                                </w:tabs>
                                <w:jc w:val="both"/>
                                <w:rPr>
                                  <w:i/>
                                  <w:szCs w:val="24"/>
                                </w:rPr>
                              </w:pPr>
                              <w:r>
                                <w:rPr>
                                  <w:i/>
                                  <w:szCs w:val="24"/>
                                </w:rPr>
                                <w:t>čia:</w:t>
                              </w:r>
                            </w:p>
                            <w:p>
                              <w:pPr>
                                <w:tabs>
                                  <w:tab w:val="left" w:pos="1843"/>
                                </w:tabs>
                                <w:jc w:val="both"/>
                                <w:rPr>
                                  <w:szCs w:val="24"/>
                                </w:rPr>
                              </w:pPr>
                              <w:r>
                                <w:rPr>
                                  <w:szCs w:val="24"/>
                                </w:rPr>
                                <w:t>ROI</w:t>
                              </w:r>
                              <w:r>
                                <w:rPr>
                                  <w:szCs w:val="24"/>
                                  <w:vertAlign w:val="subscript"/>
                                </w:rPr>
                                <w:t>i</w:t>
                              </w:r>
                              <w:r>
                                <w:rPr>
                                  <w:szCs w:val="24"/>
                                </w:rPr>
                                <w:t xml:space="preserve"> – investicijų grąža, priskirtina paslaugai, EUR;</w:t>
                              </w:r>
                            </w:p>
                            <w:p>
                              <w:pPr>
                                <w:tabs>
                                  <w:tab w:val="left" w:pos="1843"/>
                                </w:tabs>
                                <w:jc w:val="both"/>
                                <w:rPr>
                                  <w:szCs w:val="24"/>
                                </w:rPr>
                              </w:pPr>
                              <w:r>
                                <w:rPr>
                                  <w:i/>
                                  <w:szCs w:val="24"/>
                                </w:rPr>
                                <w:t>i</w:t>
                              </w:r>
                              <w:r>
                                <w:rPr>
                                  <w:szCs w:val="24"/>
                                </w:rPr>
                                <w:t xml:space="preserve"> – reguliuojamų kainų paslauga;</w:t>
                              </w:r>
                            </w:p>
                            <w:p>
                              <w:pPr>
                                <w:tabs>
                                  <w:tab w:val="left" w:pos="1843"/>
                                </w:tabs>
                                <w:jc w:val="both"/>
                                <w:rPr>
                                  <w:szCs w:val="24"/>
                                </w:rPr>
                              </w:pPr>
                              <w:r>
                                <w:rPr>
                                  <w:i/>
                                  <w:szCs w:val="24"/>
                                </w:rPr>
                                <w:t>r</w:t>
                              </w:r>
                              <w:r>
                                <w:rPr>
                                  <w:szCs w:val="24"/>
                                </w:rPr>
                                <w:t xml:space="preserve"> – protingumo kriterijų atitinkanti investicijų grąžos norma, proc.;</w:t>
                              </w:r>
                            </w:p>
                            <w:p>
                              <w:pPr>
                                <w:tabs>
                                  <w:tab w:val="left" w:pos="1843"/>
                                </w:tabs>
                                <w:jc w:val="both"/>
                                <w:rPr>
                                  <w:szCs w:val="24"/>
                                </w:rPr>
                              </w:pPr>
                              <w:r>
                                <w:rPr>
                                  <w:szCs w:val="24"/>
                                </w:rPr>
                                <w:t>RAB</w:t>
                              </w:r>
                              <w:r>
                                <w:rPr>
                                  <w:szCs w:val="24"/>
                                  <w:vertAlign w:val="subscript"/>
                                </w:rPr>
                                <w:t>i</w:t>
                              </w:r>
                              <w:r>
                                <w:rPr>
                                  <w:szCs w:val="24"/>
                                </w:rPr>
                                <w:t xml:space="preserve"> – i-tajai paslaugai priskirtino reguliuojamo turto vertė, EUR.</w:t>
                              </w:r>
                            </w:p>
                            <w:sdt>
                              <w:sdtPr>
                                <w:alias w:val="20.3.2.1 p."/>
                                <w:tag w:val="part_be8ce2180e29498abb30fdf1b54031e4"/>
                                <w:lock w:val="sdtLocked"/>
                                <w:richText/>
                              </w:sdtPr>
                              <w:sdtContent>
                                <w:p>
                                  <w:pPr>
                                    <w:tabs>
                                      <w:tab w:val="left" w:pos="1560"/>
                                    </w:tabs>
                                    <w:ind w:firstLine="709"/>
                                    <w:jc w:val="both"/>
                                    <w:rPr>
                                      <w:szCs w:val="24"/>
                                    </w:rPr>
                                  </w:pPr>
                                  <w:sdt>
                                    <w:sdtPr>
                                      <w:alias w:val="Numeris"/>
                                      <w:tag w:val="nr_be8ce2180e29498abb30fdf1b54031e4"/>
                                      <w:lock w:val="sdtLocked"/>
                                      <w:richText/>
                                    </w:sdtPr>
                                    <w:sdtContent>
                                      <w:r>
                                        <w:rPr>
                                          <w:szCs w:val="24"/>
                                        </w:rPr>
                                        <w:t>20.3.2.1</w:t>
                                      </w:r>
                                    </w:sdtContent>
                                  </w:sdt>
                                  <w:r>
                                    <w:rPr>
                                      <w:szCs w:val="24"/>
                                    </w:rPr>
                                    <w:t>. investicijų grąžos norma nustatoma vadovaujantis Investicijų grąžos normos nustatymo metodika.</w:t>
                                  </w:r>
                                </w:p>
                                <w:sdt>
                                  <w:sdtPr>
                                    <w:alias w:val="20.3.2.1.1 p."/>
                                    <w:tag w:val="part_e6f972d25a3b4b43bad4be8fe764ab64"/>
                                    <w:lock w:val="sdtLocked"/>
                                    <w:richText/>
                                  </w:sdtPr>
                                  <w:sdtContent>
                                    <w:p>
                                      <w:pPr>
                                        <w:pStyle w:val="PlainText"/>
                                        <w:ind w:firstLine="567"/>
                                        <w:jc w:val="both"/>
                                        <w:rPr>
                                          <w:rFonts w:ascii="Times New Roman" w:hAnsi="Times New Roman"/>
                                          <w:b/>
                                          <w:bCs/>
                                          <w:sz w:val="22"/>
                                        </w:rPr>
                                      </w:pPr>
                                      <w:r>
                                        <w:rPr>
                                          <w:rFonts w:ascii="Times New Roman" w:hAnsi="Times New Roman"/>
                                          <w:sz w:val="22"/>
                                        </w:rPr>
                                        <w:t>20.3.2.1.1</w:t>
                                      </w:r>
                                      <w:r>
                                        <w:rPr>
                                          <w:rFonts w:ascii="Times New Roman" w:hAnsi="Times New Roman"/>
                                          <w:sz w:val="22"/>
                                        </w:rPr>
                                        <w:t>.</w:t>
                                      </w:r>
                                      <w:r>
                                        <w:rPr>
                                          <w:rFonts w:ascii="Times New Roman" w:eastAsia="MS Mincho" w:hAnsi="Times New Roman"/>
                                          <w:sz w:val="20"/>
                                          <w:i/>
                                          <w:iCs/>
                                        </w:rPr>
                                        <w:t xml:space="preserve"> Neteko galios nuo 2015-09-23</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20.3.2.1.2 p."/>
                                    <w:tag w:val="part_da27cb6070da4322b7230b4b7840cf06"/>
                                    <w:lock w:val="sdtLocked"/>
                                    <w:richText/>
                                  </w:sdtPr>
                                  <w:sdtContent>
                                    <w:p>
                                      <w:pPr>
                                        <w:pStyle w:val="PlainText"/>
                                        <w:ind w:firstLine="567"/>
                                        <w:jc w:val="both"/>
                                        <w:rPr>
                                          <w:rFonts w:ascii="Times New Roman" w:hAnsi="Times New Roman"/>
                                          <w:b/>
                                          <w:bCs/>
                                          <w:sz w:val="22"/>
                                        </w:rPr>
                                      </w:pPr>
                                      <w:r>
                                        <w:rPr>
                                          <w:rFonts w:ascii="Times New Roman" w:hAnsi="Times New Roman"/>
                                          <w:sz w:val="22"/>
                                        </w:rPr>
                                        <w:t>20.3.2.1.2</w:t>
                                      </w:r>
                                      <w:r>
                                        <w:rPr>
                                          <w:rFonts w:ascii="Times New Roman" w:hAnsi="Times New Roman"/>
                                          <w:sz w:val="22"/>
                                        </w:rPr>
                                        <w:t>.</w:t>
                                      </w:r>
                                      <w:r>
                                        <w:rPr>
                                          <w:rFonts w:ascii="Times New Roman" w:eastAsia="MS Mincho" w:hAnsi="Times New Roman"/>
                                          <w:sz w:val="20"/>
                                          <w:i/>
                                          <w:iCs/>
                                        </w:rPr>
                                        <w:t xml:space="preserve"> Neteko galios nuo 2015-09-23</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20.3.2.2 p."/>
                                <w:tag w:val="part_da8bc48477d3433f8fc2903a41db5ecb"/>
                                <w:lock w:val="sdtLocked"/>
                                <w:richText/>
                              </w:sdtPr>
                              <w:sdtContent>
                                <w:p>
                                  <w:pPr>
                                    <w:pStyle w:val="PlainText"/>
                                    <w:ind w:firstLine="567"/>
                                    <w:jc w:val="both"/>
                                    <w:rPr>
                                      <w:rFonts w:ascii="Times New Roman" w:hAnsi="Times New Roman"/>
                                      <w:b/>
                                      <w:bCs/>
                                      <w:sz w:val="22"/>
                                    </w:rPr>
                                  </w:pPr>
                                  <w:r>
                                    <w:rPr>
                                      <w:rFonts w:ascii="Times New Roman" w:hAnsi="Times New Roman"/>
                                      <w:sz w:val="22"/>
                                    </w:rPr>
                                    <w:t>20.3.2.2</w:t>
                                  </w:r>
                                  <w:r>
                                    <w:rPr>
                                      <w:rFonts w:ascii="Times New Roman" w:hAnsi="Times New Roman"/>
                                      <w:sz w:val="22"/>
                                    </w:rPr>
                                    <w:t>.</w:t>
                                  </w:r>
                                  <w:r>
                                    <w:rPr>
                                      <w:rFonts w:ascii="Times New Roman" w:eastAsia="MS Mincho" w:hAnsi="Times New Roman"/>
                                      <w:sz w:val="20"/>
                                      <w:i/>
                                      <w:iCs/>
                                    </w:rPr>
                                    <w:t xml:space="preserve"> Neteko galios nuo 2015-09-23</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20.3.2.3 p."/>
                                <w:tag w:val="part_0b6739e8134642049996d2bd881708f1"/>
                                <w:lock w:val="sdtLocked"/>
                                <w:richText/>
                              </w:sdtPr>
                              <w:sdtContent>
                                <w:p>
                                  <w:pPr>
                                    <w:pStyle w:val="PlainText"/>
                                    <w:ind w:firstLine="567"/>
                                    <w:jc w:val="both"/>
                                    <w:rPr>
                                      <w:rFonts w:ascii="Times New Roman" w:hAnsi="Times New Roman"/>
                                      <w:b/>
                                      <w:bCs/>
                                      <w:sz w:val="22"/>
                                    </w:rPr>
                                  </w:pPr>
                                  <w:r>
                                    <w:rPr>
                                      <w:rFonts w:ascii="Times New Roman" w:hAnsi="Times New Roman"/>
                                      <w:sz w:val="22"/>
                                    </w:rPr>
                                    <w:t>20.3.2.3</w:t>
                                  </w:r>
                                  <w:r>
                                    <w:rPr>
                                      <w:rFonts w:ascii="Times New Roman" w:hAnsi="Times New Roman"/>
                                      <w:sz w:val="22"/>
                                    </w:rPr>
                                    <w:t>.</w:t>
                                  </w:r>
                                  <w:r>
                                    <w:rPr>
                                      <w:rFonts w:ascii="Times New Roman" w:eastAsia="MS Mincho" w:hAnsi="Times New Roman"/>
                                      <w:sz w:val="20"/>
                                      <w:i/>
                                      <w:iCs/>
                                    </w:rPr>
                                    <w:t xml:space="preserve"> Neteko galios nuo 2015-09-23</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20.3.2.4 p."/>
                                <w:tag w:val="part_75e75b6c5b3a41899651ed905bb5c90d"/>
                                <w:lock w:val="sdtLocked"/>
                                <w:richText/>
                              </w:sdtPr>
                              <w:sdtContent>
                                <w:p>
                                  <w:pPr>
                                    <w:pStyle w:val="PlainText"/>
                                    <w:ind w:firstLine="567"/>
                                    <w:jc w:val="both"/>
                                    <w:rPr>
                                      <w:rFonts w:ascii="Times New Roman" w:hAnsi="Times New Roman"/>
                                      <w:b/>
                                      <w:bCs/>
                                      <w:sz w:val="22"/>
                                    </w:rPr>
                                  </w:pPr>
                                  <w:r>
                                    <w:rPr>
                                      <w:rFonts w:ascii="Times New Roman" w:hAnsi="Times New Roman"/>
                                      <w:sz w:val="22"/>
                                    </w:rPr>
                                    <w:t>20.3.2.4</w:t>
                                  </w:r>
                                  <w:r>
                                    <w:rPr>
                                      <w:rFonts w:ascii="Times New Roman" w:hAnsi="Times New Roman"/>
                                      <w:sz w:val="22"/>
                                    </w:rPr>
                                    <w:t>.</w:t>
                                  </w:r>
                                  <w:r>
                                    <w:rPr>
                                      <w:rFonts w:ascii="Times New Roman" w:eastAsia="MS Mincho" w:hAnsi="Times New Roman"/>
                                      <w:sz w:val="20"/>
                                      <w:i/>
                                      <w:iCs/>
                                    </w:rPr>
                                    <w:t xml:space="preserve"> Neteko galios nuo 2015-09-23</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Content>
                        </w:sdt>
                      </w:sdtContent>
                    </w:sdt>
                  </w:sdtContent>
                </w:sdt>
                <w:sdt>
                  <w:sdtPr>
                    <w:alias w:val="21 p."/>
                    <w:tag w:val="part_9ca14d77d8884821be18b4769d0a2002"/>
                    <w:lock w:val="sdtLocked"/>
                    <w:richText/>
                  </w:sdtPr>
                  <w:sdtContent>
                    <w:p>
                      <w:pPr>
                        <w:widowControl w:val="0"/>
                        <w:tabs>
                          <w:tab w:val="left" w:pos="1134"/>
                          <w:tab w:val="left" w:pos="1843"/>
                        </w:tabs>
                        <w:spacing w:line="240" w:lineRule="atLeast"/>
                        <w:ind w:firstLine="710"/>
                        <w:jc w:val="both"/>
                        <w:rPr>
                          <w:szCs w:val="24"/>
                        </w:rPr>
                      </w:pPr>
                      <w:sdt>
                        <w:sdtPr>
                          <w:alias w:val="Numeris"/>
                          <w:tag w:val="nr_9ca14d77d8884821be18b4769d0a2002"/>
                          <w:lock w:val="sdtLocked"/>
                          <w:richText/>
                        </w:sdtPr>
                        <w:sdtContent>
                          <w:r>
                            <w:rPr>
                              <w:szCs w:val="24"/>
                            </w:rPr>
                            <w:t>21</w:t>
                          </w:r>
                        </w:sdtContent>
                      </w:sdt>
                      <w:r>
                        <w:rPr>
                          <w:szCs w:val="24"/>
                        </w:rPr>
                        <w:t>. Ekonomiškai pagrįsti (būtini) metiniai OPEX apskaičiuojami:</w:t>
                      </w:r>
                    </w:p>
                    <w:sdt>
                      <w:sdtPr>
                        <w:alias w:val="21.1 p."/>
                        <w:tag w:val="part_10cc8b066b7c45a1b25dbcf73c017b54"/>
                        <w:lock w:val="sdtLocked"/>
                        <w:richText/>
                      </w:sdtPr>
                      <w:sdtContent>
                        <w:p>
                          <w:pPr>
                            <w:widowControl w:val="0"/>
                            <w:tabs>
                              <w:tab w:val="left" w:pos="1276"/>
                              <w:tab w:val="left" w:pos="1843"/>
                            </w:tabs>
                            <w:spacing w:line="240" w:lineRule="atLeast"/>
                            <w:ind w:firstLine="710"/>
                            <w:jc w:val="both"/>
                            <w:rPr>
                              <w:szCs w:val="24"/>
                            </w:rPr>
                          </w:pPr>
                          <w:sdt>
                            <w:sdtPr>
                              <w:alias w:val="Numeris"/>
                              <w:tag w:val="nr_10cc8b066b7c45a1b25dbcf73c017b54"/>
                              <w:lock w:val="sdtLocked"/>
                              <w:richText/>
                            </w:sdtPr>
                            <w:sdtContent>
                              <w:r>
                                <w:rPr>
                                  <w:szCs w:val="24"/>
                                </w:rPr>
                                <w:t>21.1</w:t>
                              </w:r>
                            </w:sdtContent>
                          </w:sdt>
                          <w:r>
                            <w:rPr>
                              <w:szCs w:val="24"/>
                            </w:rPr>
                            <w:t xml:space="preserve">. remonto, priežiūros, eksploatavimo kaštų, personalo kaštų (išskyrus darbo užmokesčio kaštus), administracinių kaštų, rinkodaros ir pardavimo kaštų, kitų paskirstomų kaštų atveju  atsižvelgiama į:</w:t>
                          </w:r>
                        </w:p>
                        <w:sdt>
                          <w:sdtPr>
                            <w:alias w:val="21.1.1 p."/>
                            <w:tag w:val="part_a16a1731ea3f4f1bbcc79c4647d3a75f"/>
                            <w:lock w:val="sdtLocked"/>
                            <w:richText/>
                          </w:sdtPr>
                          <w:sdtContent>
                            <w:p>
                              <w:pPr>
                                <w:tabs>
                                  <w:tab w:val="left" w:pos="993"/>
                                </w:tabs>
                                <w:ind w:firstLine="709"/>
                                <w:jc w:val="both"/>
                              </w:pPr>
                              <w:sdt>
                                <w:sdtPr>
                                  <w:alias w:val="Numeris"/>
                                  <w:tag w:val="nr_a16a1731ea3f4f1bbcc79c4647d3a75f"/>
                                  <w:lock w:val="sdtLocked"/>
                                  <w:richText/>
                                </w:sdtPr>
                                <w:sdtContent>
                                  <w:r>
                                    <w:rPr>
                                      <w:szCs w:val="24"/>
                                    </w:rPr>
                                    <w:t>21.1.1</w:t>
                                  </w:r>
                                </w:sdtContent>
                              </w:sdt>
                              <w:r>
                                <w:rPr>
                                  <w:szCs w:val="24"/>
                                </w:rPr>
                                <w:t xml:space="preserve">.  praėjusio reguliavimo  periodo priešpaskutinių metų Komisijos nustatytą šių kaštų metinę apimtį arba faktinę pagrįstą šių kaštų metinę apimtį, įvertinus prognozuojamą vidutinio metinio vartotojų kainų indekso (VKI) pokytį, pakoreguotą efektyvumo  rodikliu, kuris yra lygus  1 proc.. Jeigu Įmonė per praėjusį reguliavimo periodą veikė efektyviai, t. y. praėjusio reguliavimo periodo priešpaskutinių metų faktinė pagrįsta OPEX apimtis (remonto, priežiūros, eksploatavimo kaštų, personalo kaštų (išskyrus darbo užmokesčio kaštus), administracinių kaštų, rinkodaros ir pardavimo kaštų, kitų paskirstomų kaštų dalyje) buvo mažesnė už Komisijos nustatytą, – atsižvelgiama į faktinę pagrįstą šių kaštų metinę apimtį. Jeigu Įmonė per praėjusį reguliavimo periodą veikė neefektyviai, t. y. praėjusio reguliavimo periodo priešpaskutinių metų OPEX buvo didesnė už Komisijos nustatytą , – atsižvelgiama į faktinę pagrįstą šių kaštų metinę apimtį;</w:t>
                              </w:r>
                              <w:r>
                                <w:t xml:space="preserve"> </w:t>
                              </w:r>
                            </w:p>
                          </w:sdtContent>
                        </w:sdt>
                        <w:sdt>
                          <w:sdtPr>
                            <w:alias w:val="21.1.2 p."/>
                            <w:tag w:val="part_3db97ea6bfbb4e94ba5d3c83edebd9f6"/>
                            <w:lock w:val="sdtLocked"/>
                            <w:richText/>
                          </w:sdtPr>
                          <w:sdtContent>
                            <w:p>
                              <w:pPr>
                                <w:widowControl w:val="0"/>
                                <w:tabs>
                                  <w:tab w:val="left" w:pos="1418"/>
                                  <w:tab w:val="left" w:pos="1843"/>
                                </w:tabs>
                                <w:spacing w:line="240" w:lineRule="atLeast"/>
                                <w:ind w:firstLine="710"/>
                                <w:jc w:val="both"/>
                                <w:rPr>
                                  <w:szCs w:val="24"/>
                                </w:rPr>
                              </w:pPr>
                              <w:sdt>
                                <w:sdtPr>
                                  <w:alias w:val="Numeris"/>
                                  <w:tag w:val="nr_3db97ea6bfbb4e94ba5d3c83edebd9f6"/>
                                  <w:lock w:val="sdtLocked"/>
                                  <w:richText/>
                                </w:sdtPr>
                                <w:sdtContent>
                                  <w:r>
                                    <w:rPr>
                                      <w:szCs w:val="24"/>
                                    </w:rPr>
                                    <w:t>21.1.2</w:t>
                                  </w:r>
                                </w:sdtContent>
                              </w:sdt>
                              <w:r>
                                <w:rPr>
                                  <w:szCs w:val="24"/>
                                </w:rPr>
                                <w:t>. priežasčių, kurias Įmonė nurodė kaip lemiančias šių kaštų apimties pokyčius, pagrįstumą, pateikiant per reguliavimo periodą numatomų remontų planus ir investicijų programą;</w:t>
                              </w:r>
                            </w:p>
                          </w:sdtContent>
                        </w:sdt>
                        <w:sdt>
                          <w:sdtPr>
                            <w:alias w:val="21.1.3 p."/>
                            <w:tag w:val="part_1ef72b0efcd34c57a8d5fdc710dcf704"/>
                            <w:lock w:val="sdtLocked"/>
                            <w:richText/>
                          </w:sdtPr>
                          <w:sdtContent>
                            <w:p>
                              <w:pPr>
                                <w:tabs>
                                  <w:tab w:val="left" w:pos="993"/>
                                  <w:tab w:val="left" w:pos="1134"/>
                                </w:tabs>
                                <w:ind w:firstLine="709"/>
                                <w:jc w:val="both"/>
                                <w:rPr>
                                  <w:szCs w:val="24"/>
                                </w:rPr>
                              </w:pPr>
                              <w:sdt>
                                <w:sdtPr>
                                  <w:alias w:val="Numeris"/>
                                  <w:tag w:val="nr_1ef72b0efcd34c57a8d5fdc710dcf704"/>
                                  <w:lock w:val="sdtLocked"/>
                                  <w:richText/>
                                </w:sdtPr>
                                <w:sdtContent>
                                  <w:r>
                                    <w:rPr>
                                      <w:szCs w:val="24"/>
                                    </w:rPr>
                                    <w:t>21.1.3</w:t>
                                  </w:r>
                                </w:sdtContent>
                              </w:sdt>
                              <w:r>
                                <w:rPr>
                                  <w:szCs w:val="24"/>
                                </w:rPr>
                                <w:t>. Ekonomiškai pagrįstas metinis remonto, priežiūros, eksploatavimo kaštų, personalo kaštų (išskyrus darbo užmokesčio kaštus), administracinių kaštų, rinkodaros ir pardavimo kaštų, kitų paskirstomų kaštų dydis pirmiems reguliavimo periodo metams, išskyrus Metodikos 21.1.1</w:t>
                              </w:r>
                              <w:r>
                                <w:rPr>
                                  <w:szCs w:val="24"/>
                                  <w:vertAlign w:val="superscript"/>
                                </w:rPr>
                                <w:t>1</w:t>
                              </w:r>
                              <w:r>
                                <w:rPr>
                                  <w:szCs w:val="24"/>
                                </w:rPr>
                                <w:t xml:space="preserve"> papunkčio atveju, yra apskaičiuojamas pagal formulę:</w:t>
                              </w:r>
                            </w:p>
                            <w:p>
                              <w:pPr>
                                <w:tabs>
                                  <w:tab w:val="left" w:pos="993"/>
                                  <w:tab w:val="left" w:pos="1134"/>
                                </w:tabs>
                                <w:ind w:left="709"/>
                                <w:jc w:val="both"/>
                                <w:rPr>
                                  <w:szCs w:val="24"/>
                                </w:rPr>
                              </w:pPr>
                            </w:p>
                            <w:p>
                              <w:pPr>
                                <w:tabs>
                                  <w:tab w:val="left" w:pos="993"/>
                                  <w:tab w:val="left" w:pos="1134"/>
                                </w:tabs>
                                <w:ind w:left="709"/>
                                <w:jc w:val="both"/>
                                <w:rPr>
                                  <w:szCs w:val="24"/>
                                </w:rPr>
                              </w:pPr>
                            </w:p>
                            <w:p>
                              <w:pPr>
                                <w:tabs>
                                  <w:tab w:val="left" w:pos="993"/>
                                  <w:tab w:val="left" w:pos="1134"/>
                                </w:tabs>
                                <w:jc w:val="both"/>
                                <w:rPr>
                                  <w:i/>
                                  <w:szCs w:val="24"/>
                                  <w:lang w:val="en-US"/>
                                </w:rPr>
                              </w:pPr>
                              <w:r>
                                <w:rPr>
                                  <w:i/>
                                  <w:szCs w:val="24"/>
                                </w:rPr>
                                <w:t>OPEX</w:t>
                              </w:r>
                              <w:r>
                                <w:rPr>
                                  <w:i/>
                                  <w:szCs w:val="24"/>
                                  <w:vertAlign w:val="subscript"/>
                                </w:rPr>
                                <w:t xml:space="preserve">t(be DU) </w:t>
                              </w:r>
                              <w:r>
                                <w:rPr>
                                  <w:i/>
                                  <w:szCs w:val="24"/>
                                  <w:lang w:val="en-US"/>
                                </w:rPr>
                                <w:t>= OPEX</w:t>
                              </w:r>
                              <w:r>
                                <w:rPr>
                                  <w:i/>
                                  <w:szCs w:val="24"/>
                                  <w:vertAlign w:val="subscript"/>
                                  <w:lang w:val="en-US"/>
                                </w:rPr>
                                <w:t xml:space="preserve">t-2(be DU) </w:t>
                              </w:r>
                              <w:r>
                                <w:rPr>
                                  <w:i/>
                                  <w:szCs w:val="24"/>
                                  <w:lang w:val="en-US"/>
                                </w:rPr>
                                <w:t>× (</w:t>
                              </w:r>
                              <m:oMath>
                                <m:f>
                                  <m:fPr>
                                    <m:ctrlPr>
                                      <w:rPr>
                                        <w:rFonts w:ascii="Cambria Math" w:hAnsi="Cambria Math"/>
                                        <w:i/>
                                        <w:szCs w:val="24"/>
                                        <w:lang w:val="en-US"/>
                                      </w:rPr>
                                    </m:ctrlPr>
                                  </m:fPr>
                                  <m:num>
                                    <m:sSub>
                                      <m:sSubPr>
                                        <m:ctrlPr>
                                          <w:rPr>
                                            <w:rFonts w:ascii="Cambria Math" w:hAnsi="Cambria Math"/>
                                            <w:i/>
                                            <w:szCs w:val="24"/>
                                            <w:lang w:val="en-US"/>
                                          </w:rPr>
                                        </m:ctrlPr>
                                      </m:sSubPr>
                                      <m:e>
                                        <m:r>
                                          <w:rPr>
                                            <w:rFonts w:ascii="Cambria Math" w:hAnsi="Cambria Math"/>
                                            <w:szCs w:val="24"/>
                                            <w:lang w:val="en-US"/>
                                          </w:rPr>
                                          <m:t>i</m:t>
                                        </m:r>
                                      </m:e>
                                      <m:sub>
                                        <m:r>
                                          <w:rPr>
                                            <w:rFonts w:ascii="Cambria Math" w:hAnsi="Cambria Math"/>
                                            <w:szCs w:val="24"/>
                                            <w:lang w:val="en-US"/>
                                          </w:rPr>
                                          <m:t>t</m:t>
                                        </m:r>
                                        <m:r>
                                          <w:rPr>
                                            <w:rFonts w:ascii="Cambria Math" w:hAnsi="Cambria Math"/>
                                            <w:szCs w:val="24"/>
                                            <w:lang w:val="en-US"/>
                                          </w:rPr>
                                          <m:t>-1</m:t>
                                        </m:r>
                                      </m:sub>
                                    </m:sSub>
                                    <m:r>
                                      <w:rPr>
                                        <w:rFonts w:ascii="Cambria Math" w:hAnsi="Cambria Math"/>
                                        <w:szCs w:val="24"/>
                                        <w:lang w:val="en-US"/>
                                      </w:rPr>
                                      <m:t>-</m:t>
                                    </m:r>
                                    <m:r>
                                      <w:rPr>
                                        <w:rFonts w:ascii="Cambria Math" w:hAnsi="Cambria Math"/>
                                        <w:szCs w:val="24"/>
                                        <w:lang w:val="en-US"/>
                                      </w:rPr>
                                      <m:t>e</m:t>
                                    </m:r>
                                    <m:r>
                                      <w:rPr>
                                        <w:rFonts w:ascii="Cambria Math" w:hAnsi="Cambria Math"/>
                                        <w:szCs w:val="24"/>
                                        <w:lang w:val="en-US"/>
                                      </w:rPr>
                                      <m:t xml:space="preserve"> </m:t>
                                    </m:r>
                                  </m:num>
                                  <m:den>
                                    <m:r>
                                      <w:rPr>
                                        <w:rFonts w:ascii="Cambria Math" w:hAnsi="Cambria Math"/>
                                        <w:szCs w:val="24"/>
                                        <w:lang w:val="en-US"/>
                                      </w:rPr>
                                      <m:t>100</m:t>
                                    </m:r>
                                  </m:den>
                                </m:f>
                                <m:r>
                                  <w:rPr>
                                    <w:rFonts w:ascii="Cambria Math" w:hAnsi="Cambria Math"/>
                                    <w:szCs w:val="24"/>
                                    <w:lang w:val="en-US"/>
                                  </w:rPr>
                                  <m:t xml:space="preserve"> </m:t>
                                </m:r>
                              </m:oMath>
                              <w:r>
                                <w:rPr>
                                  <w:i/>
                                  <w:szCs w:val="24"/>
                                  <w:lang w:val="en-US"/>
                                </w:rPr>
                                <w:t xml:space="preserve"> + 1) × (</w:t>
                              </w:r>
                              <m:oMath>
                                <m:f>
                                  <m:fPr>
                                    <m:ctrlPr>
                                      <w:rPr>
                                        <w:rFonts w:ascii="Cambria Math" w:hAnsi="Cambria Math"/>
                                        <w:i/>
                                        <w:szCs w:val="24"/>
                                        <w:lang w:val="en-US"/>
                                      </w:rPr>
                                    </m:ctrlPr>
                                  </m:fPr>
                                  <m:num>
                                    <m:sSub>
                                      <m:sSubPr>
                                        <m:ctrlPr>
                                          <w:rPr>
                                            <w:rFonts w:ascii="Cambria Math" w:hAnsi="Cambria Math"/>
                                            <w:i/>
                                            <w:szCs w:val="24"/>
                                            <w:lang w:val="en-US"/>
                                          </w:rPr>
                                        </m:ctrlPr>
                                      </m:sSubPr>
                                      <m:e>
                                        <m:r>
                                          <w:rPr>
                                            <w:rFonts w:ascii="Cambria Math" w:hAnsi="Cambria Math"/>
                                            <w:szCs w:val="24"/>
                                            <w:lang w:val="en-US"/>
                                          </w:rPr>
                                          <m:t xml:space="preserve"> </m:t>
                                        </m:r>
                                        <m:r>
                                          <w:rPr>
                                            <w:rFonts w:ascii="Cambria Math" w:hAnsi="Cambria Math"/>
                                            <w:szCs w:val="24"/>
                                            <w:lang w:val="en-US"/>
                                          </w:rPr>
                                          <m:t>i</m:t>
                                        </m:r>
                                      </m:e>
                                      <m:sub>
                                        <m:r>
                                          <w:rPr>
                                            <w:rFonts w:ascii="Cambria Math" w:hAnsi="Cambria Math"/>
                                            <w:szCs w:val="24"/>
                                            <w:lang w:val="en-US"/>
                                          </w:rPr>
                                          <m:t>t</m:t>
                                        </m:r>
                                      </m:sub>
                                    </m:sSub>
                                    <m:r>
                                      <w:rPr>
                                        <w:rFonts w:ascii="Cambria Math" w:hAnsi="Cambria Math"/>
                                        <w:szCs w:val="24"/>
                                        <w:lang w:val="en-US"/>
                                      </w:rPr>
                                      <m:t>-</m:t>
                                    </m:r>
                                    <m:r>
                                      <w:rPr>
                                        <w:rFonts w:ascii="Cambria Math" w:hAnsi="Cambria Math"/>
                                        <w:szCs w:val="24"/>
                                        <w:lang w:val="en-US"/>
                                      </w:rPr>
                                      <m:t>e</m:t>
                                    </m:r>
                                    <m:r>
                                      <w:rPr>
                                        <w:rFonts w:ascii="Cambria Math" w:hAnsi="Cambria Math"/>
                                        <w:szCs w:val="24"/>
                                        <w:lang w:val="en-US"/>
                                      </w:rPr>
                                      <m:t xml:space="preserve"> </m:t>
                                    </m:r>
                                  </m:num>
                                  <m:den>
                                    <m:r>
                                      <w:rPr>
                                        <w:rFonts w:ascii="Cambria Math" w:hAnsi="Cambria Math"/>
                                        <w:szCs w:val="24"/>
                                        <w:lang w:val="en-US"/>
                                      </w:rPr>
                                      <m:t>100</m:t>
                                    </m:r>
                                  </m:den>
                                </m:f>
                                <m:r>
                                  <w:rPr>
                                    <w:rFonts w:ascii="Cambria Math" w:hAnsi="Cambria Math"/>
                                    <w:szCs w:val="24"/>
                                    <w:lang w:val="en-US"/>
                                  </w:rPr>
                                  <m:t xml:space="preserve"> </m:t>
                                </m:r>
                              </m:oMath>
                              <w:r>
                                <w:rPr>
                                  <w:i/>
                                  <w:szCs w:val="24"/>
                                  <w:lang w:val="en-US"/>
                                </w:rPr>
                                <w:t xml:space="preserve"> + 1) </w:t>
                                <w:tab/>
                                <w:tab/>
                                <w:tab/>
                                <w:t>(10</w:t>
                              </w:r>
                              <w:r>
                                <w:rPr>
                                  <w:i/>
                                  <w:szCs w:val="24"/>
                                  <w:vertAlign w:val="superscript"/>
                                  <w:lang w:val="en-US"/>
                                </w:rPr>
                                <w:t>1</w:t>
                              </w:r>
                              <w:r>
                                <w:rPr>
                                  <w:i/>
                                  <w:szCs w:val="24"/>
                                  <w:lang w:val="en-US"/>
                                </w:rPr>
                                <w:t>)</w:t>
                              </w:r>
                            </w:p>
                            <w:p>
                              <w:pPr>
                                <w:tabs>
                                  <w:tab w:val="left" w:pos="993"/>
                                  <w:tab w:val="left" w:pos="1134"/>
                                </w:tabs>
                                <w:ind w:left="709"/>
                                <w:jc w:val="both"/>
                                <w:rPr>
                                  <w:szCs w:val="24"/>
                                </w:rPr>
                              </w:pPr>
                            </w:p>
                            <w:p>
                              <w:pPr>
                                <w:tabs>
                                  <w:tab w:val="left" w:pos="993"/>
                                  <w:tab w:val="left" w:pos="1134"/>
                                </w:tabs>
                                <w:ind w:left="709"/>
                                <w:jc w:val="both"/>
                                <w:rPr>
                                  <w:szCs w:val="24"/>
                                </w:rPr>
                              </w:pPr>
                            </w:p>
                            <w:p>
                              <w:pPr>
                                <w:jc w:val="both"/>
                                <w:rPr>
                                  <w:szCs w:val="24"/>
                                  <w:lang w:eastAsia="lt-LT"/>
                                </w:rPr>
                              </w:pPr>
                              <w:r>
                                <w:rPr>
                                  <w:szCs w:val="24"/>
                                  <w:lang w:eastAsia="lt-LT"/>
                                </w:rPr>
                                <w:t xml:space="preserve">čia: </w:t>
                              </w:r>
                            </w:p>
                            <w:p>
                              <w:pPr>
                                <w:jc w:val="both"/>
                                <w:rPr>
                                  <w:szCs w:val="24"/>
                                  <w:lang w:eastAsia="lt-LT"/>
                                </w:rPr>
                              </w:pPr>
                              <w:r>
                                <w:rPr>
                                  <w:szCs w:val="24"/>
                                  <w:lang w:eastAsia="lt-LT"/>
                                </w:rPr>
                                <w:t>OPEX</w:t>
                              </w:r>
                              <w:r>
                                <w:rPr>
                                  <w:szCs w:val="24"/>
                                  <w:vertAlign w:val="subscript"/>
                                  <w:lang w:eastAsia="lt-LT"/>
                                </w:rPr>
                                <w:t>t</w:t>
                              </w:r>
                              <w:r>
                                <w:rPr>
                                  <w:szCs w:val="24"/>
                                  <w:lang w:eastAsia="lt-LT"/>
                                </w:rPr>
                                <w:t xml:space="preserve"> </w:t>
                              </w:r>
                              <w:r>
                                <w:rPr>
                                  <w:szCs w:val="24"/>
                                  <w:vertAlign w:val="subscript"/>
                                  <w:lang w:eastAsia="lt-LT"/>
                                </w:rPr>
                                <w:t>(be DU)</w:t>
                              </w:r>
                              <w:r>
                                <w:rPr>
                                  <w:szCs w:val="24"/>
                                  <w:lang w:eastAsia="lt-LT"/>
                                </w:rPr>
                                <w:t xml:space="preserve"> – remonto, priežiūros, eksploatavimo kaštai, personalo kaštai  (išskyrus darbo užmokesčio kaštus), administraciniai kaštai, rinkodaros ir pardavimo kaštai,  kiti paskirstomi kaštai metais t (pirmaisiais reguliavimo metais); </w:t>
                              </w:r>
                            </w:p>
                            <w:p>
                              <w:pPr>
                                <w:jc w:val="both"/>
                                <w:rPr>
                                  <w:szCs w:val="24"/>
                                  <w:lang w:eastAsia="lt-LT"/>
                                </w:rPr>
                              </w:pPr>
                              <w:r>
                                <w:rPr>
                                  <w:szCs w:val="24"/>
                                  <w:lang w:eastAsia="lt-LT"/>
                                </w:rPr>
                                <w:t>OPEX</w:t>
                              </w:r>
                              <w:r>
                                <w:rPr>
                                  <w:szCs w:val="24"/>
                                  <w:vertAlign w:val="subscript"/>
                                  <w:lang w:eastAsia="lt-LT"/>
                                </w:rPr>
                                <w:t xml:space="preserve">t-2 (be DU) </w:t>
                              </w:r>
                              <w:r>
                                <w:rPr>
                                  <w:szCs w:val="24"/>
                                  <w:lang w:eastAsia="lt-LT"/>
                                </w:rPr>
                                <w:t xml:space="preserve">– remonto, priežiūros, eksploatavimo kaštai, personalo kaštai (išskyrus darbo užmokesčio kaštus), administraciniai kaštai, rinkodaros ir pardavimo kaštai,  kiti paskirstomi kaštai metais t-2;</w:t>
                              </w:r>
                            </w:p>
                            <w:p>
                              <w:pPr>
                                <w:jc w:val="both"/>
                                <w:rPr>
                                  <w:szCs w:val="24"/>
                                  <w:lang w:eastAsia="lt-LT"/>
                                </w:rPr>
                              </w:pPr>
                              <w:r>
                                <w:rPr>
                                  <w:szCs w:val="24"/>
                                  <w:lang w:eastAsia="lt-LT"/>
                                </w:rPr>
                                <w:t>i</w:t>
                              </w:r>
                              <w:r>
                                <w:rPr>
                                  <w:szCs w:val="24"/>
                                  <w:vertAlign w:val="subscript"/>
                                  <w:lang w:eastAsia="lt-LT"/>
                                </w:rPr>
                                <w:t>t</w:t>
                              </w:r>
                              <w:r>
                                <w:rPr>
                                  <w:szCs w:val="24"/>
                                  <w:lang w:eastAsia="lt-LT"/>
                                </w:rPr>
                                <w:t xml:space="preserve"> – vidutinio metinio vartotojų kainų indekso (VKI) pokytis metais t lyginant su atitinkamu indeksu metais t-1, %. Jis nustatomas pagal Finansų ministerijos duomenis. Nesant Finansų ministerijos duomenų, nustatoma pagal Lietuvos banko duomenis; </w:t>
                              </w:r>
                            </w:p>
                            <w:p>
                              <w:pPr>
                                <w:jc w:val="both"/>
                                <w:rPr>
                                  <w:szCs w:val="24"/>
                                  <w:lang w:eastAsia="lt-LT"/>
                                </w:rPr>
                              </w:pPr>
                              <w:r>
                                <w:rPr>
                                  <w:szCs w:val="24"/>
                                  <w:lang w:eastAsia="lt-LT"/>
                                </w:rPr>
                                <w:t>i</w:t>
                              </w:r>
                              <w:r>
                                <w:rPr>
                                  <w:szCs w:val="24"/>
                                  <w:vertAlign w:val="subscript"/>
                                  <w:lang w:eastAsia="lt-LT"/>
                                </w:rPr>
                                <w:t>t-1</w:t>
                              </w:r>
                              <w:r>
                                <w:rPr>
                                  <w:szCs w:val="24"/>
                                  <w:lang w:eastAsia="lt-LT"/>
                                </w:rPr>
                                <w:t xml:space="preserve"> – vidutinio metinio vartotojų kainų indekso (VKI) pokytis metais t-1 lyginant su atitinkamu indeksu metais t-2, %. Jis nustatomas pagal Finansų ministerijos duomenis. Nesant Finansų ministerijos duomenų, nustatoma pagal Lietuvos banko duomenis; </w:t>
                              </w:r>
                            </w:p>
                            <w:p>
                              <w:pPr>
                                <w:jc w:val="both"/>
                              </w:pPr>
                              <w:r>
                                <w:rPr>
                                  <w:szCs w:val="24"/>
                                  <w:lang w:eastAsia="lt-LT"/>
                                </w:rPr>
                                <w:t xml:space="preserve">e – efektyvumo koeficientas, %;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21.1.4 p."/>
                            <w:tag w:val="part_efb4fe679363412ab57047eccf0a51e5"/>
                            <w:lock w:val="sdtLocked"/>
                            <w:richText/>
                          </w:sdtPr>
                          <w:sdtContent>
                            <w:p>
                              <w:pPr>
                                <w:tabs>
                                  <w:tab w:val="left" w:pos="993"/>
                                  <w:tab w:val="left" w:pos="1134"/>
                                </w:tabs>
                                <w:ind w:firstLine="709"/>
                                <w:jc w:val="both"/>
                                <w:rPr>
                                  <w:szCs w:val="24"/>
                                </w:rPr>
                              </w:pPr>
                              <w:sdt>
                                <w:sdtPr>
                                  <w:alias w:val="Numeris"/>
                                  <w:tag w:val="nr_efb4fe679363412ab57047eccf0a51e5"/>
                                  <w:lock w:val="sdtLocked"/>
                                  <w:richText/>
                                </w:sdtPr>
                                <w:sdtContent>
                                  <w:r>
                                    <w:rPr>
                                      <w:szCs w:val="24"/>
                                    </w:rPr>
                                    <w:t>21.1.4</w:t>
                                  </w:r>
                                </w:sdtContent>
                              </w:sdt>
                              <w:r>
                                <w:rPr>
                                  <w:szCs w:val="24"/>
                                </w:rPr>
                                <w:t>.</w:t>
                              </w:r>
                              <w:r>
                                <w:rPr>
                                  <w:bCs/>
                                  <w:szCs w:val="24"/>
                                </w:rPr>
                                <w:t xml:space="preserve"> </w:t>
                              </w:r>
                              <w:r>
                                <w:rPr>
                                  <w:szCs w:val="24"/>
                                </w:rPr>
                                <w:t>Visais kitais metais, einančiais po pirmųjų naujo reguliavimo periodo metų, šių kaštų apimtis kiekvieniems metams nustatoma įvertinus Finansų ministerijos prognozuojamos metinės infliacijos dydį ir efektyvumo rodiklį, kuris yra lygus 1 proc.</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21.2 p."/>
                        <w:tag w:val="part_5b8cfb64c5934e0798af5971da93f624"/>
                        <w:lock w:val="sdtLocked"/>
                        <w:richText/>
                      </w:sdtPr>
                      <w:sdtContent>
                        <w:p>
                          <w:pPr>
                            <w:widowControl w:val="0"/>
                            <w:tabs>
                              <w:tab w:val="left" w:pos="1276"/>
                              <w:tab w:val="left" w:pos="1843"/>
                            </w:tabs>
                            <w:spacing w:line="240" w:lineRule="atLeast"/>
                            <w:ind w:firstLine="710"/>
                            <w:jc w:val="both"/>
                            <w:rPr>
                              <w:szCs w:val="24"/>
                            </w:rPr>
                          </w:pPr>
                          <w:sdt>
                            <w:sdtPr>
                              <w:alias w:val="Numeris"/>
                              <w:tag w:val="nr_5b8cfb64c5934e0798af5971da93f624"/>
                              <w:lock w:val="sdtLocked"/>
                              <w:richText/>
                            </w:sdtPr>
                            <w:sdtContent>
                              <w:r>
                                <w:rPr>
                                  <w:szCs w:val="24"/>
                                </w:rPr>
                                <w:t>21.2</w:t>
                              </w:r>
                            </w:sdtContent>
                          </w:sdt>
                          <w:r>
                            <w:rPr>
                              <w:szCs w:val="24"/>
                            </w:rPr>
                            <w:t>. darbo užmokesčio kaštų atveju atsižvelgiama į:</w:t>
                          </w:r>
                        </w:p>
                        <w:sdt>
                          <w:sdtPr>
                            <w:alias w:val="21.2.1 p."/>
                            <w:tag w:val="part_6565ac89febb4d969202c12316c6c9f9"/>
                            <w:lock w:val="sdtLocked"/>
                            <w:richText/>
                          </w:sdtPr>
                          <w:sdtContent>
                            <w:p>
                              <w:pPr>
                                <w:tabs>
                                  <w:tab w:val="left" w:pos="993"/>
                                </w:tabs>
                                <w:ind w:firstLine="709"/>
                                <w:jc w:val="both"/>
                              </w:pPr>
                              <w:sdt>
                                <w:sdtPr>
                                  <w:alias w:val="Numeris"/>
                                  <w:tag w:val="nr_6565ac89febb4d969202c12316c6c9f9"/>
                                  <w:lock w:val="sdtLocked"/>
                                  <w:richText/>
                                </w:sdtPr>
                                <w:sdtContent>
                                  <w:r>
                                    <w:rPr>
                                      <w:szCs w:val="24"/>
                                    </w:rPr>
                                    <w:t>21.2.1</w:t>
                                  </w:r>
                                </w:sdtContent>
                              </w:sdt>
                              <w:r>
                                <w:rPr>
                                  <w:szCs w:val="24"/>
                                </w:rPr>
                                <w:t xml:space="preserve">.  praėjusio reguliavimo  periodo priešpaskutinių metų  Komisijos nustatytą šių kaštų metinę apimtį arba faktinę pagrįstą šių kaštų metinę apimtį, įvertinus Finansų ministerijos prognozuojamą realaus vidutinio darbo užmokesčio pokytį, pakoreguotą efektyvumo  rodikliu, kuris yra lygus  1 proc.. Jeigu Įmonė per praėjusį reguliavimo periodą veikė efektyviai, t. y. praėjusio reguliavimo periodo priešpaskutinių metų faktinė pagrįsta  darbo užmokesčio apimtis  buvo mažesnė už Komisijos nustatytą, – atsižvelgiama į faktinę pagrįstą šių kaštų metinę apimtį. Jeigu Įmonė per praėjusį reguliavimo periodą veikė neefektyviai, t. y. praėjusio reguliavimo periodo priešpaskutinių metų darbo užmokesčio apimtis buvo  didesnė už Komisijos nustatytą , – atsižvelgiama į faktinę pagrįstą šių kaštų metinę apimtį. </w:t>
                              </w:r>
                            </w:p>
                          </w:sdtContent>
                        </w:sdt>
                        <w:sdt>
                          <w:sdtPr>
                            <w:alias w:val="21.2.1-1 p."/>
                            <w:tag w:val="part_c9b72119c6e14fa2b6490a960394b484"/>
                            <w:lock w:val="sdtLocked"/>
                            <w:richText/>
                          </w:sdtPr>
                          <w:sdtContent>
                            <w:p>
                              <w:pPr>
                                <w:tabs>
                                  <w:tab w:val="left" w:pos="1134"/>
                                  <w:tab w:val="left" w:pos="1276"/>
                                </w:tabs>
                                <w:ind w:firstLine="709"/>
                                <w:jc w:val="both"/>
                                <w:rPr>
                                  <w:bCs/>
                                  <w:szCs w:val="24"/>
                                </w:rPr>
                              </w:pPr>
                              <w:sdt>
                                <w:sdtPr>
                                  <w:alias w:val="Numeris"/>
                                  <w:tag w:val="nr_c9b72119c6e14fa2b6490a960394b484"/>
                                  <w:lock w:val="sdtLocked"/>
                                  <w:richText/>
                                </w:sdtPr>
                                <w:sdtContent>
                                  <w:r>
                                    <w:rPr>
                                      <w:szCs w:val="24"/>
                                    </w:rPr>
                                    <w:t>21.2.1</w:t>
                                  </w:r>
                                  <w:r>
                                    <w:rPr>
                                      <w:szCs w:val="24"/>
                                      <w:vertAlign w:val="superscript"/>
                                    </w:rPr>
                                    <w:t>1</w:t>
                                  </w:r>
                                </w:sdtContent>
                              </w:sdt>
                              <w:r>
                                <w:rPr>
                                  <w:bCs/>
                                  <w:szCs w:val="24"/>
                                </w:rPr>
                                <w:t>. Įmonėms, kurioms Komisija yra atlikusi reguliuojamų paslaugų sąnaudų pagrįstumo (būtinumo) patikrinimą, naujojo reguliavimo periodo pagrįstų metinių darbo užmokesčio kaštų dydis nustatomas:</w:t>
                              </w:r>
                            </w:p>
                            <w:sdt>
                              <w:sdtPr>
                                <w:alias w:val="21.2.1-1.1 p."/>
                                <w:tag w:val="part_349c520bf33b4c28afee4c30076b5a08"/>
                                <w:lock w:val="sdtLocked"/>
                                <w:richText/>
                              </w:sdtPr>
                              <w:sdtContent>
                                <w:p>
                                  <w:pPr>
                                    <w:tabs>
                                      <w:tab w:val="left" w:pos="1134"/>
                                      <w:tab w:val="left" w:pos="1276"/>
                                    </w:tabs>
                                    <w:ind w:firstLine="709"/>
                                    <w:jc w:val="both"/>
                                    <w:rPr>
                                      <w:bCs/>
                                      <w:szCs w:val="24"/>
                                    </w:rPr>
                                  </w:pPr>
                                  <w:sdt>
                                    <w:sdtPr>
                                      <w:alias w:val="Numeris"/>
                                      <w:tag w:val="nr_349c520bf33b4c28afee4c30076b5a08"/>
                                      <w:lock w:val="sdtLocked"/>
                                      <w:richText/>
                                    </w:sdtPr>
                                    <w:sdtContent>
                                      <w:r>
                                        <w:rPr>
                                          <w:szCs w:val="24"/>
                                        </w:rPr>
                                        <w:t>21.2.1</w:t>
                                      </w:r>
                                      <w:r>
                                        <w:rPr>
                                          <w:szCs w:val="24"/>
                                          <w:vertAlign w:val="superscript"/>
                                        </w:rPr>
                                        <w:t>1</w:t>
                                      </w:r>
                                      <w:r>
                                        <w:rPr>
                                          <w:szCs w:val="24"/>
                                        </w:rPr>
                                        <w:t>.1</w:t>
                                      </w:r>
                                    </w:sdtContent>
                                  </w:sdt>
                                  <w:r>
                                    <w:rPr>
                                      <w:szCs w:val="24"/>
                                    </w:rPr>
                                    <w:t xml:space="preserve">. </w:t>
                                  </w:r>
                                  <w:r>
                                    <w:rPr>
                                      <w:bCs/>
                                      <w:szCs w:val="24"/>
                                    </w:rPr>
                                    <w:t xml:space="preserve">Komisijos atlikto paskutinių reguliuojamų paslaugų sąnaudų pagrįstumo (būtinumo) patikrinimo metų pagrįstą šių kaštų dydį, pakoreguojant prognozuojamu vidutinio metinio vartotojų kainų indekso (VKI) arba Finansų ministerijos prognozuojamą </w:t>
                                  </w:r>
                                  <w:r>
                                    <w:rPr>
                                      <w:szCs w:val="24"/>
                                    </w:rPr>
                                    <w:t>realaus vidutinio darbo užmokesčio</w:t>
                                  </w:r>
                                  <w:r>
                                    <w:rPr>
                                      <w:bCs/>
                                      <w:szCs w:val="24"/>
                                    </w:rPr>
                                    <w:t xml:space="preserve"> pokyčiu, pagal atitinkamais metais galiojusią Komisijos patvirtintą Elektros energijos perdavimo, skirstymo ir visuomeninio tiekimo paslaugų bei visuomeninės kainos viršutinės ribos nustatymo metodiką;</w:t>
                                  </w:r>
                                </w:p>
                              </w:sdtContent>
                            </w:sdt>
                            <w:sdt>
                              <w:sdtPr>
                                <w:alias w:val="21.2.1-1.2 p."/>
                                <w:tag w:val="part_f5a2f32376a6439da794509b91b0cc7a"/>
                                <w:lock w:val="sdtLocked"/>
                                <w:richText/>
                              </w:sdtPr>
                              <w:sdtContent>
                                <w:p>
                                  <w:pPr>
                                    <w:tabs>
                                      <w:tab w:val="left" w:pos="1134"/>
                                      <w:tab w:val="left" w:pos="1276"/>
                                    </w:tabs>
                                    <w:ind w:firstLine="709"/>
                                    <w:jc w:val="both"/>
                                    <w:rPr>
                                      <w:bCs/>
                                      <w:szCs w:val="24"/>
                                    </w:rPr>
                                  </w:pPr>
                                  <w:sdt>
                                    <w:sdtPr>
                                      <w:alias w:val="Numeris"/>
                                      <w:tag w:val="nr_f5a2f32376a6439da794509b91b0cc7a"/>
                                      <w:lock w:val="sdtLocked"/>
                                      <w:richText/>
                                    </w:sdtPr>
                                    <w:sdtContent>
                                      <w:r>
                                        <w:rPr>
                                          <w:bCs/>
                                          <w:szCs w:val="24"/>
                                        </w:rPr>
                                        <w:t>21.2.1</w:t>
                                      </w:r>
                                      <w:r>
                                        <w:rPr>
                                          <w:bCs/>
                                          <w:szCs w:val="24"/>
                                          <w:vertAlign w:val="superscript"/>
                                        </w:rPr>
                                        <w:t>1</w:t>
                                      </w:r>
                                      <w:r>
                                        <w:rPr>
                                          <w:bCs/>
                                          <w:szCs w:val="24"/>
                                        </w:rPr>
                                        <w:t>.2</w:t>
                                      </w:r>
                                    </w:sdtContent>
                                  </w:sdt>
                                  <w:r>
                                    <w:rPr>
                                      <w:bCs/>
                                      <w:szCs w:val="24"/>
                                    </w:rPr>
                                    <w:t>. įvertinus efektyvumo rodiklį, pagal atitinkamais metais galiojusią Komisijos patvirtintą Elektros energijos perdavimo, skirstymo ir visuomeninio tiekimo paslaugų bei visuomeninės kainos viršutinės ribos nustatymo metodiką;</w:t>
                                  </w:r>
                                </w:p>
                              </w:sdtContent>
                            </w:sdt>
                            <w:sdt>
                              <w:sdtPr>
                                <w:alias w:val="21.2.1-1.3 p."/>
                                <w:tag w:val="part_dcce056b4277482598b0fa0f3d45e903"/>
                                <w:lock w:val="sdtLocked"/>
                                <w:richText/>
                              </w:sdtPr>
                              <w:sdtContent>
                                <w:p>
                                  <w:pPr>
                                    <w:tabs>
                                      <w:tab w:val="left" w:pos="1134"/>
                                      <w:tab w:val="left" w:pos="1276"/>
                                    </w:tabs>
                                    <w:ind w:firstLine="709"/>
                                    <w:jc w:val="both"/>
                                  </w:pPr>
                                  <w:sdt>
                                    <w:sdtPr>
                                      <w:alias w:val="Numeris"/>
                                      <w:tag w:val="nr_dcce056b4277482598b0fa0f3d45e903"/>
                                      <w:lock w:val="sdtLocked"/>
                                      <w:richText/>
                                    </w:sdtPr>
                                    <w:sdtContent>
                                      <w:r>
                                        <w:rPr>
                                          <w:bCs/>
                                          <w:szCs w:val="24"/>
                                        </w:rPr>
                                        <w:t>21.2.1</w:t>
                                      </w:r>
                                      <w:r>
                                        <w:rPr>
                                          <w:bCs/>
                                          <w:szCs w:val="24"/>
                                          <w:vertAlign w:val="superscript"/>
                                        </w:rPr>
                                        <w:t>1</w:t>
                                      </w:r>
                                      <w:r>
                                        <w:rPr>
                                          <w:bCs/>
                                          <w:szCs w:val="24"/>
                                        </w:rPr>
                                        <w:t>.3</w:t>
                                      </w:r>
                                    </w:sdtContent>
                                  </w:sdt>
                                  <w:r>
                                    <w:rPr>
                                      <w:bCs/>
                                      <w:szCs w:val="24"/>
                                    </w:rPr>
                                    <w:t>. atsižvelgiant į Metodikos 21.2.2 papunkčio nuostatas;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21.2.2 p."/>
                            <w:tag w:val="part_efda8a2bbbf54881859522b16dceb1c3"/>
                            <w:lock w:val="sdtLocked"/>
                            <w:richText/>
                          </w:sdtPr>
                          <w:sdtContent>
                            <w:p>
                              <w:pPr>
                                <w:tabs>
                                  <w:tab w:val="left" w:pos="1134"/>
                                  <w:tab w:val="left" w:pos="1260"/>
                                </w:tabs>
                                <w:ind w:firstLine="709"/>
                                <w:jc w:val="both"/>
                                <w:rPr>
                                  <w:szCs w:val="24"/>
                                </w:rPr>
                              </w:pPr>
                              <w:sdt>
                                <w:sdtPr>
                                  <w:alias w:val="Numeris"/>
                                  <w:tag w:val="nr_efda8a2bbbf54881859522b16dceb1c3"/>
                                  <w:lock w:val="sdtLocked"/>
                                  <w:richText/>
                                </w:sdtPr>
                                <w:sdtContent>
                                  <w:r>
                                    <w:rPr>
                                      <w:szCs w:val="24"/>
                                    </w:rPr>
                                    <w:t>21.2.2</w:t>
                                  </w:r>
                                </w:sdtContent>
                              </w:sdt>
                              <w:r>
                                <w:rPr>
                                  <w:szCs w:val="24"/>
                                </w:rPr>
                                <w:t xml:space="preserve">. gerą praktinį pavyzdį turinčių palyginamų kitų energetikos įmonių lyginamosios analizės darbo užmokesčio duomenis. Komisija, nustatydama  darbo užmokesčio kaštų dydį, gali atsižvelgti į konkrečios įmonės veiklos specifiką bei veiklos organizavimo būdą, leidžiantį sumažinti metinę  darbo užmokesčio apimtį, vertinant kompleksiškai;</w:t>
                              </w:r>
                              <w:r>
                                <w:t xml:space="preserve"> </w:t>
                              </w:r>
                            </w:p>
                          </w:sdtContent>
                        </w:sdt>
                        <w:sdt>
                          <w:sdtPr>
                            <w:alias w:val="21.2.3 p."/>
                            <w:tag w:val="part_4402dd3cc3a64ca581d19c5517909ecc"/>
                            <w:lock w:val="sdtLocked"/>
                            <w:richText/>
                          </w:sdtPr>
                          <w:sdtContent>
                            <w:p>
                              <w:pPr>
                                <w:widowControl w:val="0"/>
                                <w:tabs>
                                  <w:tab w:val="left" w:pos="0"/>
                                  <w:tab w:val="left" w:pos="1260"/>
                                  <w:tab w:val="left" w:pos="1440"/>
                                  <w:tab w:val="left" w:pos="1843"/>
                                </w:tabs>
                                <w:spacing w:line="240" w:lineRule="atLeast"/>
                                <w:ind w:firstLine="720"/>
                                <w:jc w:val="both"/>
                                <w:rPr>
                                  <w:szCs w:val="24"/>
                                </w:rPr>
                              </w:pPr>
                              <w:sdt>
                                <w:sdtPr>
                                  <w:alias w:val="Numeris"/>
                                  <w:tag w:val="nr_4402dd3cc3a64ca581d19c5517909ecc"/>
                                  <w:lock w:val="sdtLocked"/>
                                  <w:richText/>
                                </w:sdtPr>
                                <w:sdtContent>
                                  <w:r>
                                    <w:rPr>
                                      <w:szCs w:val="24"/>
                                    </w:rPr>
                                    <w:t>21.2.3</w:t>
                                  </w:r>
                                </w:sdtContent>
                              </w:sdt>
                              <w:r>
                                <w:rPr>
                                  <w:szCs w:val="24"/>
                                </w:rPr>
                                <w:t>. priežasčių, kurias Įmonė nurodė kaip lemiančias šių kaštų apimties pokyčius, pagrįstumą;</w:t>
                              </w:r>
                            </w:p>
                          </w:sdtContent>
                        </w:sdt>
                        <w:sdt>
                          <w:sdtPr>
                            <w:alias w:val="21.2.4 p."/>
                            <w:tag w:val="part_7630814edb97464786a27ad643d158ed"/>
                            <w:lock w:val="sdtLocked"/>
                            <w:richText/>
                          </w:sdtPr>
                          <w:sdtContent>
                            <w:p>
                              <w:pPr>
                                <w:widowControl w:val="0"/>
                                <w:tabs>
                                  <w:tab w:val="left" w:pos="0"/>
                                  <w:tab w:val="left" w:pos="1260"/>
                                  <w:tab w:val="left" w:pos="1440"/>
                                  <w:tab w:val="left" w:pos="1843"/>
                                </w:tabs>
                                <w:spacing w:line="240" w:lineRule="atLeast"/>
                                <w:ind w:firstLine="720"/>
                                <w:jc w:val="both"/>
                                <w:rPr>
                                  <w:szCs w:val="24"/>
                                </w:rPr>
                              </w:pPr>
                              <w:sdt>
                                <w:sdtPr>
                                  <w:alias w:val="Numeris"/>
                                  <w:tag w:val="nr_7630814edb97464786a27ad643d158ed"/>
                                  <w:lock w:val="sdtLocked"/>
                                  <w:richText/>
                                </w:sdtPr>
                                <w:sdtContent>
                                  <w:r>
                                    <w:rPr>
                                      <w:szCs w:val="24"/>
                                    </w:rPr>
                                    <w:t>21.2.4</w:t>
                                  </w:r>
                                </w:sdtContent>
                              </w:sdt>
                              <w:r>
                                <w:rPr>
                                  <w:szCs w:val="24"/>
                                </w:rPr>
                                <w:t>. teisės aktus privalomojo socialinio draudimo ir garantinio fondo įmokų dydžiui nustatyti;</w:t>
                              </w:r>
                            </w:p>
                          </w:sdtContent>
                        </w:sdt>
                        <w:sdt>
                          <w:sdtPr>
                            <w:alias w:val="21.2.5 p."/>
                            <w:tag w:val="part_4212707b92e047398840c8602f008581"/>
                            <w:lock w:val="sdtLocked"/>
                            <w:richText/>
                          </w:sdtPr>
                          <w:sdtContent>
                            <w:p>
                              <w:pPr>
                                <w:tabs>
                                  <w:tab w:val="left" w:pos="1134"/>
                                </w:tabs>
                                <w:ind w:firstLine="709"/>
                                <w:jc w:val="both"/>
                                <w:rPr>
                                  <w:szCs w:val="24"/>
                                </w:rPr>
                              </w:pPr>
                              <w:sdt>
                                <w:sdtPr>
                                  <w:alias w:val="Numeris"/>
                                  <w:tag w:val="nr_4212707b92e047398840c8602f008581"/>
                                  <w:lock w:val="sdtLocked"/>
                                  <w:richText/>
                                </w:sdtPr>
                                <w:sdtContent>
                                  <w:r>
                                    <w:rPr>
                                      <w:szCs w:val="24"/>
                                    </w:rPr>
                                    <w:t>21</w:t>
                                  </w:r>
                                  <w:r>
                                    <w:rPr>
                                      <w:szCs w:val="24"/>
                                      <w:lang w:eastAsia="lt-LT"/>
                                    </w:rPr>
                                    <w:t>.2.5</w:t>
                                  </w:r>
                                </w:sdtContent>
                              </w:sdt>
                              <w:r>
                                <w:rPr>
                                  <w:szCs w:val="24"/>
                                  <w:lang w:eastAsia="lt-LT"/>
                                </w:rPr>
                                <w:t xml:space="preserve">. </w:t>
                              </w:r>
                              <w:r>
                                <w:rPr>
                                  <w:szCs w:val="24"/>
                                </w:rPr>
                                <w:t>Ekonomiškai pagrįstas darbo užmokesčio kaštų dydis pirmiesiems reguliavimo periodo metams, išskyrus Metodikos 21.2.1</w:t>
                              </w:r>
                              <w:r>
                                <w:rPr>
                                  <w:szCs w:val="24"/>
                                  <w:vertAlign w:val="superscript"/>
                                </w:rPr>
                                <w:t>1</w:t>
                              </w:r>
                              <w:r>
                                <w:rPr>
                                  <w:szCs w:val="24"/>
                                </w:rPr>
                                <w:t xml:space="preserve"> papunkčio atveju, yra apskaičiuojamas pagal formulę:</w:t>
                              </w:r>
                            </w:p>
                            <w:p>
                              <w:pPr>
                                <w:tabs>
                                  <w:tab w:val="left" w:pos="1134"/>
                                </w:tabs>
                                <w:ind w:firstLine="709"/>
                                <w:jc w:val="both"/>
                                <w:rPr>
                                  <w:szCs w:val="24"/>
                                </w:rPr>
                              </w:pPr>
                            </w:p>
                            <w:p>
                              <w:pPr>
                                <w:tabs>
                                  <w:tab w:val="left" w:pos="993"/>
                                  <w:tab w:val="left" w:pos="1134"/>
                                </w:tabs>
                                <w:jc w:val="both"/>
                                <w:rPr>
                                  <w:i/>
                                  <w:szCs w:val="24"/>
                                  <w:lang w:val="en-US"/>
                                </w:rPr>
                              </w:pPr>
                              <w:r>
                                <w:rPr>
                                  <w:i/>
                                  <w:szCs w:val="24"/>
                                </w:rPr>
                                <w:t>OPEX</w:t>
                              </w:r>
                              <w:r>
                                <w:rPr>
                                  <w:i/>
                                  <w:szCs w:val="24"/>
                                  <w:vertAlign w:val="subscript"/>
                                </w:rPr>
                                <w:t xml:space="preserve">t(DU) </w:t>
                              </w:r>
                              <w:r>
                                <w:rPr>
                                  <w:i/>
                                  <w:szCs w:val="24"/>
                                  <w:lang w:val="en-US"/>
                                </w:rPr>
                                <w:t>= OPEX</w:t>
                              </w:r>
                              <w:r>
                                <w:rPr>
                                  <w:i/>
                                  <w:szCs w:val="24"/>
                                  <w:vertAlign w:val="subscript"/>
                                  <w:lang w:val="en-US"/>
                                </w:rPr>
                                <w:t xml:space="preserve">t-2(DU) </w:t>
                              </w:r>
                              <w:r>
                                <w:rPr>
                                  <w:i/>
                                  <w:szCs w:val="24"/>
                                  <w:lang w:val="en-US"/>
                                </w:rPr>
                                <w:t>× (</w:t>
                              </w:r>
                              <m:oMath>
                                <m:r>
                                  <w:rPr>
                                    <w:rFonts w:ascii="Cambria Math" w:hAnsi="Cambria Math"/>
                                    <w:szCs w:val="24"/>
                                    <w:lang w:val="en-US"/>
                                  </w:rPr>
                                  <m:t xml:space="preserve"> </m:t>
                                </m:r>
                                <m:f>
                                  <m:fPr>
                                    <m:ctrlPr>
                                      <w:rPr>
                                        <w:rFonts w:ascii="Cambria Math" w:hAnsi="Cambria Math"/>
                                        <w:i/>
                                        <w:szCs w:val="24"/>
                                        <w:lang w:val="en-US"/>
                                      </w:rPr>
                                    </m:ctrlPr>
                                  </m:fPr>
                                  <m:num>
                                    <m:sSub>
                                      <m:sSubPr>
                                        <m:ctrlPr>
                                          <w:rPr>
                                            <w:rFonts w:ascii="Cambria Math" w:hAnsi="Cambria Math"/>
                                            <w:i/>
                                            <w:szCs w:val="24"/>
                                            <w:lang w:val="en-US"/>
                                          </w:rPr>
                                        </m:ctrlPr>
                                      </m:sSubPr>
                                      <m:e>
                                        <m:r>
                                          <m:rPr>
                                            <m:sty m:val="p"/>
                                          </m:rPr>
                                          <w:rPr>
                                            <w:rFonts w:ascii="Cambria Math" w:hAnsi="Cambria Math"/>
                                            <w:szCs w:val="24"/>
                                          </w:rPr>
                                          <m:t xml:space="preserve"> ΔDU</m:t>
                                        </m:r>
                                      </m:e>
                                      <m:sub>
                                        <m:r>
                                          <w:rPr>
                                            <w:rFonts w:ascii="Cambria Math" w:hAnsi="Cambria Math"/>
                                            <w:szCs w:val="24"/>
                                            <w:lang w:val="en-US"/>
                                          </w:rPr>
                                          <m:t>t</m:t>
                                        </m:r>
                                        <m:r>
                                          <w:rPr>
                                            <w:rFonts w:ascii="Cambria Math" w:hAnsi="Cambria Math"/>
                                            <w:szCs w:val="24"/>
                                            <w:lang w:val="en-US"/>
                                          </w:rPr>
                                          <m:t>-1</m:t>
                                        </m:r>
                                      </m:sub>
                                    </m:sSub>
                                    <m:r>
                                      <w:rPr>
                                        <w:rFonts w:ascii="Cambria Math" w:hAnsi="Cambria Math"/>
                                        <w:szCs w:val="24"/>
                                        <w:lang w:val="en-US"/>
                                      </w:rPr>
                                      <m:t>-</m:t>
                                    </m:r>
                                    <m:r>
                                      <w:rPr>
                                        <w:rFonts w:ascii="Cambria Math" w:hAnsi="Cambria Math"/>
                                        <w:szCs w:val="24"/>
                                        <w:lang w:val="en-US"/>
                                      </w:rPr>
                                      <m:t>e</m:t>
                                    </m:r>
                                    <m:r>
                                      <w:rPr>
                                        <w:rFonts w:ascii="Cambria Math" w:hAnsi="Cambria Math"/>
                                        <w:szCs w:val="24"/>
                                        <w:lang w:val="en-US"/>
                                      </w:rPr>
                                      <m:t xml:space="preserve"> </m:t>
                                    </m:r>
                                  </m:num>
                                  <m:den>
                                    <m:r>
                                      <w:rPr>
                                        <w:rFonts w:ascii="Cambria Math" w:hAnsi="Cambria Math"/>
                                        <w:szCs w:val="24"/>
                                        <w:lang w:val="en-US"/>
                                      </w:rPr>
                                      <m:t>100</m:t>
                                    </m:r>
                                  </m:den>
                                </m:f>
                                <m:r>
                                  <w:rPr>
                                    <w:rFonts w:ascii="Cambria Math" w:hAnsi="Cambria Math"/>
                                    <w:szCs w:val="24"/>
                                    <w:lang w:val="en-US"/>
                                  </w:rPr>
                                  <m:t xml:space="preserve"> </m:t>
                                </m:r>
                              </m:oMath>
                              <w:r>
                                <w:rPr>
                                  <w:i/>
                                  <w:szCs w:val="24"/>
                                  <w:lang w:val="en-US"/>
                                </w:rPr>
                                <w:t xml:space="preserve"> + 1) × (</w:t>
                              </w:r>
                              <m:oMath>
                                <m:r>
                                  <w:rPr>
                                    <w:rFonts w:ascii="Cambria Math" w:hAnsi="Cambria Math"/>
                                    <w:szCs w:val="24"/>
                                    <w:lang w:val="en-US"/>
                                  </w:rPr>
                                  <m:t xml:space="preserve"> </m:t>
                                </m:r>
                                <m:f>
                                  <m:fPr>
                                    <m:ctrlPr>
                                      <w:rPr>
                                        <w:rFonts w:ascii="Cambria Math" w:hAnsi="Cambria Math"/>
                                        <w:i/>
                                        <w:szCs w:val="24"/>
                                        <w:lang w:val="en-US"/>
                                      </w:rPr>
                                    </m:ctrlPr>
                                  </m:fPr>
                                  <m:num>
                                    <m:sSub>
                                      <m:sSubPr>
                                        <m:ctrlPr>
                                          <w:rPr>
                                            <w:rFonts w:ascii="Cambria Math" w:hAnsi="Cambria Math"/>
                                            <w:i/>
                                            <w:szCs w:val="24"/>
                                            <w:lang w:val="en-US"/>
                                          </w:rPr>
                                        </m:ctrlPr>
                                      </m:sSubPr>
                                      <m:e>
                                        <m:r>
                                          <w:rPr>
                                            <w:rFonts w:ascii="Cambria Math" w:hAnsi="Cambria Math"/>
                                            <w:szCs w:val="24"/>
                                            <w:lang w:val="en-US"/>
                                          </w:rPr>
                                          <m:t xml:space="preserve">  </m:t>
                                        </m:r>
                                        <m:r>
                                          <m:rPr>
                                            <m:sty m:val="p"/>
                                          </m:rPr>
                                          <w:rPr>
                                            <w:rFonts w:ascii="Cambria Math" w:hAnsi="Cambria Math"/>
                                            <w:szCs w:val="24"/>
                                          </w:rPr>
                                          <m:t>ΔDU</m:t>
                                        </m:r>
                                      </m:e>
                                      <m:sub>
                                        <m:r>
                                          <w:rPr>
                                            <w:rFonts w:ascii="Cambria Math" w:hAnsi="Cambria Math"/>
                                            <w:szCs w:val="24"/>
                                            <w:lang w:val="en-US"/>
                                          </w:rPr>
                                          <m:t>t</m:t>
                                        </m:r>
                                      </m:sub>
                                    </m:sSub>
                                    <m:r>
                                      <w:rPr>
                                        <w:rFonts w:ascii="Cambria Math" w:hAnsi="Cambria Math"/>
                                        <w:szCs w:val="24"/>
                                        <w:lang w:val="en-US"/>
                                      </w:rPr>
                                      <m:t>-</m:t>
                                    </m:r>
                                    <m:r>
                                      <w:rPr>
                                        <w:rFonts w:ascii="Cambria Math" w:hAnsi="Cambria Math"/>
                                        <w:szCs w:val="24"/>
                                        <w:lang w:val="en-US"/>
                                      </w:rPr>
                                      <m:t>e</m:t>
                                    </m:r>
                                    <m:r>
                                      <w:rPr>
                                        <w:rFonts w:ascii="Cambria Math" w:hAnsi="Cambria Math"/>
                                        <w:szCs w:val="24"/>
                                        <w:lang w:val="en-US"/>
                                      </w:rPr>
                                      <m:t xml:space="preserve"> </m:t>
                                    </m:r>
                                  </m:num>
                                  <m:den>
                                    <m:r>
                                      <w:rPr>
                                        <w:rFonts w:ascii="Cambria Math" w:hAnsi="Cambria Math"/>
                                        <w:szCs w:val="24"/>
                                        <w:lang w:val="en-US"/>
                                      </w:rPr>
                                      <m:t>100</m:t>
                                    </m:r>
                                  </m:den>
                                </m:f>
                                <m:r>
                                  <w:rPr>
                                    <w:rFonts w:ascii="Cambria Math" w:hAnsi="Cambria Math"/>
                                    <w:szCs w:val="24"/>
                                    <w:lang w:val="en-US"/>
                                  </w:rPr>
                                  <m:t xml:space="preserve"> </m:t>
                                </m:r>
                              </m:oMath>
                              <w:r>
                                <w:rPr>
                                  <w:i/>
                                  <w:szCs w:val="24"/>
                                  <w:lang w:val="en-US"/>
                                </w:rPr>
                                <w:t xml:space="preserve"> + 1) </w:t>
                                <w:tab/>
                                <w:tab/>
                                <w:tab/>
                                <w:t>(10</w:t>
                              </w:r>
                              <w:r>
                                <w:rPr>
                                  <w:i/>
                                  <w:szCs w:val="24"/>
                                  <w:vertAlign w:val="superscript"/>
                                  <w:lang w:val="en-US"/>
                                </w:rPr>
                                <w:t>2</w:t>
                              </w:r>
                              <w:r>
                                <w:rPr>
                                  <w:i/>
                                  <w:szCs w:val="24"/>
                                  <w:lang w:val="en-US"/>
                                </w:rPr>
                                <w:t>)</w:t>
                              </w:r>
                            </w:p>
                            <w:p>
                              <w:pPr>
                                <w:tabs>
                                  <w:tab w:val="left" w:pos="1134"/>
                                </w:tabs>
                                <w:ind w:firstLine="709"/>
                                <w:jc w:val="both"/>
                                <w:rPr>
                                  <w:szCs w:val="24"/>
                                </w:rPr>
                              </w:pPr>
                            </w:p>
                            <w:p>
                              <w:pPr>
                                <w:tabs>
                                  <w:tab w:val="left" w:pos="1134"/>
                                </w:tabs>
                                <w:ind w:firstLine="709"/>
                                <w:jc w:val="both"/>
                                <w:rPr>
                                  <w:szCs w:val="24"/>
                                </w:rPr>
                              </w:pPr>
                            </w:p>
                            <w:p>
                              <w:pPr>
                                <w:jc w:val="both"/>
                                <w:rPr>
                                  <w:szCs w:val="24"/>
                                  <w:lang w:eastAsia="lt-LT"/>
                                </w:rPr>
                              </w:pPr>
                              <w:r>
                                <w:rPr>
                                  <w:szCs w:val="24"/>
                                  <w:lang w:eastAsia="lt-LT"/>
                                </w:rPr>
                                <w:t xml:space="preserve">čia:  </w:t>
                              </w:r>
                            </w:p>
                            <w:p>
                              <w:pPr>
                                <w:jc w:val="both"/>
                                <w:rPr>
                                  <w:szCs w:val="24"/>
                                  <w:lang w:eastAsia="lt-LT"/>
                                </w:rPr>
                              </w:pPr>
                              <w:r>
                                <w:rPr>
                                  <w:szCs w:val="24"/>
                                  <w:lang w:eastAsia="lt-LT"/>
                                </w:rPr>
                                <w:t>OPEX</w:t>
                              </w:r>
                              <w:r>
                                <w:rPr>
                                  <w:szCs w:val="24"/>
                                  <w:vertAlign w:val="subscript"/>
                                  <w:lang w:eastAsia="lt-LT"/>
                                </w:rPr>
                                <w:t xml:space="preserve">t(DU)  </w:t>
                              </w:r>
                              <w:r>
                                <w:rPr>
                                  <w:szCs w:val="24"/>
                                  <w:lang w:eastAsia="lt-LT"/>
                                </w:rPr>
                                <w:t xml:space="preserve">– darbo užmokesčio kaštai metais t (pirmais reguliavimo metais); </w:t>
                              </w:r>
                            </w:p>
                            <w:p>
                              <w:pPr>
                                <w:jc w:val="both"/>
                                <w:rPr>
                                  <w:szCs w:val="24"/>
                                  <w:lang w:eastAsia="lt-LT"/>
                                </w:rPr>
                              </w:pPr>
                              <w:r>
                                <w:rPr>
                                  <w:szCs w:val="24"/>
                                  <w:lang w:eastAsia="lt-LT"/>
                                </w:rPr>
                                <w:t>OPEX</w:t>
                              </w:r>
                              <w:r>
                                <w:rPr>
                                  <w:szCs w:val="24"/>
                                  <w:vertAlign w:val="subscript"/>
                                  <w:lang w:eastAsia="lt-LT"/>
                                </w:rPr>
                                <w:t>t-2(DU)</w:t>
                              </w:r>
                              <w:r>
                                <w:rPr>
                                  <w:szCs w:val="24"/>
                                  <w:lang w:eastAsia="lt-LT"/>
                                </w:rPr>
                                <w:t xml:space="preserve"> – darbo užmokesčio kaštai metais t-2; </w:t>
                              </w:r>
                            </w:p>
                            <w:p>
                              <w:pPr>
                                <w:jc w:val="both"/>
                                <w:rPr>
                                  <w:szCs w:val="24"/>
                                  <w:lang w:eastAsia="lt-LT"/>
                                </w:rPr>
                              </w:pPr>
                              <w:r>
                                <w:rPr>
                                  <w:szCs w:val="24"/>
                                  <w:lang w:eastAsia="lt-LT"/>
                                </w:rPr>
                                <w:t>ΔDU</w:t>
                              </w:r>
                              <w:r>
                                <w:rPr>
                                  <w:szCs w:val="24"/>
                                  <w:vertAlign w:val="subscript"/>
                                  <w:lang w:eastAsia="lt-LT"/>
                                </w:rPr>
                                <w:t>t</w:t>
                              </w:r>
                              <w:r>
                                <w:rPr>
                                  <w:szCs w:val="24"/>
                                  <w:lang w:eastAsia="lt-LT"/>
                                </w:rPr>
                                <w:t xml:space="preserve"> – prognozuojamas realus vidutinis darbo užmokesčio pokytis metais t lyginant su atitinkamu indeksu metais t-1, %. Jis nustatomas pagal  Finansų ministerijos duomenis; </w:t>
                              </w:r>
                            </w:p>
                            <w:p>
                              <w:pPr>
                                <w:jc w:val="both"/>
                                <w:rPr>
                                  <w:szCs w:val="24"/>
                                  <w:lang w:eastAsia="lt-LT"/>
                                </w:rPr>
                              </w:pPr>
                              <w:r>
                                <w:rPr>
                                  <w:szCs w:val="24"/>
                                  <w:lang w:eastAsia="lt-LT"/>
                                </w:rPr>
                                <w:t>ΔDU</w:t>
                              </w:r>
                              <w:r>
                                <w:rPr>
                                  <w:szCs w:val="24"/>
                                  <w:vertAlign w:val="subscript"/>
                                  <w:lang w:eastAsia="lt-LT"/>
                                </w:rPr>
                                <w:t xml:space="preserve">t-1  </w:t>
                              </w:r>
                              <w:r>
                                <w:rPr>
                                  <w:szCs w:val="24"/>
                                  <w:lang w:eastAsia="lt-LT"/>
                                </w:rPr>
                                <w:t xml:space="preserve">– prognozuojamas realus vidutinis darbo užmokesčio pokytis  metais t-1 lyginant su atitinkamu indeksu metais t-2, %. Jis nustatomas pagal Finansų ministerijos duomenis; </w:t>
                              </w:r>
                            </w:p>
                            <w:p>
                              <w:pPr>
                                <w:tabs>
                                  <w:tab w:val="left" w:pos="1134"/>
                                </w:tabs>
                                <w:jc w:val="both"/>
                              </w:pPr>
                              <w:r>
                                <w:rPr>
                                  <w:szCs w:val="24"/>
                                  <w:lang w:eastAsia="lt-LT"/>
                                </w:rPr>
                                <w:t>e – efektyvumo koeficientas,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21.2.6 p."/>
                            <w:tag w:val="part_5c6c5c6a912c484da070e88bcfeb6693"/>
                            <w:lock w:val="sdtLocked"/>
                            <w:richText/>
                          </w:sdtPr>
                          <w:sdtContent>
                            <w:p>
                              <w:pPr>
                                <w:ind w:firstLine="709"/>
                                <w:jc w:val="both"/>
                                <w:rPr>
                                  <w:szCs w:val="24"/>
                                </w:rPr>
                              </w:pPr>
                              <w:sdt>
                                <w:sdtPr>
                                  <w:alias w:val="Numeris"/>
                                  <w:tag w:val="nr_5c6c5c6a912c484da070e88bcfeb6693"/>
                                  <w:lock w:val="sdtLocked"/>
                                  <w:richText/>
                                </w:sdtPr>
                                <w:sdtContent>
                                  <w:r>
                                    <w:rPr>
                                      <w:szCs w:val="24"/>
                                      <w:lang w:eastAsia="lt-LT"/>
                                    </w:rPr>
                                    <w:t>21.2.6</w:t>
                                  </w:r>
                                </w:sdtContent>
                              </w:sdt>
                              <w:r>
                                <w:rPr>
                                  <w:szCs w:val="24"/>
                                  <w:lang w:eastAsia="lt-LT"/>
                                </w:rPr>
                                <w:t>. Visais kitais metais einančiais po pirmųjų naujojo reguliavimo periodo metų, šių kaštų apimtis kiekvieniems metams nustatoma įvertinus Finansų ministerijos skelbiamą darbo užmokesčio pokytį ir efektyvumo rodiklį, kuris yra lygus 1 proc.</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21.3 p."/>
                        <w:tag w:val="part_a392c3303e3a4ef690bcf14daf3b9af5"/>
                        <w:lock w:val="sdtLocked"/>
                        <w:richText/>
                      </w:sdtPr>
                      <w:sdtContent>
                        <w:p>
                          <w:pPr>
                            <w:pStyle w:val="PlainText"/>
                            <w:ind w:firstLine="567"/>
                            <w:jc w:val="both"/>
                            <w:rPr>
                              <w:rFonts w:ascii="Times New Roman" w:hAnsi="Times New Roman"/>
                              <w:b/>
                              <w:bCs/>
                              <w:sz w:val="22"/>
                            </w:rPr>
                          </w:pPr>
                          <w:r>
                            <w:rPr>
                              <w:rFonts w:ascii="Times New Roman" w:hAnsi="Times New Roman"/>
                              <w:sz w:val="22"/>
                            </w:rPr>
                            <w:t>21.3</w:t>
                          </w:r>
                          <w:r>
                            <w:rPr>
                              <w:rFonts w:ascii="Times New Roman" w:hAnsi="Times New Roman"/>
                              <w:sz w:val="22"/>
                            </w:rPr>
                            <w:t>.</w:t>
                          </w:r>
                          <w:r>
                            <w:rPr>
                              <w:rFonts w:ascii="Times New Roman" w:eastAsia="MS Mincho" w:hAnsi="Times New Roman"/>
                              <w:sz w:val="20"/>
                              <w:i/>
                              <w:iCs/>
                            </w:rPr>
                            <w:t xml:space="preserve"> Neteko galios nuo 2015-09-23</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21.4 p."/>
                        <w:tag w:val="part_32894447b6d641039e22595c70f853f9"/>
                        <w:lock w:val="sdtLocked"/>
                        <w:richText/>
                      </w:sdtPr>
                      <w:sdtContent>
                        <w:p>
                          <w:pPr>
                            <w:pStyle w:val="PlainText"/>
                            <w:ind w:firstLine="567"/>
                            <w:jc w:val="both"/>
                            <w:rPr>
                              <w:rFonts w:ascii="Times New Roman" w:hAnsi="Times New Roman"/>
                              <w:b/>
                              <w:bCs/>
                              <w:sz w:val="22"/>
                            </w:rPr>
                          </w:pPr>
                          <w:r>
                            <w:rPr>
                              <w:rFonts w:ascii="Times New Roman" w:hAnsi="Times New Roman"/>
                              <w:sz w:val="22"/>
                            </w:rPr>
                            <w:t>21.4</w:t>
                          </w:r>
                          <w:r>
                            <w:rPr>
                              <w:rFonts w:ascii="Times New Roman" w:hAnsi="Times New Roman"/>
                              <w:sz w:val="22"/>
                            </w:rPr>
                            <w:t>.</w:t>
                          </w:r>
                          <w:r>
                            <w:rPr>
                              <w:rFonts w:ascii="Times New Roman" w:eastAsia="MS Mincho" w:hAnsi="Times New Roman"/>
                              <w:sz w:val="20"/>
                              <w:i/>
                              <w:iCs/>
                            </w:rPr>
                            <w:t xml:space="preserve"> Neteko galios nuo 2015-09-23</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21.5 p."/>
                        <w:tag w:val="part_5ee5b6753f4a40f9977dbedb29ae87f9"/>
                        <w:lock w:val="sdtLocked"/>
                        <w:richText/>
                      </w:sdtPr>
                      <w:sdtContent>
                        <w:p>
                          <w:pPr>
                            <w:pStyle w:val="PlainText"/>
                            <w:ind w:firstLine="567"/>
                            <w:jc w:val="both"/>
                            <w:rPr>
                              <w:rFonts w:ascii="Times New Roman" w:hAnsi="Times New Roman"/>
                              <w:b/>
                              <w:bCs/>
                              <w:sz w:val="22"/>
                            </w:rPr>
                          </w:pPr>
                          <w:r>
                            <w:rPr>
                              <w:rFonts w:ascii="Times New Roman" w:hAnsi="Times New Roman"/>
                              <w:sz w:val="22"/>
                            </w:rPr>
                            <w:t>21.5</w:t>
                          </w:r>
                          <w:r>
                            <w:rPr>
                              <w:rFonts w:ascii="Times New Roman" w:hAnsi="Times New Roman"/>
                              <w:sz w:val="22"/>
                            </w:rPr>
                            <w:t>.</w:t>
                          </w:r>
                          <w:r>
                            <w:rPr>
                              <w:rFonts w:ascii="Times New Roman" w:eastAsia="MS Mincho" w:hAnsi="Times New Roman"/>
                              <w:sz w:val="20"/>
                              <w:i/>
                              <w:iCs/>
                            </w:rPr>
                            <w:t xml:space="preserve"> Neteko galios nuo 2015-09-23</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Content>
                </w:sdt>
                <w:sdt>
                  <w:sdtPr>
                    <w:alias w:val="22 p."/>
                    <w:tag w:val="part_0c1be9c077184ea0970db99f43b575f6"/>
                    <w:lock w:val="sdtLocked"/>
                    <w:richText/>
                  </w:sdtPr>
                  <w:sdtContent>
                    <w:p>
                      <w:pPr>
                        <w:widowControl w:val="0"/>
                        <w:tabs>
                          <w:tab w:val="left" w:pos="0"/>
                          <w:tab w:val="left" w:pos="1134"/>
                          <w:tab w:val="left" w:pos="1418"/>
                          <w:tab w:val="left" w:pos="1843"/>
                        </w:tabs>
                        <w:spacing w:line="240" w:lineRule="atLeast"/>
                        <w:ind w:firstLine="709"/>
                        <w:jc w:val="both"/>
                        <w:rPr>
                          <w:szCs w:val="24"/>
                        </w:rPr>
                      </w:pPr>
                      <w:sdt>
                        <w:sdtPr>
                          <w:alias w:val="Numeris"/>
                          <w:tag w:val="nr_0c1be9c077184ea0970db99f43b575f6"/>
                          <w:lock w:val="sdtLocked"/>
                          <w:richText/>
                        </w:sdtPr>
                        <w:sdtContent>
                          <w:r>
                            <w:rPr>
                              <w:szCs w:val="24"/>
                            </w:rPr>
                            <w:t>22</w:t>
                          </w:r>
                        </w:sdtContent>
                      </w:sdt>
                      <w:r>
                        <w:rPr>
                          <w:szCs w:val="24"/>
                        </w:rPr>
                        <w:t xml:space="preserve">. Kaštai </w:t>
                      </w:r>
                      <w:r>
                        <w:rPr>
                          <w:iCs/>
                          <w:szCs w:val="24"/>
                        </w:rPr>
                        <w:t>elektros energijai, sunaudotai ją perduodant technologiniuose įrenginiuose pirkti, nustatomi atsižvelgiant į:</w:t>
                      </w:r>
                    </w:p>
                    <w:sdt>
                      <w:sdtPr>
                        <w:alias w:val="22.1 p."/>
                        <w:tag w:val="part_990774b317da4cf89be5cd17bfae6585"/>
                        <w:lock w:val="sdtLocked"/>
                        <w:richText/>
                      </w:sdtPr>
                      <w:sdtContent>
                        <w:p>
                          <w:pPr>
                            <w:widowControl w:val="0"/>
                            <w:tabs>
                              <w:tab w:val="left" w:pos="0"/>
                              <w:tab w:val="left" w:pos="1276"/>
                              <w:tab w:val="left" w:pos="1418"/>
                              <w:tab w:val="left" w:pos="1843"/>
                            </w:tabs>
                            <w:spacing w:line="240" w:lineRule="atLeast"/>
                            <w:ind w:firstLine="709"/>
                            <w:jc w:val="both"/>
                            <w:rPr>
                              <w:szCs w:val="24"/>
                            </w:rPr>
                          </w:pPr>
                          <w:sdt>
                            <w:sdtPr>
                              <w:alias w:val="Numeris"/>
                              <w:tag w:val="nr_990774b317da4cf89be5cd17bfae6585"/>
                              <w:lock w:val="sdtLocked"/>
                              <w:richText/>
                            </w:sdtPr>
                            <w:sdtContent>
                              <w:r>
                                <w:rPr>
                                  <w:szCs w:val="24"/>
                                </w:rPr>
                                <w:t>22.1</w:t>
                              </w:r>
                            </w:sdtContent>
                          </w:sdt>
                          <w:r>
                            <w:rPr>
                              <w:szCs w:val="24"/>
                            </w:rPr>
                            <w:t>. iš gamintojų, tiekėjų, biržoje, balansavimo rinkoje įsigytos elektros energijos ir persiuntimo paslaugų kaštų vertę;</w:t>
                          </w:r>
                        </w:p>
                      </w:sdtContent>
                    </w:sdt>
                    <w:sdt>
                      <w:sdtPr>
                        <w:alias w:val="22.2 p."/>
                        <w:tag w:val="part_ef1804b1aaff4aa4bf3d26c64418917d"/>
                        <w:lock w:val="sdtLocked"/>
                        <w:richText/>
                      </w:sdtPr>
                      <w:sdtContent>
                        <w:p>
                          <w:pPr>
                            <w:widowControl w:val="0"/>
                            <w:tabs>
                              <w:tab w:val="left" w:pos="0"/>
                              <w:tab w:val="left" w:pos="1276"/>
                              <w:tab w:val="left" w:pos="1418"/>
                              <w:tab w:val="left" w:pos="1843"/>
                            </w:tabs>
                            <w:spacing w:line="240" w:lineRule="atLeast"/>
                            <w:ind w:firstLine="709"/>
                            <w:jc w:val="both"/>
                            <w:rPr>
                              <w:szCs w:val="24"/>
                            </w:rPr>
                          </w:pPr>
                          <w:sdt>
                            <w:sdtPr>
                              <w:alias w:val="Numeris"/>
                              <w:tag w:val="nr_ef1804b1aaff4aa4bf3d26c64418917d"/>
                              <w:lock w:val="sdtLocked"/>
                              <w:richText/>
                            </w:sdtPr>
                            <w:sdtContent>
                              <w:r>
                                <w:rPr>
                                  <w:szCs w:val="24"/>
                                </w:rPr>
                                <w:t>22.2</w:t>
                              </w:r>
                            </w:sdtContent>
                          </w:sdt>
                          <w:r>
                            <w:rPr>
                              <w:szCs w:val="24"/>
                            </w:rPr>
                            <w:t>. Komisijos nustatytą elektros energijos technologinių sąnaudų koeficientą, kuris nustatomas atsižvelgiant į:</w:t>
                          </w:r>
                        </w:p>
                        <w:sdt>
                          <w:sdtPr>
                            <w:alias w:val="22.2.1 p."/>
                            <w:tag w:val="part_d7fd05e763d248b19a651ab30e50a124"/>
                            <w:lock w:val="sdtLocked"/>
                            <w:richText/>
                          </w:sdtPr>
                          <w:sdtContent>
                            <w:p>
                              <w:pPr>
                                <w:widowControl w:val="0"/>
                                <w:tabs>
                                  <w:tab w:val="left" w:pos="0"/>
                                  <w:tab w:val="left" w:pos="1418"/>
                                  <w:tab w:val="left" w:pos="1843"/>
                                </w:tabs>
                                <w:spacing w:line="240" w:lineRule="atLeast"/>
                                <w:ind w:firstLine="709"/>
                                <w:jc w:val="both"/>
                                <w:rPr>
                                  <w:szCs w:val="24"/>
                                </w:rPr>
                              </w:pPr>
                              <w:sdt>
                                <w:sdtPr>
                                  <w:alias w:val="Numeris"/>
                                  <w:tag w:val="nr_d7fd05e763d248b19a651ab30e50a124"/>
                                  <w:lock w:val="sdtLocked"/>
                                  <w:richText/>
                                </w:sdtPr>
                                <w:sdtContent>
                                  <w:r>
                                    <w:rPr>
                                      <w:szCs w:val="24"/>
                                    </w:rPr>
                                    <w:t>22.2.1</w:t>
                                  </w:r>
                                </w:sdtContent>
                              </w:sdt>
                              <w:r>
                                <w:rPr>
                                  <w:szCs w:val="24"/>
                                </w:rPr>
                                <w:t xml:space="preserve">. </w:t>
                              </w:r>
                              <w:r>
                                <w:rPr>
                                  <w:szCs w:val="24"/>
                                  <w:lang w:eastAsia="lt-LT"/>
                                </w:rPr>
                                <w:t>palyginamuosius faktinius kitų energetikos įmonių technologinių sąnaudų koeficientus;</w:t>
                              </w:r>
                            </w:p>
                          </w:sdtContent>
                        </w:sdt>
                        <w:sdt>
                          <w:sdtPr>
                            <w:alias w:val="22.2.2 p."/>
                            <w:tag w:val="part_980047efcb3b4c58b357883b60764f5f"/>
                            <w:lock w:val="sdtLocked"/>
                            <w:richText/>
                          </w:sdtPr>
                          <w:sdtContent>
                            <w:p>
                              <w:pPr>
                                <w:widowControl w:val="0"/>
                                <w:tabs>
                                  <w:tab w:val="left" w:pos="0"/>
                                  <w:tab w:val="left" w:pos="1418"/>
                                  <w:tab w:val="left" w:pos="1843"/>
                                </w:tabs>
                                <w:spacing w:line="240" w:lineRule="atLeast"/>
                                <w:ind w:firstLine="709"/>
                                <w:jc w:val="both"/>
                                <w:rPr>
                                  <w:szCs w:val="24"/>
                                </w:rPr>
                              </w:pPr>
                              <w:sdt>
                                <w:sdtPr>
                                  <w:alias w:val="Numeris"/>
                                  <w:tag w:val="nr_980047efcb3b4c58b357883b60764f5f"/>
                                  <w:lock w:val="sdtLocked"/>
                                  <w:richText/>
                                </w:sdtPr>
                                <w:sdtContent>
                                  <w:r>
                                    <w:rPr>
                                      <w:szCs w:val="24"/>
                                    </w:rPr>
                                    <w:t>22.2.2</w:t>
                                  </w:r>
                                </w:sdtContent>
                              </w:sdt>
                              <w:r>
                                <w:rPr>
                                  <w:szCs w:val="24"/>
                                </w:rPr>
                                <w:t xml:space="preserve">. </w:t>
                              </w:r>
                              <w:r>
                                <w:rPr>
                                  <w:szCs w:val="24"/>
                                  <w:lang w:eastAsia="lt-LT"/>
                                </w:rPr>
                                <w:t>numatytus planinius investicijų į tinklo plėtrą, rekonstrukciją ir atstatymą įgyvendinimo rodiklius per reguliavimo laikotarpį;</w:t>
                              </w:r>
                            </w:p>
                          </w:sdtContent>
                        </w:sdt>
                        <w:sdt>
                          <w:sdtPr>
                            <w:alias w:val="22.2.3 p."/>
                            <w:tag w:val="part_a499b4f9a0b741908b544d2847084547"/>
                            <w:lock w:val="sdtLocked"/>
                            <w:richText/>
                          </w:sdtPr>
                          <w:sdtContent>
                            <w:p>
                              <w:pPr>
                                <w:widowControl w:val="0"/>
                                <w:tabs>
                                  <w:tab w:val="left" w:pos="0"/>
                                  <w:tab w:val="left" w:pos="1418"/>
                                  <w:tab w:val="left" w:pos="1843"/>
                                </w:tabs>
                                <w:spacing w:line="240" w:lineRule="atLeast"/>
                                <w:ind w:firstLine="709"/>
                                <w:jc w:val="both"/>
                                <w:rPr>
                                  <w:szCs w:val="24"/>
                                </w:rPr>
                              </w:pPr>
                              <w:sdt>
                                <w:sdtPr>
                                  <w:alias w:val="Numeris"/>
                                  <w:tag w:val="nr_a499b4f9a0b741908b544d2847084547"/>
                                  <w:lock w:val="sdtLocked"/>
                                  <w:richText/>
                                </w:sdtPr>
                                <w:sdtContent>
                                  <w:r>
                                    <w:rPr>
                                      <w:szCs w:val="24"/>
                                    </w:rPr>
                                    <w:t>22.2.3</w:t>
                                  </w:r>
                                </w:sdtContent>
                              </w:sdt>
                              <w:r>
                                <w:rPr>
                                  <w:szCs w:val="24"/>
                                </w:rPr>
                                <w:t xml:space="preserve">. </w:t>
                              </w:r>
                              <w:r>
                                <w:rPr>
                                  <w:szCs w:val="24"/>
                                  <w:lang w:eastAsia="lt-LT"/>
                                </w:rPr>
                                <w:t>faktinį ir Komisijos praėjusiam reguliavimo periodui nustatytą technologinių sąnaudų koeficiento neatitiktį bei ją nulėmusių priežasčių pagrįstumą;</w:t>
                              </w:r>
                            </w:p>
                          </w:sdtContent>
                        </w:sdt>
                        <w:sdt>
                          <w:sdtPr>
                            <w:alias w:val="22.2.4 p."/>
                            <w:tag w:val="part_cd2536e7bc6a418c954cb7a493bcefac"/>
                            <w:lock w:val="sdtLocked"/>
                            <w:richText/>
                          </w:sdtPr>
                          <w:sdtContent>
                            <w:p>
                              <w:pPr>
                                <w:widowControl w:val="0"/>
                                <w:tabs>
                                  <w:tab w:val="left" w:pos="0"/>
                                  <w:tab w:val="left" w:pos="1418"/>
                                  <w:tab w:val="left" w:pos="1843"/>
                                </w:tabs>
                                <w:spacing w:line="240" w:lineRule="atLeast"/>
                                <w:ind w:firstLine="709"/>
                                <w:jc w:val="both"/>
                                <w:rPr>
                                  <w:szCs w:val="24"/>
                                </w:rPr>
                              </w:pPr>
                              <w:sdt>
                                <w:sdtPr>
                                  <w:alias w:val="Numeris"/>
                                  <w:tag w:val="nr_cd2536e7bc6a418c954cb7a493bcefac"/>
                                  <w:lock w:val="sdtLocked"/>
                                  <w:richText/>
                                </w:sdtPr>
                                <w:sdtContent>
                                  <w:r>
                                    <w:rPr>
                                      <w:szCs w:val="24"/>
                                    </w:rPr>
                                    <w:t>22.2.4</w:t>
                                  </w:r>
                                </w:sdtContent>
                              </w:sdt>
                              <w:r>
                                <w:rPr>
                                  <w:szCs w:val="24"/>
                                </w:rPr>
                                <w:t xml:space="preserve">. </w:t>
                              </w:r>
                              <w:r>
                                <w:rPr>
                                  <w:szCs w:val="24"/>
                                  <w:lang w:eastAsia="lt-LT"/>
                                </w:rPr>
                                <w:t>reguliavimo periodui, kuriam nustatomos reguliuojamų paslaugų kainų viršutinės ribos, technologinių sąnaudų koeficiento prognozuojamą vidutinį dydį, apskaičiuotą pagal faktinius praėjusio reguliavimo periodo technologinių sąnaudų dydžius bei atsižvelgiant į koeficiento kitimo tendenciją. Esant argumentuotiems Įmonių prognozuojamų scenarijų pagrindimams ši tendencija gali būti koreguojama atitinkamai pateikiamiems tendencijos kitimo scenarijams;</w:t>
                              </w:r>
                            </w:p>
                          </w:sdtContent>
                        </w:sdt>
                      </w:sdtContent>
                    </w:sdt>
                  </w:sdtContent>
                </w:sdt>
                <w:sdt>
                  <w:sdtPr>
                    <w:alias w:val="23 p."/>
                    <w:tag w:val="part_3431f4b7d25f4509be9727bc3079206d"/>
                    <w:lock w:val="sdtLocked"/>
                    <w:richText/>
                  </w:sdtPr>
                  <w:sdtContent>
                    <w:p>
                      <w:pPr>
                        <w:tabs>
                          <w:tab w:val="left" w:pos="1134"/>
                        </w:tabs>
                        <w:spacing w:line="240" w:lineRule="atLeast"/>
                        <w:ind w:firstLine="709"/>
                        <w:contextualSpacing/>
                        <w:jc w:val="both"/>
                        <w:rPr>
                          <w:iCs/>
                          <w:szCs w:val="24"/>
                        </w:rPr>
                      </w:pPr>
                      <w:sdt>
                        <w:sdtPr>
                          <w:alias w:val="Numeris"/>
                          <w:tag w:val="nr_3431f4b7d25f4509be9727bc3079206d"/>
                          <w:lock w:val="sdtLocked"/>
                          <w:richText/>
                        </w:sdtPr>
                        <w:sdtContent>
                          <w:r>
                            <w:rPr>
                              <w:iCs/>
                              <w:szCs w:val="24"/>
                            </w:rPr>
                            <w:t>23</w:t>
                          </w:r>
                        </w:sdtContent>
                      </w:sdt>
                      <w:r>
                        <w:rPr>
                          <w:iCs/>
                          <w:szCs w:val="24"/>
                        </w:rPr>
                        <w:t xml:space="preserve">. </w:t>
                      </w:r>
                      <w:r>
                        <w:rPr>
                          <w:szCs w:val="24"/>
                        </w:rPr>
                        <w:t xml:space="preserve">Kaštai </w:t>
                      </w:r>
                      <w:r>
                        <w:rPr>
                          <w:iCs/>
                          <w:szCs w:val="24"/>
                        </w:rPr>
                        <w:t>elektros energijai savoms reikmėms pirkti, apskaičiuojami atsižvelgiant į:</w:t>
                      </w:r>
                    </w:p>
                    <w:sdt>
                      <w:sdtPr>
                        <w:alias w:val="23.1 p."/>
                        <w:tag w:val="part_448d43b17c8e4994a1e72c275eb4bc0f"/>
                        <w:lock w:val="sdtLocked"/>
                        <w:richText/>
                      </w:sdtPr>
                      <w:sdtContent>
                        <w:p>
                          <w:pPr>
                            <w:tabs>
                              <w:tab w:val="left" w:pos="1276"/>
                            </w:tabs>
                            <w:spacing w:line="240" w:lineRule="atLeast"/>
                            <w:ind w:firstLine="709"/>
                            <w:contextualSpacing/>
                            <w:jc w:val="both"/>
                            <w:rPr>
                              <w:iCs/>
                              <w:szCs w:val="24"/>
                            </w:rPr>
                          </w:pPr>
                          <w:sdt>
                            <w:sdtPr>
                              <w:alias w:val="Numeris"/>
                              <w:tag w:val="nr_448d43b17c8e4994a1e72c275eb4bc0f"/>
                              <w:lock w:val="sdtLocked"/>
                              <w:richText/>
                            </w:sdtPr>
                            <w:sdtContent>
                              <w:r>
                                <w:rPr>
                                  <w:iCs/>
                                  <w:szCs w:val="24"/>
                                </w:rPr>
                                <w:t>23.1</w:t>
                              </w:r>
                            </w:sdtContent>
                          </w:sdt>
                          <w:r>
                            <w:rPr>
                              <w:iCs/>
                              <w:szCs w:val="24"/>
                            </w:rPr>
                            <w:t xml:space="preserve">. </w:t>
                          </w:r>
                          <w:r>
                            <w:rPr>
                              <w:szCs w:val="24"/>
                            </w:rPr>
                            <w:t>iš gamintojų, tiekėjų, biržoje, balansavimo rinkoje įsigytos elektros energijos ir persiuntimo paslaugų kaštų vertę</w:t>
                          </w:r>
                          <w:r>
                            <w:rPr>
                              <w:iCs/>
                              <w:szCs w:val="24"/>
                            </w:rPr>
                            <w:t xml:space="preserve"> (įskaitant VIAP ir sisteminių paslaugų kainą);</w:t>
                          </w:r>
                        </w:p>
                      </w:sdtContent>
                    </w:sdt>
                    <w:sdt>
                      <w:sdtPr>
                        <w:alias w:val="23.2 p."/>
                        <w:tag w:val="part_1e07cacfcfa740d19d1219fff60dc4a5"/>
                        <w:lock w:val="sdtLocked"/>
                        <w:richText/>
                      </w:sdtPr>
                      <w:sdtContent>
                        <w:p>
                          <w:pPr>
                            <w:tabs>
                              <w:tab w:val="left" w:pos="1276"/>
                            </w:tabs>
                            <w:spacing w:line="240" w:lineRule="atLeast"/>
                            <w:ind w:firstLine="709"/>
                            <w:contextualSpacing/>
                            <w:jc w:val="both"/>
                            <w:rPr>
                              <w:iCs/>
                              <w:szCs w:val="24"/>
                            </w:rPr>
                          </w:pPr>
                          <w:sdt>
                            <w:sdtPr>
                              <w:alias w:val="Numeris"/>
                              <w:tag w:val="nr_1e07cacfcfa740d19d1219fff60dc4a5"/>
                              <w:lock w:val="sdtLocked"/>
                              <w:richText/>
                            </w:sdtPr>
                            <w:sdtContent>
                              <w:r>
                                <w:rPr>
                                  <w:iCs/>
                                  <w:szCs w:val="24"/>
                                </w:rPr>
                                <w:t>23.2</w:t>
                              </w:r>
                            </w:sdtContent>
                          </w:sdt>
                          <w:r>
                            <w:rPr>
                              <w:iCs/>
                              <w:szCs w:val="24"/>
                            </w:rPr>
                            <w:t>. savoms reikmėms sunaudotus elektros energijos kiekius, kurie negali viršyti praėjusiam reguliavimo periodui nustatytų kiekių, praėjusį reguliavimo periodą sunaudotų faktinių kiekių.</w:t>
                          </w:r>
                        </w:p>
                      </w:sdtContent>
                    </w:sdt>
                  </w:sdtContent>
                </w:sdt>
                <w:sdt>
                  <w:sdtPr>
                    <w:alias w:val="24 p."/>
                    <w:tag w:val="part_a3e82ab1ab0c46dd8f180b70cb0d898c"/>
                    <w:lock w:val="sdtLocked"/>
                    <w:richText/>
                  </w:sdtPr>
                  <w:sdtContent>
                    <w:p>
                      <w:pPr>
                        <w:widowControl w:val="0"/>
                        <w:tabs>
                          <w:tab w:val="left" w:pos="0"/>
                          <w:tab w:val="left" w:pos="1134"/>
                          <w:tab w:val="left" w:pos="1843"/>
                        </w:tabs>
                        <w:spacing w:line="240" w:lineRule="atLeast"/>
                        <w:ind w:firstLine="709"/>
                        <w:jc w:val="both"/>
                        <w:rPr>
                          <w:szCs w:val="24"/>
                        </w:rPr>
                      </w:pPr>
                      <w:sdt>
                        <w:sdtPr>
                          <w:alias w:val="Numeris"/>
                          <w:tag w:val="nr_a3e82ab1ab0c46dd8f180b70cb0d898c"/>
                          <w:lock w:val="sdtLocked"/>
                          <w:richText/>
                        </w:sdtPr>
                        <w:sdtContent>
                          <w:r>
                            <w:rPr>
                              <w:szCs w:val="24"/>
                            </w:rPr>
                            <w:t>24</w:t>
                          </w:r>
                        </w:sdtContent>
                      </w:sdt>
                      <w:r>
                        <w:rPr>
                          <w:szCs w:val="24"/>
                        </w:rPr>
                        <w:t xml:space="preserve">. </w:t>
                      </w:r>
                      <w:r>
                        <w:rPr>
                          <w:szCs w:val="24"/>
                          <w:lang w:eastAsia="lt-LT"/>
                        </w:rPr>
                        <w:t>Apskaičiuotas vidutinis technologinių sąnaudų koeficientas naujam reguliavimo periodui negali būti didesnis nei praėjusio reguliavimo periodo vidutinis faktinis technologinių sąnaudų koeficiento dydis, išskyrus atvejus, kai Įmonė pagrindžia ir dokumentais įrodo, jog šios sąnaudos padidėja dėl nuo Įmonės nepriklausančių veiksnių.</w:t>
                      </w:r>
                    </w:p>
                  </w:sdtContent>
                </w:sdt>
                <w:sdt>
                  <w:sdtPr>
                    <w:alias w:val="25 p."/>
                    <w:tag w:val="part_55297606b30d4b23ad851045fd37df9d"/>
                    <w:lock w:val="sdtLocked"/>
                    <w:richText/>
                  </w:sdtPr>
                  <w:sdtContent>
                    <w:p>
                      <w:pPr>
                        <w:widowControl w:val="0"/>
                        <w:tabs>
                          <w:tab w:val="left" w:pos="0"/>
                          <w:tab w:val="left" w:pos="1134"/>
                          <w:tab w:val="left" w:pos="1418"/>
                          <w:tab w:val="left" w:pos="1843"/>
                        </w:tabs>
                        <w:spacing w:line="240" w:lineRule="atLeast"/>
                        <w:ind w:firstLine="709"/>
                        <w:jc w:val="both"/>
                        <w:rPr>
                          <w:szCs w:val="24"/>
                        </w:rPr>
                      </w:pPr>
                      <w:sdt>
                        <w:sdtPr>
                          <w:alias w:val="Numeris"/>
                          <w:tag w:val="nr_55297606b30d4b23ad851045fd37df9d"/>
                          <w:lock w:val="sdtLocked"/>
                          <w:richText/>
                        </w:sdtPr>
                        <w:sdtContent>
                          <w:r>
                            <w:rPr>
                              <w:szCs w:val="24"/>
                            </w:rPr>
                            <w:t>25</w:t>
                          </w:r>
                        </w:sdtContent>
                      </w:sdt>
                      <w:r>
                        <w:rPr>
                          <w:szCs w:val="24"/>
                        </w:rPr>
                        <w:t>. Komisijai nustatant reguliuojamų paslaugų kaštus, turi būti atsižvelgiama (pakoreguojant leistiną pajamų lygį) į Komisijos atliktų reguliuojamų paslaugų sąnaudų pagrįstumo (būtinumo) patikrinimo rezultatus bei sąnaudų audito atlikto pagal reguliacinius sąnaudų apskaitos reikalavimus, išvadas.</w:t>
                      </w:r>
                    </w:p>
                  </w:sdtContent>
                </w:sdt>
                <w:sdt>
                  <w:sdtPr>
                    <w:alias w:val="26 p."/>
                    <w:tag w:val="part_f8c5c92639e04387ace3a83df900cd5f"/>
                    <w:lock w:val="sdtLocked"/>
                    <w:richText/>
                  </w:sdtPr>
                  <w:sdtContent>
                    <w:p>
                      <w:pPr>
                        <w:tabs>
                          <w:tab w:val="left" w:pos="1276"/>
                        </w:tabs>
                        <w:ind w:firstLine="709"/>
                        <w:jc w:val="both"/>
                        <w:rPr>
                          <w:szCs w:val="24"/>
                        </w:rPr>
                      </w:pPr>
                      <w:sdt>
                        <w:sdtPr>
                          <w:alias w:val="Numeris"/>
                          <w:tag w:val="nr_f8c5c92639e04387ace3a83df900cd5f"/>
                          <w:lock w:val="sdtLocked"/>
                          <w:richText/>
                        </w:sdtPr>
                        <w:sdtContent>
                          <w:r>
                            <w:rPr>
                              <w:szCs w:val="24"/>
                            </w:rPr>
                            <w:t>26</w:t>
                          </w:r>
                        </w:sdtContent>
                      </w:sdt>
                      <w:r>
                        <w:rPr>
                          <w:szCs w:val="24"/>
                        </w:rPr>
                        <w:t xml:space="preserve">. Jeigu dėl Įmonės veiklos efektyvumo, t. y. dėl OPEX suefektyvinimo vykdant reguliuojamą veiklą reguliuojamos veiklos pirmų dvejų reguliavimo periodo metų, o vėliau – pasibaigus reguliavimo periodui investicijų grąža, įvertinus taikytinų koregavimo koeficientų įtaką, yra didesnė, palyginti su nustatyta atitinkamų metų investicijų grąža šios veiklos atitinkamų metų leistina investicijų grąža didinama investicijų grąžos riba, dėl veiklos efektyvumo, kurį Įmonė įrodė Komisijai, viršijančia suma,  apskaičiuojama pagal formulę:</w:t>
                      </w:r>
                    </w:p>
                    <w:p>
                      <w:pPr>
                        <w:tabs>
                          <w:tab w:val="left" w:pos="993"/>
                        </w:tabs>
                        <w:ind w:firstLine="709"/>
                        <w:jc w:val="both"/>
                        <w:rPr>
                          <w:szCs w:val="24"/>
                        </w:rPr>
                      </w:pPr>
                    </w:p>
                    <w:p>
                      <w:pPr>
                        <w:tabs>
                          <w:tab w:val="left" w:pos="993"/>
                          <w:tab w:val="left" w:pos="9214"/>
                        </w:tabs>
                        <w:jc w:val="both"/>
                        <w:rPr>
                          <w:szCs w:val="24"/>
                        </w:rPr>
                      </w:pPr>
                      <w:r>
                        <w:rPr>
                          <w:i/>
                          <w:iCs/>
                          <w:szCs w:val="24"/>
                        </w:rPr>
                        <w:t>G</w:t>
                      </w:r>
                      <w:r>
                        <w:rPr>
                          <w:i/>
                          <w:iCs/>
                          <w:szCs w:val="24"/>
                          <w:vertAlign w:val="subscript"/>
                        </w:rPr>
                        <w:t xml:space="preserve">1,i </w:t>
                      </w:r>
                      <w:r>
                        <w:rPr>
                          <w:i/>
                          <w:iCs/>
                          <w:szCs w:val="24"/>
                        </w:rPr>
                        <w:t>= OPEX</w:t>
                      </w:r>
                      <w:r>
                        <w:rPr>
                          <w:i/>
                          <w:iCs/>
                          <w:szCs w:val="24"/>
                          <w:vertAlign w:val="subscript"/>
                        </w:rPr>
                        <w:t>nustatytas,i</w:t>
                      </w:r>
                      <w:r>
                        <w:rPr>
                          <w:i/>
                          <w:iCs/>
                          <w:szCs w:val="24"/>
                        </w:rPr>
                        <w:t xml:space="preserve"> – OPEX</w:t>
                      </w:r>
                      <w:r>
                        <w:rPr>
                          <w:i/>
                          <w:iCs/>
                          <w:szCs w:val="24"/>
                          <w:vertAlign w:val="subscript"/>
                        </w:rPr>
                        <w:t xml:space="preserve">faktinis,i </w:t>
                      </w:r>
                      <w:r>
                        <w:rPr>
                          <w:i/>
                          <w:iCs/>
                          <w:szCs w:val="24"/>
                        </w:rPr>
                        <w:tab/>
                      </w:r>
                      <w:r>
                        <w:rPr>
                          <w:szCs w:val="24"/>
                        </w:rPr>
                        <w:t>(11)</w:t>
                      </w:r>
                    </w:p>
                    <w:p>
                      <w:pPr>
                        <w:tabs>
                          <w:tab w:val="left" w:pos="993"/>
                        </w:tabs>
                        <w:ind w:firstLine="709"/>
                        <w:jc w:val="both"/>
                        <w:rPr>
                          <w:szCs w:val="24"/>
                        </w:rPr>
                      </w:pPr>
                    </w:p>
                    <w:p>
                      <w:pPr>
                        <w:tabs>
                          <w:tab w:val="left" w:pos="993"/>
                        </w:tabs>
                        <w:jc w:val="both"/>
                        <w:rPr>
                          <w:i/>
                          <w:iCs/>
                          <w:szCs w:val="24"/>
                        </w:rPr>
                      </w:pPr>
                      <w:r>
                        <w:rPr>
                          <w:i/>
                          <w:iCs/>
                          <w:szCs w:val="24"/>
                        </w:rPr>
                        <w:t>čia:</w:t>
                      </w:r>
                    </w:p>
                    <w:p>
                      <w:pPr>
                        <w:tabs>
                          <w:tab w:val="left" w:pos="993"/>
                        </w:tabs>
                        <w:jc w:val="both"/>
                        <w:rPr>
                          <w:szCs w:val="24"/>
                        </w:rPr>
                      </w:pPr>
                      <w:r>
                        <w:rPr>
                          <w:szCs w:val="24"/>
                        </w:rPr>
                        <w:t>G</w:t>
                      </w:r>
                      <w:r>
                        <w:rPr>
                          <w:szCs w:val="24"/>
                          <w:vertAlign w:val="subscript"/>
                        </w:rPr>
                        <w:t xml:space="preserve">1,i </w:t>
                      </w:r>
                      <w:r>
                        <w:rPr>
                          <w:szCs w:val="24"/>
                        </w:rPr>
                        <w:t>– suma, kuria didinama i-tosios paslaugos investicijų grąžos riba , EUR;</w:t>
                      </w:r>
                    </w:p>
                    <w:p>
                      <w:pPr>
                        <w:tabs>
                          <w:tab w:val="left" w:pos="993"/>
                        </w:tabs>
                        <w:jc w:val="both"/>
                        <w:rPr>
                          <w:szCs w:val="24"/>
                        </w:rPr>
                      </w:pPr>
                      <w:r>
                        <w:rPr>
                          <w:szCs w:val="24"/>
                        </w:rPr>
                        <w:t>OPEX</w:t>
                      </w:r>
                      <w:r>
                        <w:rPr>
                          <w:szCs w:val="24"/>
                          <w:vertAlign w:val="subscript"/>
                        </w:rPr>
                        <w:t xml:space="preserve">nustatytas,i </w:t>
                      </w:r>
                      <w:r>
                        <w:rPr>
                          <w:szCs w:val="24"/>
                        </w:rPr>
                        <w:t>– nustatyta OPEX apimtis per pirmus dvejus reguliavimo periodo metus ir (arba) per visą reguliavimo periodą, priskirtina i-tajai paslaugai, EUR;</w:t>
                      </w:r>
                    </w:p>
                    <w:p>
                      <w:pPr>
                        <w:tabs>
                          <w:tab w:val="left" w:pos="993"/>
                        </w:tabs>
                        <w:jc w:val="both"/>
                        <w:rPr>
                          <w:szCs w:val="24"/>
                        </w:rPr>
                      </w:pPr>
                      <w:r>
                        <w:rPr>
                          <w:szCs w:val="24"/>
                        </w:rPr>
                        <w:t>OPEX</w:t>
                      </w:r>
                      <w:r>
                        <w:rPr>
                          <w:szCs w:val="24"/>
                          <w:vertAlign w:val="subscript"/>
                        </w:rPr>
                        <w:t xml:space="preserve">faktinis,i </w:t>
                      </w:r>
                      <w:r>
                        <w:rPr>
                          <w:szCs w:val="24"/>
                        </w:rPr>
                        <w:t>– faktinė OPEX apimtis per pirmus dvejus reguliavimo periodo metus ir (arba) per visą reguliavimo periodą, priskirtina i-tajai paslaugai, EUR.</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27 p."/>
                    <w:tag w:val="part_b667d58df9c441058ab2270a0def4231"/>
                    <w:lock w:val="sdtLocked"/>
                    <w:richText/>
                  </w:sdtPr>
                  <w:sdtContent>
                    <w:p>
                      <w:pPr>
                        <w:tabs>
                          <w:tab w:val="left" w:pos="993"/>
                          <w:tab w:val="left" w:pos="9214"/>
                        </w:tabs>
                        <w:ind w:firstLine="709"/>
                        <w:jc w:val="both"/>
                        <w:rPr>
                          <w:szCs w:val="24"/>
                        </w:rPr>
                      </w:pPr>
                      <w:sdt>
                        <w:sdtPr>
                          <w:alias w:val="Numeris"/>
                          <w:tag w:val="nr_b667d58df9c441058ab2270a0def4231"/>
                          <w:lock w:val="sdtLocked"/>
                          <w:richText/>
                        </w:sdtPr>
                        <w:sdtContent>
                          <w:r>
                            <w:rPr>
                              <w:szCs w:val="24"/>
                            </w:rPr>
                            <w:t>27</w:t>
                          </w:r>
                        </w:sdtContent>
                      </w:sdt>
                      <w:r>
                        <w:rPr>
                          <w:szCs w:val="24"/>
                        </w:rPr>
                        <w:t>. Jei dėl Įmonės veiklos efektyvumo, t. y. dėl OPEX suefektyvinimo priėmus verslo sprendimus dėl Įmonės reorganizacijos ir kitus sprendimus, kurie tiesiogiai nesusiję su Įmonės vykdoma reguliuojama veikla, reguliuojamos veiklos pirmų dvejų reguliavimo periodo metų, o vėliau – pasibaigus reguliavimo periodui investicijų grąža, įvertinus taikytinų koregavimo koeficientų įtaką viršija Komisijos nustatytą atitinkamos veiklos investicijų grąžą šios veiklos atitinkamų metų leistina investicijų grąža didinama 50 proc. investicijų grąžos ribą dėl veiklos efektyvumo, kurį Įmonė įrodė Komisijai, viršijančia suma, apskaičiuojama pagal formulę:</w:t>
                      </w:r>
                    </w:p>
                    <w:p>
                      <w:pPr>
                        <w:tabs>
                          <w:tab w:val="left" w:pos="993"/>
                          <w:tab w:val="left" w:pos="9214"/>
                        </w:tabs>
                        <w:ind w:firstLine="709"/>
                        <w:jc w:val="both"/>
                        <w:rPr>
                          <w:szCs w:val="24"/>
                        </w:rPr>
                      </w:pPr>
                    </w:p>
                    <w:p>
                      <w:pPr>
                        <w:tabs>
                          <w:tab w:val="left" w:pos="993"/>
                          <w:tab w:val="left" w:pos="9214"/>
                        </w:tabs>
                        <w:ind w:firstLine="709"/>
                        <w:jc w:val="both"/>
                        <w:rPr>
                          <w:szCs w:val="24"/>
                        </w:rPr>
                      </w:pPr>
                      <w:r>
                        <w:rPr>
                          <w:szCs w:val="24"/>
                        </w:rPr>
                        <w:t>G</w:t>
                      </w:r>
                      <w:r>
                        <w:rPr>
                          <w:szCs w:val="24"/>
                          <w:vertAlign w:val="subscript"/>
                        </w:rPr>
                        <w:t xml:space="preserve">2,i </w:t>
                      </w:r>
                      <w:r>
                        <w:rPr>
                          <w:szCs w:val="24"/>
                        </w:rPr>
                        <w:t>= (</w:t>
                      </w:r>
                      <w:r>
                        <w:rPr>
                          <w:i/>
                          <w:iCs/>
                          <w:szCs w:val="24"/>
                        </w:rPr>
                        <w:t>OPEX</w:t>
                      </w:r>
                      <w:r>
                        <w:rPr>
                          <w:i/>
                          <w:iCs/>
                          <w:szCs w:val="24"/>
                          <w:vertAlign w:val="subscript"/>
                        </w:rPr>
                        <w:t xml:space="preserve">nustatytas,i </w:t>
                      </w:r>
                      <w:r>
                        <w:rPr>
                          <w:i/>
                          <w:iCs/>
                          <w:szCs w:val="24"/>
                        </w:rPr>
                        <w:t>– OPEX</w:t>
                      </w:r>
                      <w:r>
                        <w:rPr>
                          <w:i/>
                          <w:iCs/>
                          <w:szCs w:val="24"/>
                          <w:vertAlign w:val="subscript"/>
                        </w:rPr>
                        <w:t xml:space="preserve">faktinis,i </w:t>
                      </w:r>
                      <w:r>
                        <w:rPr>
                          <w:i/>
                          <w:iCs/>
                          <w:szCs w:val="24"/>
                        </w:rPr>
                        <w:t>)/2</w:t>
                        <w:tab/>
                      </w:r>
                      <w:r>
                        <w:rPr>
                          <w:szCs w:val="24"/>
                        </w:rPr>
                        <w:t>(12)</w:t>
                      </w:r>
                    </w:p>
                    <w:p>
                      <w:pPr>
                        <w:tabs>
                          <w:tab w:val="left" w:pos="993"/>
                        </w:tabs>
                        <w:jc w:val="both"/>
                        <w:rPr>
                          <w:i/>
                          <w:iCs/>
                          <w:szCs w:val="24"/>
                        </w:rPr>
                      </w:pPr>
                    </w:p>
                    <w:p>
                      <w:pPr>
                        <w:tabs>
                          <w:tab w:val="left" w:pos="993"/>
                        </w:tabs>
                        <w:jc w:val="both"/>
                        <w:rPr>
                          <w:i/>
                          <w:iCs/>
                          <w:szCs w:val="24"/>
                        </w:rPr>
                      </w:pPr>
                      <w:r>
                        <w:rPr>
                          <w:i/>
                          <w:iCs/>
                          <w:szCs w:val="24"/>
                        </w:rPr>
                        <w:t>čia:</w:t>
                      </w:r>
                    </w:p>
                    <w:p>
                      <w:pPr>
                        <w:tabs>
                          <w:tab w:val="left" w:pos="993"/>
                        </w:tabs>
                        <w:jc w:val="both"/>
                        <w:rPr>
                          <w:szCs w:val="24"/>
                        </w:rPr>
                      </w:pPr>
                      <w:r>
                        <w:rPr>
                          <w:szCs w:val="24"/>
                        </w:rPr>
                        <w:t>G</w:t>
                      </w:r>
                      <w:r>
                        <w:rPr>
                          <w:szCs w:val="24"/>
                          <w:vertAlign w:val="subscript"/>
                        </w:rPr>
                        <w:t xml:space="preserve">2,i </w:t>
                      </w:r>
                      <w:r>
                        <w:rPr>
                          <w:szCs w:val="24"/>
                        </w:rPr>
                        <w:t xml:space="preserve">– suma, kuria didinama leistina investicijų grąža  i-tajai paslaugai, EUR;</w:t>
                      </w:r>
                    </w:p>
                    <w:p>
                      <w:pPr>
                        <w:tabs>
                          <w:tab w:val="left" w:pos="993"/>
                        </w:tabs>
                        <w:jc w:val="both"/>
                        <w:rPr>
                          <w:szCs w:val="24"/>
                        </w:rPr>
                      </w:pPr>
                      <w:r>
                        <w:rPr>
                          <w:szCs w:val="24"/>
                        </w:rPr>
                        <w:t>OPEX</w:t>
                      </w:r>
                      <w:r>
                        <w:rPr>
                          <w:szCs w:val="24"/>
                          <w:vertAlign w:val="subscript"/>
                        </w:rPr>
                        <w:t xml:space="preserve">nustatytas,i </w:t>
                      </w:r>
                      <w:r>
                        <w:rPr>
                          <w:szCs w:val="24"/>
                        </w:rPr>
                        <w:t>– nustatyta OPEX apimtis per pirmus dvejus reguliavimo periodo metus ir (arba) per visą reguliavimo periodą, priskirtina i-tajai paslaugai, EUR;</w:t>
                      </w:r>
                    </w:p>
                    <w:p>
                      <w:pPr>
                        <w:tabs>
                          <w:tab w:val="left" w:pos="993"/>
                        </w:tabs>
                        <w:jc w:val="both"/>
                        <w:rPr>
                          <w:szCs w:val="24"/>
                        </w:rPr>
                      </w:pPr>
                      <w:r>
                        <w:rPr>
                          <w:szCs w:val="24"/>
                        </w:rPr>
                        <w:t>OPEX</w:t>
                      </w:r>
                      <w:r>
                        <w:rPr>
                          <w:szCs w:val="24"/>
                          <w:vertAlign w:val="subscript"/>
                        </w:rPr>
                        <w:t xml:space="preserve">faktinis,i </w:t>
                      </w:r>
                      <w:r>
                        <w:rPr>
                          <w:szCs w:val="24"/>
                        </w:rPr>
                        <w:t>– faktinė OPEX apimtis per pirmus dvejus reguliavimo periodo metus ir (arba) per visą reguliavimo periodą, priskirtina i-tajai paslaugai, EUR.</w:t>
                      </w:r>
                    </w:p>
                    <w:p>
                      <w:pPr>
                        <w:tabs>
                          <w:tab w:val="left" w:pos="993"/>
                        </w:tabs>
                        <w:jc w:val="both"/>
                      </w:pPr>
                      <w:r>
                        <w:rPr>
                          <w:szCs w:val="24"/>
                        </w:rPr>
                        <w:t>Kitiems metams ir (arba) nustatant kainų viršutines ribas kito reguliavimo periodo antriesiems metams, leistinų pajamų riba i-tajai paslaugai mažinama 50 proc. investicijų grąžos ribą dėl veiklos efektyvumo viršijančia suma.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27-1 p."/>
                    <w:tag w:val="part_25fe8608b0a04c95aba96df8e8e0fcca"/>
                    <w:lock w:val="sdtLocked"/>
                    <w:richText/>
                  </w:sdtPr>
                  <w:sdtContent>
                    <w:p>
                      <w:pPr>
                        <w:tabs>
                          <w:tab w:val="left" w:pos="993"/>
                        </w:tabs>
                        <w:ind w:firstLine="709"/>
                        <w:jc w:val="both"/>
                      </w:pPr>
                      <w:sdt>
                        <w:sdtPr>
                          <w:alias w:val="Numeris"/>
                          <w:tag w:val="nr_25fe8608b0a04c95aba96df8e8e0fcca"/>
                          <w:lock w:val="sdtLocked"/>
                          <w:richText/>
                        </w:sdtPr>
                        <w:sdtContent>
                          <w:r>
                            <w:rPr>
                              <w:szCs w:val="24"/>
                            </w:rPr>
                            <w:t>27</w:t>
                          </w:r>
                          <w:r>
                            <w:rPr>
                              <w:szCs w:val="24"/>
                              <w:vertAlign w:val="superscript"/>
                            </w:rPr>
                            <w:t>1</w:t>
                          </w:r>
                        </w:sdtContent>
                      </w:sdt>
                      <w:r>
                        <w:rPr>
                          <w:szCs w:val="24"/>
                        </w:rPr>
                        <w:t>. OPEX taikomas skatinamasis mechanizmas, t. y. OPEX per reguliavimo periodą ir naujajam reguliavimo periodui nėra didinamas ar mažinamas kitais nei Metodikoje įtvirtintais atvejais.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27-2 p."/>
                    <w:tag w:val="part_a6146b2bef5b45d897e734b78540f84c"/>
                    <w:lock w:val="sdtLocked"/>
                    <w:richText/>
                  </w:sdtPr>
                  <w:sdtContent>
                    <w:p>
                      <w:pPr>
                        <w:tabs>
                          <w:tab w:val="left" w:pos="1134"/>
                        </w:tabs>
                        <w:ind w:firstLine="709"/>
                        <w:jc w:val="both"/>
                        <w:rPr>
                          <w:szCs w:val="24"/>
                        </w:rPr>
                      </w:pPr>
                      <w:sdt>
                        <w:sdtPr>
                          <w:alias w:val="Numeris"/>
                          <w:tag w:val="nr_a6146b2bef5b45d897e734b78540f84c"/>
                          <w:lock w:val="sdtLocked"/>
                          <w:richText/>
                        </w:sdtPr>
                        <w:sdtContent>
                          <w:r>
                            <w:rPr>
                              <w:szCs w:val="24"/>
                            </w:rPr>
                            <w:t>27</w:t>
                          </w:r>
                          <w:r>
                            <w:rPr>
                              <w:szCs w:val="24"/>
                              <w:vertAlign w:val="superscript"/>
                            </w:rPr>
                            <w:t>2</w:t>
                          </w:r>
                        </w:sdtContent>
                      </w:sdt>
                      <w:r>
                        <w:rPr>
                          <w:szCs w:val="24"/>
                        </w:rPr>
                        <w:t>. Įmonių veiklos efektyvinimu nėra laikoma:</w:t>
                      </w:r>
                    </w:p>
                    <w:sdt>
                      <w:sdtPr>
                        <w:alias w:val="27-2.1 p."/>
                        <w:tag w:val="part_1fd6ca38bf344def80869b11683bf7d4"/>
                        <w:lock w:val="sdtLocked"/>
                        <w:richText/>
                      </w:sdtPr>
                      <w:sdtContent>
                        <w:p>
                          <w:pPr>
                            <w:tabs>
                              <w:tab w:val="left" w:pos="1134"/>
                            </w:tabs>
                            <w:ind w:firstLine="709"/>
                            <w:jc w:val="both"/>
                            <w:rPr>
                              <w:szCs w:val="24"/>
                            </w:rPr>
                          </w:pPr>
                          <w:sdt>
                            <w:sdtPr>
                              <w:alias w:val="Numeris"/>
                              <w:tag w:val="nr_1fd6ca38bf344def80869b11683bf7d4"/>
                              <w:lock w:val="sdtLocked"/>
                              <w:richText/>
                            </w:sdtPr>
                            <w:sdtContent>
                              <w:r>
                                <w:rPr>
                                  <w:szCs w:val="24"/>
                                </w:rPr>
                                <w:t>27</w:t>
                              </w:r>
                              <w:r>
                                <w:rPr>
                                  <w:szCs w:val="24"/>
                                  <w:vertAlign w:val="superscript"/>
                                </w:rPr>
                                <w:t>2</w:t>
                              </w:r>
                              <w:r>
                                <w:rPr>
                                  <w:szCs w:val="24"/>
                                </w:rPr>
                                <w:t>.1</w:t>
                              </w:r>
                            </w:sdtContent>
                          </w:sdt>
                          <w:r>
                            <w:rPr>
                              <w:szCs w:val="24"/>
                            </w:rPr>
                            <w:t>. konkretūs sutaupymai, dėl kurių pablogėja Įmonių teikiamų paslaugų kokybė ir patikimumas;</w:t>
                          </w:r>
                        </w:p>
                      </w:sdtContent>
                    </w:sdt>
                    <w:sdt>
                      <w:sdtPr>
                        <w:alias w:val="27-2.2 p."/>
                        <w:tag w:val="part_b1203fbb6b124c869b85ab569e42500a"/>
                        <w:lock w:val="sdtLocked"/>
                        <w:richText/>
                      </w:sdtPr>
                      <w:sdtContent>
                        <w:p>
                          <w:pPr>
                            <w:tabs>
                              <w:tab w:val="left" w:pos="1134"/>
                            </w:tabs>
                            <w:ind w:firstLine="709"/>
                            <w:jc w:val="both"/>
                            <w:rPr>
                              <w:szCs w:val="24"/>
                            </w:rPr>
                          </w:pPr>
                          <w:sdt>
                            <w:sdtPr>
                              <w:alias w:val="Numeris"/>
                              <w:tag w:val="nr_b1203fbb6b124c869b85ab569e42500a"/>
                              <w:lock w:val="sdtLocked"/>
                              <w:richText/>
                            </w:sdtPr>
                            <w:sdtContent>
                              <w:r>
                                <w:rPr>
                                  <w:szCs w:val="24"/>
                                </w:rPr>
                                <w:t>27</w:t>
                              </w:r>
                              <w:r>
                                <w:rPr>
                                  <w:szCs w:val="24"/>
                                  <w:vertAlign w:val="superscript"/>
                                </w:rPr>
                                <w:t>2</w:t>
                              </w:r>
                              <w:r>
                                <w:rPr>
                                  <w:szCs w:val="24"/>
                                </w:rPr>
                                <w:t>.2</w:t>
                              </w:r>
                            </w:sdtContent>
                          </w:sdt>
                          <w:r>
                            <w:rPr>
                              <w:szCs w:val="24"/>
                            </w:rPr>
                            <w:t>. sutaupymai, sąlygoti neįgyvendintų remonto darbų, neprireikusių nusimatytų paslaugų, nepagrįstai didelių sąnaudų prognozių, išskyrus atvejus, kai dėl Įmonių priimtų konkrečių verslo sprendimų, remonto darbai ar nusimatytos paslaugos buvo įgyvendintos mažesnėmis sąnaudomis;</w:t>
                          </w:r>
                        </w:p>
                      </w:sdtContent>
                    </w:sdt>
                    <w:sdt>
                      <w:sdtPr>
                        <w:alias w:val="27-2.3 p."/>
                        <w:tag w:val="part_c8aee767536d4a06996cff45bdd6d471"/>
                        <w:lock w:val="sdtLocked"/>
                        <w:richText/>
                      </w:sdtPr>
                      <w:sdtContent>
                        <w:p>
                          <w:pPr>
                            <w:tabs>
                              <w:tab w:val="left" w:pos="1134"/>
                            </w:tabs>
                            <w:ind w:firstLine="709"/>
                            <w:jc w:val="both"/>
                          </w:pPr>
                          <w:sdt>
                            <w:sdtPr>
                              <w:alias w:val="Numeris"/>
                              <w:tag w:val="nr_c8aee767536d4a06996cff45bdd6d471"/>
                              <w:lock w:val="sdtLocked"/>
                              <w:richText/>
                            </w:sdtPr>
                            <w:sdtContent>
                              <w:r>
                                <w:rPr>
                                  <w:szCs w:val="24"/>
                                </w:rPr>
                                <w:t>27</w:t>
                              </w:r>
                              <w:r>
                                <w:rPr>
                                  <w:szCs w:val="24"/>
                                  <w:vertAlign w:val="superscript"/>
                                </w:rPr>
                                <w:t>2</w:t>
                              </w:r>
                              <w:r>
                                <w:rPr>
                                  <w:szCs w:val="24"/>
                                </w:rPr>
                                <w:t>.3</w:t>
                              </w:r>
                            </w:sdtContent>
                          </w:sdt>
                          <w:r>
                            <w:rPr>
                              <w:szCs w:val="24"/>
                            </w:rPr>
                            <w:t>. rinkos sąlygoti mažesni, nei buvo tikėtasi, viešųjų pirkimų rezultatai;</w:t>
                          </w:r>
                          <w:r>
                            <w:t xml:space="preserve"> </w:t>
                          </w:r>
                        </w:p>
                      </w:sdtContent>
                    </w:sdt>
                    <w:sdt>
                      <w:sdtPr>
                        <w:alias w:val="27-2.4 p."/>
                        <w:tag w:val="part_49cea0971b9b46428853308ee18eb7f1"/>
                        <w:lock w:val="sdtLocked"/>
                        <w:richText/>
                      </w:sdtPr>
                      <w:sdtContent>
                        <w:p>
                          <w:pPr>
                            <w:tabs>
                              <w:tab w:val="left" w:pos="758"/>
                            </w:tabs>
                            <w:ind w:firstLine="709"/>
                            <w:jc w:val="both"/>
                            <w:rPr>
                              <w:szCs w:val="24"/>
                            </w:rPr>
                          </w:pPr>
                          <w:sdt>
                            <w:sdtPr>
                              <w:alias w:val="Numeris"/>
                              <w:tag w:val="nr_49cea0971b9b46428853308ee18eb7f1"/>
                              <w:lock w:val="sdtLocked"/>
                              <w:richText/>
                            </w:sdtPr>
                            <w:sdtContent>
                              <w:r>
                                <w:rPr>
                                  <w:szCs w:val="24"/>
                                </w:rPr>
                                <w:t>27</w:t>
                              </w:r>
                              <w:r>
                                <w:rPr>
                                  <w:szCs w:val="24"/>
                                  <w:vertAlign w:val="superscript"/>
                                </w:rPr>
                                <w:t>2</w:t>
                              </w:r>
                              <w:r>
                                <w:rPr>
                                  <w:szCs w:val="24"/>
                                </w:rPr>
                                <w:t>.4</w:t>
                              </w:r>
                            </w:sdtContent>
                          </w:sdt>
                          <w:r>
                            <w:rPr>
                              <w:szCs w:val="24"/>
                            </w:rPr>
                            <w:t xml:space="preserve">. </w:t>
                          </w:r>
                          <w:r>
                            <w:rPr>
                              <w:bCs/>
                              <w:kern w:val="32"/>
                              <w:szCs w:val="24"/>
                            </w:rPr>
                            <w:t xml:space="preserve">veiklos sąnaudų sumažėjimas dėl paklausos, reagavimo į paklausą priemonių diegimo, gamybos pajėgumų plėtros, įskaitant sutaupymą dėl elektros energijos perdavimo ar skirstymo paslaugų teikimo ar investicijų į tinklus sąnaudų sumažėjimo bei optimalaus tinklo eksploatavimo.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c032f0bd5511e688d0ed775a2e782a">
                            <w:r w:rsidRPr="00532B9F">
                              <w:rPr>
                                <w:rFonts w:ascii="Times New Roman" w:eastAsia="MS Mincho" w:hAnsi="Times New Roman"/>
                                <w:sz w:val="20"/>
                                <w:i/>
                                <w:iCs/>
                                <w:color w:val="0000FF" w:themeColor="hyperlink"/>
                                <w:u w:val="single"/>
                              </w:rPr>
                              <w:t>O3-416</w:t>
                            </w:r>
                          </w:fldSimple>
                          <w:r>
                            <w:rPr>
                              <w:rFonts w:ascii="Times New Roman" w:eastAsia="MS Mincho" w:hAnsi="Times New Roman"/>
                              <w:sz w:val="20"/>
                              <w:i/>
                              <w:iCs/>
                            </w:rPr>
                            <w:t>,
2016-12-08,
paskelbta TAR 2016-12-09, i. k. 2016-28524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28 p."/>
                    <w:tag w:val="part_99420554c7894de698acb6a6486c71a9"/>
                    <w:lock w:val="sdtLocked"/>
                    <w:richText/>
                  </w:sdtPr>
                  <w:sdtContent>
                    <w:p>
                      <w:pPr>
                        <w:tabs>
                          <w:tab w:val="left" w:pos="758"/>
                        </w:tabs>
                        <w:ind w:firstLine="758"/>
                        <w:jc w:val="both"/>
                        <w:rPr>
                          <w:szCs w:val="24"/>
                        </w:rPr>
                      </w:pPr>
                      <w:sdt>
                        <w:sdtPr>
                          <w:alias w:val="Numeris"/>
                          <w:tag w:val="nr_99420554c7894de698acb6a6486c71a9"/>
                          <w:lock w:val="sdtLocked"/>
                          <w:richText/>
                        </w:sdtPr>
                        <w:sdtContent>
                          <w:r>
                            <w:rPr>
                              <w:szCs w:val="24"/>
                            </w:rPr>
                            <w:t>28</w:t>
                          </w:r>
                        </w:sdtContent>
                      </w:sdt>
                      <w:r>
                        <w:rPr>
                          <w:szCs w:val="24"/>
                        </w:rPr>
                        <w:t>. Elektros energijos skirstymo paslaugų leistina investicijų grąža po reguliuojamos veiklos pirmų dvejų reguliavimo periodo metų, o vėliau – likusio reguliavimo periodo sumažinama ar padidinama atitinkamai už kiekvieną persiuntimo patikimumo rodiklį:</w:t>
                      </w:r>
                    </w:p>
                    <w:sdt>
                      <w:sdtPr>
                        <w:alias w:val="28.1 pp."/>
                        <w:tag w:val="part_21f0506564da4056a21f60629dced752"/>
                        <w:lock w:val="sdtLocked"/>
                        <w:richText/>
                      </w:sdtPr>
                      <w:sdtContent>
                        <w:p>
                          <w:pPr>
                            <w:tabs>
                              <w:tab w:val="left" w:pos="758"/>
                            </w:tabs>
                            <w:ind w:firstLine="758"/>
                            <w:jc w:val="both"/>
                            <w:rPr>
                              <w:szCs w:val="24"/>
                            </w:rPr>
                          </w:pPr>
                          <w:sdt>
                            <w:sdtPr>
                              <w:alias w:val="Numeris"/>
                              <w:tag w:val="nr_21f0506564da4056a21f60629dced752"/>
                              <w:lock w:val="sdtLocked"/>
                              <w:richText/>
                            </w:sdtPr>
                            <w:sdtContent>
                              <w:r>
                                <w:rPr>
                                  <w:szCs w:val="24"/>
                                </w:rPr>
                                <w:t>28.1</w:t>
                              </w:r>
                            </w:sdtContent>
                          </w:sdt>
                          <w:r>
                            <w:rPr>
                              <w:szCs w:val="24"/>
                            </w:rPr>
                            <w:t>. 1 proc., jei persiuntimo patikimumo rodiklis, kuriam nustatytas minimalus lygis, pablogėjo ar pagerėjo nuo 5 iki 10 proc., palyginti su minimaliu lygiu;</w:t>
                          </w:r>
                        </w:p>
                      </w:sdtContent>
                    </w:sdt>
                    <w:sdt>
                      <w:sdtPr>
                        <w:alias w:val="28.2 pp."/>
                        <w:tag w:val="part_79f275d98fb14eabb0f0776109be814d"/>
                        <w:lock w:val="sdtLocked"/>
                        <w:richText/>
                      </w:sdtPr>
                      <w:sdtContent>
                        <w:p>
                          <w:pPr>
                            <w:tabs>
                              <w:tab w:val="left" w:pos="758"/>
                            </w:tabs>
                            <w:ind w:firstLine="758"/>
                            <w:jc w:val="both"/>
                            <w:rPr>
                              <w:szCs w:val="24"/>
                            </w:rPr>
                          </w:pPr>
                          <w:sdt>
                            <w:sdtPr>
                              <w:alias w:val="Numeris"/>
                              <w:tag w:val="nr_79f275d98fb14eabb0f0776109be814d"/>
                              <w:lock w:val="sdtLocked"/>
                              <w:richText/>
                            </w:sdtPr>
                            <w:sdtContent>
                              <w:r>
                                <w:rPr>
                                  <w:szCs w:val="24"/>
                                </w:rPr>
                                <w:t>28.2</w:t>
                              </w:r>
                            </w:sdtContent>
                          </w:sdt>
                          <w:r>
                            <w:rPr>
                              <w:szCs w:val="24"/>
                            </w:rPr>
                            <w:t>. 2 proc., jei persiuntimo patikimumo rodiklis, kuriam nustatytas minimalus lygis, pablogėjo ar pagerėjo daugiau nei 10 proc., palyginti su minimaliu lygiu.</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sdtContent>
                </w:sdt>
                <w:sdt>
                  <w:sdtPr>
                    <w:alias w:val="29 p."/>
                    <w:tag w:val="part_501616ec8ff648b0a6b3fd3abebe7ed1"/>
                    <w:lock w:val="sdtLocked"/>
                    <w:richText/>
                  </w:sdtPr>
                  <w:sdtContent>
                    <w:p>
                      <w:pPr>
                        <w:tabs>
                          <w:tab w:val="left" w:pos="1134"/>
                        </w:tabs>
                        <w:ind w:firstLine="709"/>
                        <w:jc w:val="both"/>
                        <w:rPr>
                          <w:szCs w:val="24"/>
                        </w:rPr>
                      </w:pPr>
                      <w:sdt>
                        <w:sdtPr>
                          <w:alias w:val="Numeris"/>
                          <w:tag w:val="nr_501616ec8ff648b0a6b3fd3abebe7ed1"/>
                          <w:lock w:val="sdtLocked"/>
                          <w:richText/>
                        </w:sdtPr>
                        <w:sdtContent>
                          <w:r>
                            <w:rPr>
                              <w:szCs w:val="24"/>
                            </w:rPr>
                            <w:t>29</w:t>
                          </w:r>
                        </w:sdtContent>
                      </w:sdt>
                      <w:r>
                        <w:rPr>
                          <w:szCs w:val="24"/>
                        </w:rPr>
                        <w:t>. Apskaičiuojant protingumo kriterijų atitinkančios investicijų grąžos viršijimo dydį, palyginti su nustatyta investicijų grąža, įvertinus taikytinų koregavimo koeficientų įtaką, skaičiuojamą po reguliuojamos veiklos pirmų dviejų reguliavimo periodo metų, o vėliau viso reguliavimo periodo, kuriuo mažinamas reguliuojamos veiklos leistinas pajamų lygis ateinantiems metams, įvertinama:</w:t>
                      </w:r>
                    </w:p>
                    <w:sdt>
                      <w:sdtPr>
                        <w:alias w:val="29.1 p."/>
                        <w:tag w:val="part_7573e1685f714ba3832c2208139ee8d4"/>
                        <w:lock w:val="sdtLocked"/>
                        <w:richText/>
                      </w:sdtPr>
                      <w:sdtContent>
                        <w:p>
                          <w:pPr>
                            <w:tabs>
                              <w:tab w:val="left" w:pos="1276"/>
                            </w:tabs>
                            <w:ind w:firstLine="709"/>
                            <w:jc w:val="both"/>
                            <w:rPr>
                              <w:szCs w:val="24"/>
                            </w:rPr>
                          </w:pPr>
                          <w:sdt>
                            <w:sdtPr>
                              <w:alias w:val="Numeris"/>
                              <w:tag w:val="nr_7573e1685f714ba3832c2208139ee8d4"/>
                              <w:lock w:val="sdtLocked"/>
                              <w:richText/>
                            </w:sdtPr>
                            <w:sdtContent>
                              <w:r>
                                <w:rPr>
                                  <w:szCs w:val="24"/>
                                </w:rPr>
                                <w:t>29.1</w:t>
                              </w:r>
                            </w:sdtContent>
                          </w:sdt>
                          <w:r>
                            <w:rPr>
                              <w:szCs w:val="24"/>
                            </w:rPr>
                            <w:t>. Įmonės uždirbta faktinė grąža iš reguliuojamos veiklos;</w:t>
                          </w:r>
                        </w:p>
                      </w:sdtContent>
                    </w:sdt>
                    <w:sdt>
                      <w:sdtPr>
                        <w:alias w:val="29.2 p."/>
                        <w:tag w:val="part_78c7536139d044619386796ccc66f4ab"/>
                        <w:lock w:val="sdtLocked"/>
                        <w:richText/>
                      </w:sdtPr>
                      <w:sdtContent>
                        <w:p>
                          <w:pPr>
                            <w:tabs>
                              <w:tab w:val="left" w:pos="1276"/>
                            </w:tabs>
                            <w:ind w:firstLine="709"/>
                            <w:jc w:val="both"/>
                            <w:rPr>
                              <w:szCs w:val="24"/>
                            </w:rPr>
                          </w:pPr>
                          <w:sdt>
                            <w:sdtPr>
                              <w:alias w:val="Numeris"/>
                              <w:tag w:val="nr_78c7536139d044619386796ccc66f4ab"/>
                              <w:lock w:val="sdtLocked"/>
                              <w:richText/>
                            </w:sdtPr>
                            <w:sdtContent>
                              <w:r>
                                <w:rPr>
                                  <w:szCs w:val="24"/>
                                </w:rPr>
                                <w:t>29.2</w:t>
                              </w:r>
                            </w:sdtContent>
                          </w:sdt>
                          <w:r>
                            <w:rPr>
                              <w:szCs w:val="24"/>
                            </w:rPr>
                            <w:t>. Įmonės gautos papildomos pajamos, susijusios su reguliuojamų paslaugų ir (ar) produktų teikimu, kuriems teikti naudojami ar nenaudojami reguliuojamos veiklos ištekliai;</w:t>
                          </w:r>
                          <w:r>
                            <w:t xml:space="preserve">     </w:t>
                          </w:r>
                        </w:p>
                      </w:sdtContent>
                    </w:sdt>
                    <w:sdt>
                      <w:sdtPr>
                        <w:alias w:val="29.3 p."/>
                        <w:tag w:val="part_0760e5266d6e45e4a06064e53bc452e7"/>
                        <w:lock w:val="sdtLocked"/>
                        <w:richText/>
                      </w:sdtPr>
                      <w:sdtContent>
                        <w:p>
                          <w:pPr>
                            <w:tabs>
                              <w:tab w:val="left" w:pos="1260"/>
                            </w:tabs>
                            <w:ind w:firstLine="709"/>
                            <w:jc w:val="both"/>
                            <w:rPr>
                              <w:szCs w:val="24"/>
                            </w:rPr>
                          </w:pPr>
                          <w:sdt>
                            <w:sdtPr>
                              <w:alias w:val="Numeris"/>
                              <w:tag w:val="nr_0760e5266d6e45e4a06064e53bc452e7"/>
                              <w:lock w:val="sdtLocked"/>
                              <w:richText/>
                            </w:sdtPr>
                            <w:sdtContent>
                              <w:r>
                                <w:rPr>
                                  <w:szCs w:val="24"/>
                                </w:rPr>
                                <w:t>29.3</w:t>
                              </w:r>
                            </w:sdtContent>
                          </w:sdt>
                          <w:r>
                            <w:rPr>
                              <w:szCs w:val="24"/>
                            </w:rPr>
                            <w:t>. kaštų, kuriems Komisija nustatė atitinkamus normatyvus Metodikos 20–23 punktuose nurodytoms sąnaudų grupėms, viršijimo suma, kuri apskaičiuojama Metodikos nustatyta tvarka;</w:t>
                          </w:r>
                        </w:p>
                      </w:sdtContent>
                    </w:sdt>
                    <w:sdt>
                      <w:sdtPr>
                        <w:alias w:val="29.4 p."/>
                        <w:tag w:val="part_388502e347c94c2dbe5652b49d21d890"/>
                        <w:lock w:val="sdtLocked"/>
                        <w:richText/>
                      </w:sdtPr>
                      <w:sdtContent>
                        <w:p>
                          <w:pPr>
                            <w:tabs>
                              <w:tab w:val="left" w:pos="1260"/>
                            </w:tabs>
                            <w:ind w:firstLine="709"/>
                            <w:jc w:val="both"/>
                            <w:rPr>
                              <w:szCs w:val="24"/>
                            </w:rPr>
                          </w:pPr>
                          <w:sdt>
                            <w:sdtPr>
                              <w:alias w:val="Numeris"/>
                              <w:tag w:val="nr_388502e347c94c2dbe5652b49d21d890"/>
                              <w:lock w:val="sdtLocked"/>
                              <w:richText/>
                            </w:sdtPr>
                            <w:sdtContent>
                              <w:r>
                                <w:rPr>
                                  <w:szCs w:val="24"/>
                                </w:rPr>
                                <w:t>29.4</w:t>
                              </w:r>
                            </w:sdtContent>
                          </w:sdt>
                          <w:r>
                            <w:rPr>
                              <w:szCs w:val="24"/>
                            </w:rPr>
                            <w:t>. Įmonėms nukrypus nuo Komisijos nustatytų rodiklių, lemiančių jų veiklos efektyvumą;</w:t>
                          </w:r>
                        </w:p>
                      </w:sdtContent>
                    </w:sdt>
                    <w:sdt>
                      <w:sdtPr>
                        <w:alias w:val="29.5 p."/>
                        <w:tag w:val="part_a7e2f6bd121b402bb88a80255f3dc008"/>
                        <w:lock w:val="sdtLocked"/>
                        <w:richText/>
                      </w:sdtPr>
                      <w:sdtContent>
                        <w:p>
                          <w:pPr>
                            <w:ind w:firstLine="720"/>
                            <w:jc w:val="both"/>
                          </w:pPr>
                          <w:sdt>
                            <w:sdtPr>
                              <w:alias w:val="Numeris"/>
                              <w:tag w:val="nr_a7e2f6bd121b402bb88a80255f3dc008"/>
                              <w:lock w:val="sdtLocked"/>
                              <w:richText/>
                            </w:sdtPr>
                            <w:sdtContent>
                              <w:r>
                                <w:rPr>
                                  <w:szCs w:val="24"/>
                                </w:rPr>
                                <w:t>29.5</w:t>
                              </w:r>
                            </w:sdtContent>
                          </w:sdt>
                          <w:r>
                            <w:rPr>
                              <w:szCs w:val="24"/>
                            </w:rPr>
                            <w:t>. praėjusių laikotarpių investicijų grąžos korekcijos, nustatytos Komisijos sprendimu.</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sdtContent>
                    </w:sdt>
                  </w:sdtContent>
                </w:sdt>
                <w:sdt>
                  <w:sdtPr>
                    <w:alias w:val="29-1 p."/>
                    <w:tag w:val="part_d21d3aa4d9564f358eb7074c1b4aa5eb"/>
                    <w:lock w:val="sdtLocked"/>
                    <w:richText/>
                  </w:sdtPr>
                  <w:sdtContent>
                    <w:p>
                      <w:pPr>
                        <w:tabs>
                          <w:tab w:val="left" w:pos="709"/>
                        </w:tabs>
                        <w:ind w:firstLine="709"/>
                        <w:jc w:val="both"/>
                        <w:rPr>
                          <w:szCs w:val="24"/>
                        </w:rPr>
                      </w:pPr>
                      <w:sdt>
                        <w:sdtPr>
                          <w:alias w:val="Numeris"/>
                          <w:tag w:val="nr_d21d3aa4d9564f358eb7074c1b4aa5eb"/>
                          <w:lock w:val="sdtLocked"/>
                          <w:richText/>
                        </w:sdtPr>
                        <w:sdtContent>
                          <w:r>
                            <w:rPr>
                              <w:szCs w:val="24"/>
                            </w:rPr>
                            <w:t>29</w:t>
                          </w:r>
                          <w:r>
                            <w:rPr>
                              <w:szCs w:val="24"/>
                              <w:vertAlign w:val="superscript"/>
                            </w:rPr>
                            <w:t>1</w:t>
                          </w:r>
                        </w:sdtContent>
                      </w:sdt>
                      <w:r>
                        <w:rPr>
                          <w:szCs w:val="24"/>
                        </w:rPr>
                        <w:t>. Kai Metodikos 29 punkte numatyta tvarka apskaičiuotos investicijų grąžos, viršijančios Komisijos nustatytą dydį, grąžinimas išdėstomas per ilgesnį nei vienerių metų laikotarpį, įvertinama pinigų kaina. Pinigų kainos nustatymui taikomas Lietuvos banko pinigų finansų įstaigų paskolų euro zonos ne finansų bendrovėms likučių palūkanų normos svertinis vidurkis už paskutinius paskelbtus 12 mėnesių iki Metodikos 115 punkte nurodyto termino.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sdtContent>
                </w:sdt>
                <w:sdt>
                  <w:sdtPr>
                    <w:alias w:val="30 p."/>
                    <w:tag w:val="part_316fadfe7e37471897191408932849b0"/>
                    <w:lock w:val="sdtLocked"/>
                    <w:richText/>
                  </w:sdtPr>
                  <w:sdtContent>
                    <w:p>
                      <w:pPr>
                        <w:tabs>
                          <w:tab w:val="left" w:pos="1080"/>
                        </w:tabs>
                        <w:ind w:firstLine="709"/>
                        <w:jc w:val="both"/>
                        <w:rPr>
                          <w:szCs w:val="24"/>
                        </w:rPr>
                      </w:pPr>
                      <w:sdt>
                        <w:sdtPr>
                          <w:alias w:val="Numeris"/>
                          <w:tag w:val="nr_316fadfe7e37471897191408932849b0"/>
                          <w:lock w:val="sdtLocked"/>
                          <w:richText/>
                        </w:sdtPr>
                        <w:sdtContent>
                          <w:r>
                            <w:t>30</w:t>
                          </w:r>
                        </w:sdtContent>
                      </w:sdt>
                      <w:r>
                        <w:rPr>
                          <w:szCs w:val="24"/>
                        </w:rPr>
                        <w:t>. Komisija, atlikdama teigiamos investicijų grąžos neatitikties ribos koregavimą, atsižvelgia į prognozuojamus Įmonės pelningumo rodiklius iki reguliavimo periodo pabaigos. Jeigu vėlesniais reguliavimo periodo metais Įmonės pelningumo rodikliai, įvertinus Įmonei nustatytus efektyvumo rodiklius, yra žemesni nei Komisijos prognozuota, skirtumas tarp prognozuotos ir faktinės investicijų grąžos įvertinamas nustatant ir (arba) koreguojant artimiausių metų kainų viršutines ribas. Veiklos efektyvumui įvertinti Komisijai Įmonė turi pateikti nurodytų konkrečių kaštų grupių, kurios darė įtaką Įmonės pelningumui, efektyvumo skaičiavimus. Metų, kuriais koreguojama teigiama investicijų grąžos neatitiktis, efektyvumas įvertinamas, atsižvelgiant į Įmonės jau pasiektus efektyvumo rodiklius.</w:t>
                      </w:r>
                    </w:p>
                  </w:sdtContent>
                </w:sdt>
                <w:sdt>
                  <w:sdtPr>
                    <w:alias w:val="31 p."/>
                    <w:tag w:val="part_080cddc376fe4078a0c8c376dd1d5e67"/>
                    <w:lock w:val="sdtLocked"/>
                    <w:richText/>
                  </w:sdtPr>
                  <w:sdtContent>
                    <w:p>
                      <w:pPr>
                        <w:tabs>
                          <w:tab w:val="left" w:pos="1134"/>
                        </w:tabs>
                        <w:ind w:firstLine="709"/>
                        <w:jc w:val="both"/>
                        <w:rPr>
                          <w:szCs w:val="24"/>
                        </w:rPr>
                      </w:pPr>
                      <w:sdt>
                        <w:sdtPr>
                          <w:alias w:val="Numeris"/>
                          <w:tag w:val="nr_080cddc376fe4078a0c8c376dd1d5e67"/>
                          <w:lock w:val="sdtLocked"/>
                          <w:richText/>
                        </w:sdtPr>
                        <w:sdtContent>
                          <w:r>
                            <w:rPr>
                              <w:szCs w:val="24"/>
                            </w:rPr>
                            <w:t>31</w:t>
                          </w:r>
                        </w:sdtContent>
                      </w:sdt>
                      <w:r>
                        <w:rPr>
                          <w:szCs w:val="24"/>
                        </w:rPr>
                        <w:t>. Reguliuojamos paslaugos parduotos ar paskirstytos elektros energijos metinis kiekis reguliuojamų kainų galiojimo laikotarpiu nustatomas atsižvelgiant į realizuotiną paslaugos kiekį per vienerius reguliavimo periodo metus, įvertinus:</w:t>
                      </w:r>
                    </w:p>
                    <w:sdt>
                      <w:sdtPr>
                        <w:alias w:val="31.1 p."/>
                        <w:tag w:val="part_13d942d6a36045de8b0a4003a1c32298"/>
                        <w:lock w:val="sdtLocked"/>
                        <w:richText/>
                      </w:sdtPr>
                      <w:sdtContent>
                        <w:p>
                          <w:pPr>
                            <w:tabs>
                              <w:tab w:val="left" w:pos="1276"/>
                            </w:tabs>
                            <w:ind w:firstLine="709"/>
                            <w:jc w:val="both"/>
                            <w:rPr>
                              <w:szCs w:val="24"/>
                            </w:rPr>
                          </w:pPr>
                          <w:sdt>
                            <w:sdtPr>
                              <w:alias w:val="Numeris"/>
                              <w:tag w:val="nr_13d942d6a36045de8b0a4003a1c32298"/>
                              <w:lock w:val="sdtLocked"/>
                              <w:richText/>
                            </w:sdtPr>
                            <w:sdtContent>
                              <w:r>
                                <w:rPr>
                                  <w:szCs w:val="24"/>
                                </w:rPr>
                                <w:t>31.1</w:t>
                              </w:r>
                            </w:sdtContent>
                          </w:sdt>
                          <w:r>
                            <w:rPr>
                              <w:szCs w:val="24"/>
                            </w:rPr>
                            <w:t xml:space="preserve">. metais </w:t>
                          </w:r>
                          <w:r>
                            <w:rPr>
                              <w:i/>
                              <w:szCs w:val="24"/>
                            </w:rPr>
                            <w:t>t-1</w:t>
                          </w:r>
                          <w:r>
                            <w:rPr>
                              <w:szCs w:val="24"/>
                            </w:rPr>
                            <w:t xml:space="preserve"> šie kiekiai skaičiuojami kaip suma faktinio kiekio už pirmus 6 kalendorinių metų mėnesius ir prognozuojamo kiekio už paskutinius 6 kalendorinių metų mėnesius, mėnesinį elektros energijos kiekį nustatant kaip praėjusių kalendorinių metų 6 paskutinių mėnesių kiekį, padaugintą iš faktinio </w:t>
                          </w:r>
                          <w:r>
                            <w:rPr>
                              <w:i/>
                              <w:szCs w:val="24"/>
                            </w:rPr>
                            <w:t>t-1</w:t>
                          </w:r>
                          <w:r>
                            <w:rPr>
                              <w:szCs w:val="24"/>
                            </w:rPr>
                            <w:t xml:space="preserve"> ir </w:t>
                          </w:r>
                          <w:r>
                            <w:rPr>
                              <w:i/>
                              <w:szCs w:val="24"/>
                            </w:rPr>
                            <w:t>t-2</w:t>
                          </w:r>
                          <w:r>
                            <w:rPr>
                              <w:szCs w:val="24"/>
                            </w:rPr>
                            <w:t xml:space="preserve"> pirmo pusmečio kiekio santykio;</w:t>
                          </w:r>
                        </w:p>
                      </w:sdtContent>
                    </w:sdt>
                    <w:sdt>
                      <w:sdtPr>
                        <w:alias w:val="31.2 p."/>
                        <w:tag w:val="part_e614cef3de1d45098f157e309e3aa0b2"/>
                        <w:lock w:val="sdtLocked"/>
                        <w:richText/>
                      </w:sdtPr>
                      <w:sdtContent>
                        <w:p>
                          <w:pPr>
                            <w:tabs>
                              <w:tab w:val="left" w:pos="1276"/>
                            </w:tabs>
                            <w:ind w:firstLine="709"/>
                            <w:jc w:val="both"/>
                            <w:rPr>
                              <w:szCs w:val="24"/>
                            </w:rPr>
                          </w:pPr>
                          <w:sdt>
                            <w:sdtPr>
                              <w:alias w:val="Numeris"/>
                              <w:tag w:val="nr_e614cef3de1d45098f157e309e3aa0b2"/>
                              <w:lock w:val="sdtLocked"/>
                              <w:richText/>
                            </w:sdtPr>
                            <w:sdtContent>
                              <w:r>
                                <w:rPr>
                                  <w:szCs w:val="24"/>
                                </w:rPr>
                                <w:t>31.2</w:t>
                              </w:r>
                            </w:sdtContent>
                          </w:sdt>
                          <w:r>
                            <w:rPr>
                              <w:szCs w:val="24"/>
                            </w:rPr>
                            <w:t xml:space="preserve">. metais </w:t>
                          </w:r>
                          <w:r>
                            <w:rPr>
                              <w:i/>
                              <w:szCs w:val="24"/>
                            </w:rPr>
                            <w:t xml:space="preserve">t </w:t>
                          </w:r>
                          <w:r>
                            <w:rPr>
                              <w:szCs w:val="24"/>
                            </w:rPr>
                            <w:t xml:space="preserve">– metų </w:t>
                          </w:r>
                          <w:r>
                            <w:rPr>
                              <w:i/>
                              <w:szCs w:val="24"/>
                            </w:rPr>
                            <w:t>t-1</w:t>
                          </w:r>
                          <w:r>
                            <w:rPr>
                              <w:szCs w:val="24"/>
                            </w:rPr>
                            <w:t xml:space="preserve"> duomenys padidinti </w:t>
                          </w:r>
                          <w:r>
                            <w:rPr>
                              <w:i/>
                              <w:szCs w:val="24"/>
                            </w:rPr>
                            <w:t>t</w:t>
                          </w:r>
                          <w:r>
                            <w:rPr>
                              <w:szCs w:val="24"/>
                            </w:rPr>
                            <w:t xml:space="preserve"> metų puse bendro vidaus produkto pokyčio pagal Finansų ministerijos arba Lietuvos banko pateiktas naujausias prognozes;</w:t>
                          </w:r>
                        </w:p>
                      </w:sdtContent>
                    </w:sdt>
                    <w:sdt>
                      <w:sdtPr>
                        <w:alias w:val="31.3 p."/>
                        <w:tag w:val="part_2d6f220a11bc4a1b9122013ae1b44217"/>
                        <w:lock w:val="sdtLocked"/>
                        <w:richText/>
                      </w:sdtPr>
                      <w:sdtContent>
                        <w:p>
                          <w:pPr>
                            <w:tabs>
                              <w:tab w:val="left" w:pos="1276"/>
                            </w:tabs>
                            <w:ind w:firstLine="709"/>
                            <w:jc w:val="both"/>
                            <w:rPr>
                              <w:szCs w:val="24"/>
                            </w:rPr>
                          </w:pPr>
                          <w:sdt>
                            <w:sdtPr>
                              <w:alias w:val="Numeris"/>
                              <w:tag w:val="nr_2d6f220a11bc4a1b9122013ae1b44217"/>
                              <w:lock w:val="sdtLocked"/>
                              <w:richText/>
                            </w:sdtPr>
                            <w:sdtContent>
                              <w:r>
                                <w:rPr>
                                  <w:szCs w:val="24"/>
                                </w:rPr>
                                <w:t>31.3</w:t>
                              </w:r>
                            </w:sdtContent>
                          </w:sdt>
                          <w:r>
                            <w:rPr>
                              <w:szCs w:val="24"/>
                            </w:rPr>
                            <w:t>. priežasčių, kurias Įmonė nurodė kaip lemiančias realizuoto kiekio faktinių ir būsimų apimties pokyčių, pagrįstumą;</w:t>
                          </w:r>
                        </w:p>
                      </w:sdtContent>
                    </w:sdt>
                    <w:sdt>
                      <w:sdtPr>
                        <w:alias w:val="31.4 p."/>
                        <w:tag w:val="part_df5518129592483d9d40246fa9f7bf45"/>
                        <w:lock w:val="sdtLocked"/>
                        <w:richText/>
                      </w:sdtPr>
                      <w:sdtContent>
                        <w:p>
                          <w:pPr>
                            <w:tabs>
                              <w:tab w:val="left" w:pos="1276"/>
                            </w:tabs>
                            <w:ind w:firstLine="709"/>
                            <w:jc w:val="both"/>
                          </w:pPr>
                          <w:sdt>
                            <w:sdtPr>
                              <w:alias w:val="Numeris"/>
                              <w:tag w:val="nr_df5518129592483d9d40246fa9f7bf45"/>
                              <w:lock w:val="sdtLocked"/>
                              <w:richText/>
                            </w:sdtPr>
                            <w:sdtContent>
                              <w:r>
                                <w:rPr>
                                  <w:szCs w:val="24"/>
                                </w:rPr>
                                <w:t>31.4</w:t>
                              </w:r>
                            </w:sdtContent>
                          </w:sdt>
                          <w:r>
                            <w:rPr>
                              <w:szCs w:val="24"/>
                            </w:rPr>
                            <w:t>. kitų Įmonių, galinčių daryti įtaką prognozuojamam kiekiui, plėtrą ir teisės aktuose nustatytus įpareigojimus.</w:t>
                          </w:r>
                        </w:p>
                      </w:sdtContent>
                    </w:sdt>
                  </w:sdtContent>
                </w:sdt>
                <w:sdt>
                  <w:sdtPr>
                    <w:alias w:val="31-1 p."/>
                    <w:tag w:val="part_3bc7b9fbf96b403c9fe7b863af93e9b2"/>
                    <w:lock w:val="sdtLocked"/>
                    <w:richText/>
                  </w:sdtPr>
                  <w:sdtContent>
                    <w:p>
                      <w:pPr>
                        <w:ind w:firstLine="720"/>
                        <w:jc w:val="both"/>
                      </w:pPr>
                      <w:sdt>
                        <w:sdtPr>
                          <w:alias w:val="Numeris"/>
                          <w:tag w:val="nr_3bc7b9fbf96b403c9fe7b863af93e9b2"/>
                          <w:lock w:val="sdtLocked"/>
                          <w:richText/>
                        </w:sdtPr>
                        <w:sdtContent>
                          <w:r>
                            <w:rPr>
                              <w:bCs/>
                              <w:color w:val="000000"/>
                              <w:szCs w:val="24"/>
                              <w:lang w:eastAsia="lt-LT"/>
                            </w:rPr>
                            <w:t>31</w:t>
                          </w:r>
                          <w:r>
                            <w:rPr>
                              <w:bCs/>
                              <w:color w:val="000000"/>
                              <w:szCs w:val="24"/>
                              <w:vertAlign w:val="superscript"/>
                              <w:lang w:eastAsia="lt-LT"/>
                            </w:rPr>
                            <w:t>1</w:t>
                          </w:r>
                        </w:sdtContent>
                      </w:sdt>
                      <w:r>
                        <w:rPr>
                          <w:bCs/>
                          <w:color w:val="000000"/>
                          <w:szCs w:val="24"/>
                          <w:lang w:eastAsia="lt-LT"/>
                        </w:rPr>
                        <w:t>.</w:t>
                      </w:r>
                      <w:r>
                        <w:rPr>
                          <w:color w:val="000000"/>
                          <w:szCs w:val="24"/>
                          <w:lang w:eastAsia="lt-LT"/>
                        </w:rPr>
                        <w:t xml:space="preserve"> </w:t>
                      </w:r>
                      <w:r>
                        <w:rPr>
                          <w:bCs/>
                          <w:color w:val="000000"/>
                          <w:szCs w:val="24"/>
                          <w:lang w:eastAsia="lt-LT"/>
                        </w:rPr>
                        <w:t>Reguliuojančiosios institucijos motyvuotu sprendimu elektros energijos skirstymo paslaugos VĮ ir ŽĮ tinkluose kainų viršutinės ribos gali būti koreguojamos skirtumu tarp skirstymo tinklų operatoriaus garantiniam elektros energijos tiekimui vykdyti patirtų kaštų ir iš garantinio elektros energijos tiekimo gautų pajamų, atsižvelgiant į tai, kurios įtampos tinkluose yra patiriami garantinio elektros energijos tiekimo paslaugos kaštai ir gaunamos garantinio elektros energijos tiekimo paslaugos pajamos.</w:t>
                      </w:r>
                      <w:r>
                        <w:t xml:space="preserve"> </w:t>
                      </w:r>
                    </w:p>
                    <w:p>
                      <w:pPr>
                        <w:jc w:val="both"/>
                        <w:rPr>
                          <w:szCs w:val="24"/>
                        </w:rPr>
                      </w:pPr>
                      <w:r>
                        <w:rPr>
                          <w:b/>
                          <w:i/>
                          <w:sz w:val="20"/>
                        </w:rPr>
                        <w:t>TAR pastaba.</w:t>
                      </w:r>
                      <w:r>
                        <w:rPr>
                          <w:i/>
                          <w:sz w:val="20"/>
                        </w:rPr>
                        <w:t xml:space="preserve"> 31</w:t>
                      </w:r>
                      <w:r>
                        <w:rPr>
                          <w:i/>
                          <w:sz w:val="20"/>
                          <w:vertAlign w:val="superscript"/>
                        </w:rPr>
                        <w:t>1</w:t>
                      </w:r>
                      <w:r>
                        <w:rPr>
                          <w:i/>
                          <w:sz w:val="20"/>
                        </w:rPr>
                        <w:t xml:space="preserve"> punkto nuostatos taikomos </w:t>
                      </w:r>
                      <w:r>
                        <w:rPr>
                          <w:bCs/>
                          <w:i/>
                          <w:sz w:val="20"/>
                        </w:rPr>
                        <w:t>nustatant arba koreguojant 2020 metų ir vėlesnių laikotarpių elektros energijos perdavimo, skirstymo ir visuomeninio tiekimo paslaugų bei visuomeninės kainos viršutines ribas</w:t>
                      </w:r>
                      <w:r>
                        <w:rPr>
                          <w:bCs/>
                          <w:i/>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2bc050eb6011e99681cd81dcdca52c">
                        <w:r w:rsidRPr="00532B9F">
                          <w:rPr>
                            <w:rFonts w:ascii="Times New Roman" w:eastAsia="MS Mincho" w:hAnsi="Times New Roman"/>
                            <w:sz w:val="20"/>
                            <w:i/>
                            <w:iCs/>
                            <w:color w:val="0000FF" w:themeColor="hyperlink"/>
                            <w:u w:val="single"/>
                          </w:rPr>
                          <w:t>O3E-548</w:t>
                        </w:r>
                      </w:fldSimple>
                      <w:r>
                        <w:rPr>
                          <w:rFonts w:ascii="Times New Roman" w:eastAsia="MS Mincho" w:hAnsi="Times New Roman"/>
                          <w:sz w:val="20"/>
                          <w:i/>
                          <w:iCs/>
                        </w:rPr>
                        <w:t>,
2019-10-10,
paskelbta TAR 2019-10-10, i. k. 2019-16169        </w:t>
                      </w:r>
                    </w:p>
                    <w:p/>
                  </w:sdtContent>
                </w:sdt>
              </w:sdtContent>
            </w:sdt>
          </w:sdtContent>
        </w:sdt>
        <w:sdt>
          <w:sdtPr>
            <w:alias w:val="skyrius"/>
            <w:tag w:val="part_92ad53a6647840708073450e0025a949"/>
            <w:lock w:val="sdtLocked"/>
            <w:richText/>
          </w:sdtPr>
          <w:sdtContent>
            <w:p>
              <w:pPr>
                <w:widowControl w:val="0"/>
                <w:tabs>
                  <w:tab w:val="left" w:pos="2835"/>
                </w:tabs>
                <w:suppressAutoHyphens/>
                <w:jc w:val="center"/>
                <w:textAlignment w:val="center"/>
                <w:rPr>
                  <w:b/>
                  <w:szCs w:val="24"/>
                </w:rPr>
              </w:pPr>
              <w:sdt>
                <w:sdtPr>
                  <w:alias w:val="Numeris"/>
                  <w:tag w:val="nr_92ad53a6647840708073450e0025a949"/>
                  <w:lock w:val="sdtLocked"/>
                  <w:richText/>
                </w:sdtPr>
                <w:sdtContent>
                  <w:r>
                    <w:rPr>
                      <w:b/>
                      <w:szCs w:val="24"/>
                    </w:rPr>
                    <w:t>III</w:t>
                  </w:r>
                </w:sdtContent>
              </w:sdt>
              <w:r>
                <w:rPr>
                  <w:b/>
                  <w:szCs w:val="24"/>
                </w:rPr>
                <w:t xml:space="preserve"> SKYRIUS</w:t>
              </w:r>
            </w:p>
            <w:p>
              <w:pPr>
                <w:widowControl w:val="0"/>
                <w:tabs>
                  <w:tab w:val="left" w:pos="2835"/>
                </w:tabs>
                <w:suppressAutoHyphens/>
                <w:jc w:val="center"/>
                <w:textAlignment w:val="center"/>
                <w:rPr>
                  <w:b/>
                  <w:szCs w:val="24"/>
                </w:rPr>
              </w:pPr>
              <w:sdt>
                <w:sdtPr>
                  <w:alias w:val="Pavadinimas"/>
                  <w:tag w:val="title_92ad53a6647840708073450e0025a949"/>
                  <w:lock w:val="sdtLocked"/>
                  <w:richText/>
                </w:sdtPr>
                <w:sdtContent>
                  <w:r>
                    <w:rPr>
                      <w:b/>
                      <w:szCs w:val="24"/>
                    </w:rPr>
                    <w:t>ELEKTROS ENERGIJOS PERDAVIMO IR SKIRSTYMO VERSLO VIENETO PASLAUGŲ KAINODARA</w:t>
                  </w:r>
                </w:sdtContent>
              </w:sdt>
            </w:p>
            <w:p>
              <w:pPr>
                <w:widowControl w:val="0"/>
                <w:tabs>
                  <w:tab w:val="left" w:pos="2835"/>
                </w:tabs>
                <w:suppressAutoHyphens/>
                <w:jc w:val="center"/>
                <w:textAlignment w:val="center"/>
                <w:rPr>
                  <w:b/>
                  <w:szCs w:val="24"/>
                </w:rPr>
              </w:pPr>
            </w:p>
            <w:p>
              <w:pPr>
                <w:widowControl w:val="0"/>
                <w:tabs>
                  <w:tab w:val="left" w:pos="2835"/>
                </w:tabs>
                <w:suppressAutoHyphens/>
                <w:jc w:val="center"/>
                <w:textAlignment w:val="center"/>
                <w:rPr>
                  <w:b/>
                  <w:szCs w:val="24"/>
                </w:rPr>
              </w:pPr>
            </w:p>
            <w:sdt>
              <w:sdtPr>
                <w:alias w:val="skirsnis"/>
                <w:tag w:val="part_d69f3afbefe34f7e99baeaed13ab36d3"/>
                <w:lock w:val="sdtLocked"/>
                <w:richText/>
              </w:sdtPr>
              <w:sdtContent>
                <w:p>
                  <w:pPr>
                    <w:widowControl w:val="0"/>
                    <w:tabs>
                      <w:tab w:val="left" w:pos="2835"/>
                    </w:tabs>
                    <w:suppressAutoHyphens/>
                    <w:jc w:val="center"/>
                    <w:textAlignment w:val="center"/>
                    <w:rPr>
                      <w:b/>
                      <w:szCs w:val="24"/>
                    </w:rPr>
                  </w:pPr>
                  <w:sdt>
                    <w:sdtPr>
                      <w:alias w:val="Numeris"/>
                      <w:tag w:val="nr_d69f3afbefe34f7e99baeaed13ab36d3"/>
                      <w:lock w:val="sdtLocked"/>
                      <w:richText/>
                    </w:sdtPr>
                    <w:sdtContent>
                      <w:r>
                        <w:rPr>
                          <w:b/>
                          <w:szCs w:val="24"/>
                        </w:rPr>
                        <w:t>PIRMASIS</w:t>
                      </w:r>
                    </w:sdtContent>
                  </w:sdt>
                  <w:r>
                    <w:rPr>
                      <w:b/>
                      <w:szCs w:val="24"/>
                    </w:rPr>
                    <w:t xml:space="preserve"> SKIRSNIS</w:t>
                  </w:r>
                </w:p>
                <w:p>
                  <w:pPr>
                    <w:widowControl w:val="0"/>
                    <w:tabs>
                      <w:tab w:val="left" w:pos="2835"/>
                    </w:tabs>
                    <w:suppressAutoHyphens/>
                    <w:jc w:val="center"/>
                    <w:textAlignment w:val="center"/>
                    <w:rPr>
                      <w:b/>
                      <w:szCs w:val="24"/>
                    </w:rPr>
                  </w:pPr>
                  <w:sdt>
                    <w:sdtPr>
                      <w:alias w:val="Pavadinimas"/>
                      <w:tag w:val="title_d69f3afbefe34f7e99baeaed13ab36d3"/>
                      <w:lock w:val="sdtLocked"/>
                      <w:richText/>
                    </w:sdtPr>
                    <w:sdtContent>
                      <w:r>
                        <w:rPr>
                          <w:b/>
                          <w:szCs w:val="24"/>
                        </w:rPr>
                        <w:t>LRAIC MODELIO TAIKYMAS</w:t>
                      </w:r>
                    </w:sdtContent>
                  </w:sdt>
                </w:p>
                <w:p>
                  <w:pPr>
                    <w:widowControl w:val="0"/>
                    <w:tabs>
                      <w:tab w:val="left" w:pos="2835"/>
                    </w:tabs>
                    <w:suppressAutoHyphens/>
                    <w:ind w:left="567" w:firstLine="567"/>
                    <w:jc w:val="center"/>
                    <w:textAlignment w:val="center"/>
                    <w:rPr>
                      <w:b/>
                      <w:szCs w:val="24"/>
                    </w:rPr>
                  </w:pPr>
                </w:p>
                <w:p>
                  <w:pPr>
                    <w:widowControl w:val="0"/>
                    <w:tabs>
                      <w:tab w:val="left" w:pos="2835"/>
                    </w:tabs>
                    <w:suppressAutoHyphens/>
                    <w:ind w:left="567" w:firstLine="567"/>
                    <w:jc w:val="center"/>
                    <w:textAlignment w:val="center"/>
                    <w:rPr>
                      <w:b/>
                      <w:szCs w:val="24"/>
                    </w:rPr>
                  </w:pPr>
                </w:p>
                <w:sdt>
                  <w:sdtPr>
                    <w:alias w:val="32 p."/>
                    <w:tag w:val="part_6b2732cf5a8f48698a263ecd9d760434"/>
                    <w:lock w:val="sdtLocked"/>
                    <w:richText/>
                  </w:sdtPr>
                  <w:sdtContent>
                    <w:p>
                      <w:pPr>
                        <w:tabs>
                          <w:tab w:val="left" w:pos="851"/>
                          <w:tab w:val="left" w:pos="1134"/>
                          <w:tab w:val="left" w:pos="1843"/>
                          <w:tab w:val="left" w:pos="2268"/>
                        </w:tabs>
                        <w:ind w:firstLine="709"/>
                        <w:jc w:val="both"/>
                        <w:rPr>
                          <w:szCs w:val="24"/>
                        </w:rPr>
                      </w:pPr>
                      <w:sdt>
                        <w:sdtPr>
                          <w:alias w:val="Numeris"/>
                          <w:tag w:val="nr_6b2732cf5a8f48698a263ecd9d760434"/>
                          <w:lock w:val="sdtLocked"/>
                          <w:richText/>
                        </w:sdtPr>
                        <w:sdtContent>
                          <w:r>
                            <w:rPr>
                              <w:szCs w:val="24"/>
                            </w:rPr>
                            <w:t>32</w:t>
                          </w:r>
                        </w:sdtContent>
                      </w:sdt>
                      <w:r>
                        <w:rPr>
                          <w:szCs w:val="24"/>
                        </w:rPr>
                        <w:t>. Bendros perdavimo sistemos operatoriui (toliau – PSO) ir skirstomųjų tinklų operatoriui (toliau – STO) reguliuojamų veiklų leidžiamos pajamos apskaičiuojamos Modeliu. Modeliuojamas 5 metų ateities laikotarpis, sutampantis su reguliavimo periodu. Paslaugos kainos viršutinei ribai nustatyti Modeliu apskaičiuotos leidžiamos pajamos turi būti koreguojamos Metodikoje nustatyta tvarka:</w:t>
                      </w:r>
                    </w:p>
                    <w:sdt>
                      <w:sdtPr>
                        <w:alias w:val="32.1 p."/>
                        <w:tag w:val="part_7afec7f10f744eda920cdf2e00b751cd"/>
                        <w:lock w:val="sdtLocked"/>
                        <w:richText/>
                      </w:sdtPr>
                      <w:sdtContent>
                        <w:p>
                          <w:pPr>
                            <w:tabs>
                              <w:tab w:val="left" w:pos="1276"/>
                              <w:tab w:val="left" w:pos="1843"/>
                              <w:tab w:val="left" w:pos="2268"/>
                            </w:tabs>
                            <w:ind w:firstLine="709"/>
                            <w:jc w:val="both"/>
                            <w:rPr>
                              <w:szCs w:val="24"/>
                            </w:rPr>
                          </w:pPr>
                          <w:sdt>
                            <w:sdtPr>
                              <w:alias w:val="Numeris"/>
                              <w:tag w:val="nr_7afec7f10f744eda920cdf2e00b751cd"/>
                              <w:lock w:val="sdtLocked"/>
                              <w:richText/>
                            </w:sdtPr>
                            <w:sdtContent>
                              <w:r>
                                <w:rPr>
                                  <w:szCs w:val="24"/>
                                </w:rPr>
                                <w:t>32.1</w:t>
                              </w:r>
                            </w:sdtContent>
                          </w:sdt>
                          <w:r>
                            <w:rPr>
                              <w:szCs w:val="24"/>
                            </w:rPr>
                            <w:t>. Modelis apskaičiuoja leidžiamas pajamas tiksliniams metams, t. y. 5 metų reguliavimo periodo pabaigos metams. Tam periodui pajamos apskaičiuojamos tolygiai kintančio pajamų lygio būdu:</w:t>
                          </w:r>
                        </w:p>
                        <w:sdt>
                          <w:sdtPr>
                            <w:alias w:val="32.1.1 p."/>
                            <w:tag w:val="part_dacf653e81004660b37069d2fad4c680"/>
                            <w:lock w:val="sdtLocked"/>
                            <w:richText/>
                          </w:sdtPr>
                          <w:sdtContent>
                            <w:p>
                              <w:pPr>
                                <w:ind w:firstLine="720"/>
                                <w:jc w:val="both"/>
                                <w:rPr>
                                  <w:szCs w:val="24"/>
                                </w:rPr>
                              </w:pPr>
                              <w:sdt>
                                <w:sdtPr>
                                  <w:alias w:val="Numeris"/>
                                  <w:tag w:val="nr_dacf653e81004660b37069d2fad4c680"/>
                                  <w:lock w:val="sdtLocked"/>
                                  <w:richText/>
                                </w:sdtPr>
                                <w:sdtContent>
                                  <w:r>
                                    <w:rPr>
                                      <w:szCs w:val="24"/>
                                    </w:rPr>
                                    <w:t>32.1.1</w:t>
                                  </w:r>
                                </w:sdtContent>
                              </w:sdt>
                              <w:r>
                                <w:rPr>
                                  <w:szCs w:val="24"/>
                                </w:rPr>
                                <w:t>. apskaičiuojant skirtumą tarp Modelio apskaičiuotų tikslinių metų leidžiamų pajamų lygio ir paskutinių metų, einančių prieš naują reguliavimo periodą, kai pajamų lygis apskaičiuojamas su Modelio pagalba, PSO ir STO Komisijos patvirtintų leidžiamų pajamų lygio (kapitalo kaštus skaičiuojant neatėmus dotacijomis, subsidijomis, Europos Sąjungos struktūrinių fondų lėšomis, elektros energijos vartotojų ir gamintojų lėšomis finansuojamo turto vertės);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sdtContent>
                        </w:sdt>
                        <w:sdt>
                          <w:sdtPr>
                            <w:alias w:val="32.1.2 p."/>
                            <w:tag w:val="part_d3929d752a94465d8224e2be3754d6f8"/>
                            <w:lock w:val="sdtLocked"/>
                            <w:richText/>
                          </w:sdtPr>
                          <w:sdtContent>
                            <w:p>
                              <w:pPr>
                                <w:tabs>
                                  <w:tab w:val="left" w:pos="1134"/>
                                </w:tabs>
                                <w:ind w:firstLine="709"/>
                                <w:jc w:val="both"/>
                                <w:rPr>
                                  <w:szCs w:val="24"/>
                                </w:rPr>
                              </w:pPr>
                              <w:sdt>
                                <w:sdtPr>
                                  <w:alias w:val="Numeris"/>
                                  <w:tag w:val="nr_d3929d752a94465d8224e2be3754d6f8"/>
                                  <w:lock w:val="sdtLocked"/>
                                  <w:richText/>
                                </w:sdtPr>
                                <w:sdtContent>
                                  <w:r>
                                    <w:rPr>
                                      <w:szCs w:val="24"/>
                                    </w:rPr>
                                    <w:t>32.1.2</w:t>
                                  </w:r>
                                </w:sdtContent>
                              </w:sdt>
                              <w:r>
                                <w:rPr>
                                  <w:szCs w:val="24"/>
                                </w:rPr>
                                <w:t xml:space="preserve">. apskaičiuojant nekoreguotas leidžiamas pajamas kiekvieniems reguliavimo periodo metams, </w:t>
                              </w:r>
                              <w:r>
                                <w:rPr>
                                  <w:bCs/>
                                  <w:szCs w:val="24"/>
                                </w:rPr>
                                <w:t xml:space="preserve">Komisijos sprendimu </w:t>
                              </w:r>
                              <w:r>
                                <w:rPr>
                                  <w:szCs w:val="24"/>
                                </w:rPr>
                                <w:t xml:space="preserve">nustatoma tiesinė progresija tarp  </w:t>
                              </w:r>
                              <w:r>
                                <w:rPr>
                                  <w:bCs/>
                                  <w:szCs w:val="24"/>
                                </w:rPr>
                                <w:t>konkrečių</w:t>
                              </w:r>
                              <w:r>
                                <w:rPr>
                                  <w:szCs w:val="24"/>
                                </w:rPr>
                                <w:t xml:space="preserve"> </w:t>
                              </w:r>
                              <w:r>
                                <w:rPr>
                                  <w:bCs/>
                                  <w:szCs w:val="24"/>
                                </w:rPr>
                                <w:t>reguliavimo periodo</w:t>
                              </w:r>
                              <w:r>
                                <w:rPr>
                                  <w:szCs w:val="24"/>
                                </w:rPr>
                                <w:t xml:space="preserve"> metų</w:t>
                              </w:r>
                              <w:r>
                                <w:rPr>
                                  <w:bCs/>
                                  <w:szCs w:val="24"/>
                                </w:rPr>
                                <w:t>, ne ilgesnių už tikslinius metus,</w:t>
                              </w:r>
                              <w:r>
                                <w:rPr>
                                  <w:szCs w:val="24"/>
                                </w:rPr>
                                <w:t xml:space="preserve"> leidžiamų pajamų lygio ir esamų leidžiamų pajamų lygio;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Content>
                    </w:sdt>
                    <w:sdt>
                      <w:sdtPr>
                        <w:alias w:val="32.2 p."/>
                        <w:tag w:val="part_775942b33c0b49a3a7464b645d7dab9a"/>
                        <w:lock w:val="sdtLocked"/>
                        <w:richText/>
                      </w:sdtPr>
                      <w:sdtContent>
                        <w:p>
                          <w:pPr>
                            <w:tabs>
                              <w:tab w:val="left" w:pos="1134"/>
                            </w:tabs>
                            <w:ind w:firstLine="709"/>
                            <w:jc w:val="both"/>
                            <w:rPr>
                              <w:szCs w:val="24"/>
                            </w:rPr>
                          </w:pPr>
                          <w:sdt>
                            <w:sdtPr>
                              <w:alias w:val="Numeris"/>
                              <w:tag w:val="nr_775942b33c0b49a3a7464b645d7dab9a"/>
                              <w:lock w:val="sdtLocked"/>
                              <w:richText/>
                            </w:sdtPr>
                            <w:sdtContent>
                              <w:r>
                                <w:rPr>
                                  <w:szCs w:val="24"/>
                                  <w:lang w:eastAsia="lt-LT"/>
                                </w:rPr>
                                <w:t>32.2</w:t>
                              </w:r>
                            </w:sdtContent>
                          </w:sdt>
                          <w:r>
                            <w:rPr>
                              <w:szCs w:val="24"/>
                              <w:lang w:eastAsia="lt-LT"/>
                            </w:rPr>
                            <w:t xml:space="preserve">. Modelis apskaičiuoja leidžiamas pajamas esamam turtui, nevertinant per naują reguliavimo periodą planuojamų naujų tikslinių investicijų ir investicijų į neoptimizuotino turto atstatymą.  Naujos tikslinės investicijos gali apimti naujas tarpsistemines jungtis, investicijas, būtinas užtikrinti elektros energijos tiekimo saugumą, ar investicijas, būtinas pagal naujus reguliavimo reikalavimus. Šios investicijos privalo būti suderintos su Komisija pagal Investicijų aprašą.  LRAIC modeliu optimizuotino turto, kuris buvo įvertintas atstatomaisiais kaštais, rekonstrukcija, modernizacija ar atstatymas negali būti įtraukiami kaip investicijos, nes šis turtas įvertintas optimizuojant tinklą Modelyje;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32.3 p."/>
                        <w:tag w:val="part_0ded615d3e444baa8af9fb424bc49ea5"/>
                        <w:lock w:val="sdtLocked"/>
                        <w:richText/>
                      </w:sdtPr>
                      <w:sdtContent>
                        <w:p>
                          <w:pPr>
                            <w:pStyle w:val="PlainText"/>
                            <w:ind w:firstLine="567"/>
                            <w:jc w:val="both"/>
                            <w:rPr>
                              <w:rFonts w:ascii="Times New Roman" w:hAnsi="Times New Roman"/>
                              <w:b/>
                              <w:bCs/>
                              <w:sz w:val="22"/>
                            </w:rPr>
                          </w:pPr>
                          <w:r>
                            <w:rPr>
                              <w:rFonts w:ascii="Times New Roman" w:hAnsi="Times New Roman"/>
                              <w:sz w:val="22"/>
                            </w:rPr>
                            <w:t>32.3</w:t>
                          </w:r>
                          <w:r>
                            <w:rPr>
                              <w:rFonts w:ascii="Times New Roman" w:hAnsi="Times New Roman"/>
                              <w:sz w:val="22"/>
                            </w:rPr>
                            <w:t>.</w:t>
                          </w:r>
                          <w:r>
                            <w:rPr>
                              <w:rFonts w:ascii="Times New Roman" w:eastAsia="MS Mincho" w:hAnsi="Times New Roman"/>
                              <w:sz w:val="20"/>
                              <w:i/>
                              <w:iCs/>
                            </w:rPr>
                            <w:t xml:space="preserve"> Neteko galios nuo 2015-09-23</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32.4 p."/>
                        <w:tag w:val="part_631c52b8f7734f1fa77f10f6afcbb58e"/>
                        <w:lock w:val="sdtLocked"/>
                        <w:richText/>
                      </w:sdtPr>
                      <w:sdtContent>
                        <w:p>
                          <w:pPr>
                            <w:tabs>
                              <w:tab w:val="left" w:pos="1276"/>
                              <w:tab w:val="left" w:pos="1843"/>
                              <w:tab w:val="left" w:pos="2268"/>
                            </w:tabs>
                            <w:ind w:firstLine="709"/>
                            <w:jc w:val="both"/>
                            <w:rPr>
                              <w:szCs w:val="24"/>
                            </w:rPr>
                          </w:pPr>
                          <w:sdt>
                            <w:sdtPr>
                              <w:alias w:val="Numeris"/>
                              <w:tag w:val="nr_631c52b8f7734f1fa77f10f6afcbb58e"/>
                              <w:lock w:val="sdtLocked"/>
                              <w:richText/>
                            </w:sdtPr>
                            <w:sdtContent>
                              <w:r>
                                <w:rPr>
                                  <w:szCs w:val="24"/>
                                </w:rPr>
                                <w:t>32.4</w:t>
                              </w:r>
                            </w:sdtContent>
                          </w:sdt>
                          <w:r>
                            <w:rPr>
                              <w:szCs w:val="24"/>
                            </w:rPr>
                            <w:t>. Metiniai nepagrįstai panaudotų investicijų į reguliuojamų paslaugų ir (ar) produktų turto vertę, turto, įsigyto už dotacijas, Europos Sąjungos struktūrinių fondų ir naujų vartotojų lėšas Kapitalo kaštai kaip nurodyta Metodikos 7.2.4 ir 7.2.5 punktuose, privalo būti eliminuoti iš Modeliu apskaičiuoto leidžiamų pajamų rezultato, kadangi šis turtas yra įtrauktas į Modelį. Kapitalo kaštai eliminuojami paskaičiuojant juos pagal tinklo elementų grupę ar konkretų tinklo elementą;</w:t>
                          </w:r>
                        </w:p>
                      </w:sdtContent>
                    </w:sdt>
                  </w:sdtContent>
                </w:sdt>
                <w:sdt>
                  <w:sdtPr>
                    <w:alias w:val="33 p."/>
                    <w:tag w:val="part_d4a67b134cc449d7aa2cc7e5b74a4cf4"/>
                    <w:lock w:val="sdtLocked"/>
                    <w:richText/>
                  </w:sdtPr>
                  <w:sdtContent>
                    <w:p>
                      <w:pPr>
                        <w:tabs>
                          <w:tab w:val="left" w:pos="1080"/>
                          <w:tab w:val="left" w:pos="1418"/>
                          <w:tab w:val="left" w:pos="1843"/>
                          <w:tab w:val="left" w:pos="2268"/>
                        </w:tabs>
                        <w:ind w:firstLine="709"/>
                        <w:jc w:val="both"/>
                        <w:rPr>
                          <w:szCs w:val="24"/>
                        </w:rPr>
                      </w:pPr>
                      <w:sdt>
                        <w:sdtPr>
                          <w:alias w:val="Numeris"/>
                          <w:tag w:val="nr_d4a67b134cc449d7aa2cc7e5b74a4cf4"/>
                          <w:lock w:val="sdtLocked"/>
                          <w:richText/>
                        </w:sdtPr>
                        <w:sdtContent>
                          <w:r>
                            <w:rPr>
                              <w:szCs w:val="24"/>
                            </w:rPr>
                            <w:t>33</w:t>
                          </w:r>
                        </w:sdtContent>
                      </w:sdt>
                      <w:r>
                        <w:rPr>
                          <w:szCs w:val="24"/>
                        </w:rPr>
                        <w:t>. PSO ar STO leidžiamų pajamų, nustatytų Modelio pagalba, padidinimai ar sumažinimai per reguliavimo periodą gali būti atliekami:</w:t>
                      </w:r>
                      <w:r>
                        <w:t xml:space="preserve">     </w:t>
                      </w:r>
                    </w:p>
                    <w:sdt>
                      <w:sdtPr>
                        <w:alias w:val="33.1 p."/>
                        <w:tag w:val="part_08ad5e8ff6684d01a824b6b5379466f3"/>
                        <w:lock w:val="sdtLocked"/>
                        <w:richText/>
                      </w:sdtPr>
                      <w:sdtContent>
                        <w:p>
                          <w:pPr>
                            <w:tabs>
                              <w:tab w:val="left" w:pos="1276"/>
                              <w:tab w:val="left" w:pos="1843"/>
                              <w:tab w:val="left" w:pos="2268"/>
                            </w:tabs>
                            <w:ind w:firstLine="709"/>
                            <w:jc w:val="both"/>
                            <w:rPr>
                              <w:szCs w:val="24"/>
                            </w:rPr>
                          </w:pPr>
                          <w:sdt>
                            <w:sdtPr>
                              <w:alias w:val="Numeris"/>
                              <w:tag w:val="nr_08ad5e8ff6684d01a824b6b5379466f3"/>
                              <w:lock w:val="sdtLocked"/>
                              <w:richText/>
                            </w:sdtPr>
                            <w:sdtContent>
                              <w:r>
                                <w:rPr>
                                  <w:szCs w:val="24"/>
                                </w:rPr>
                                <w:t>33.1</w:t>
                              </w:r>
                            </w:sdtContent>
                          </w:sdt>
                          <w:r>
                            <w:rPr>
                              <w:szCs w:val="24"/>
                            </w:rPr>
                            <w:t>. Įmonėms viršijus Komisijos apskaičiuotą leistiną protingumo kriterijų atitinkančią investicijų grąžą, apskaičiuotą atsižvelgiant į Metodikos 16 punkto nuostatas;</w:t>
                          </w:r>
                        </w:p>
                      </w:sdtContent>
                    </w:sdt>
                    <w:sdt>
                      <w:sdtPr>
                        <w:alias w:val="33.2 p."/>
                        <w:tag w:val="part_b6b166c6aaee4db99c411ee28995f9f7"/>
                        <w:lock w:val="sdtLocked"/>
                        <w:richText/>
                      </w:sdtPr>
                      <w:sdtContent>
                        <w:p>
                          <w:pPr>
                            <w:tabs>
                              <w:tab w:val="left" w:pos="1276"/>
                              <w:tab w:val="left" w:pos="1843"/>
                              <w:tab w:val="left" w:pos="2268"/>
                            </w:tabs>
                            <w:ind w:firstLine="709"/>
                            <w:jc w:val="both"/>
                            <w:rPr>
                              <w:szCs w:val="24"/>
                            </w:rPr>
                          </w:pPr>
                          <w:sdt>
                            <w:sdtPr>
                              <w:alias w:val="Numeris"/>
                              <w:tag w:val="nr_b6b166c6aaee4db99c411ee28995f9f7"/>
                              <w:lock w:val="sdtLocked"/>
                              <w:richText/>
                            </w:sdtPr>
                            <w:sdtContent>
                              <w:r>
                                <w:rPr>
                                  <w:szCs w:val="24"/>
                                </w:rPr>
                                <w:t>33.2</w:t>
                              </w:r>
                            </w:sdtContent>
                          </w:sdt>
                          <w:r>
                            <w:rPr>
                              <w:szCs w:val="24"/>
                            </w:rPr>
                            <w:t>. dėl teisės aktų pasikeitimo;</w:t>
                          </w:r>
                        </w:p>
                      </w:sdtContent>
                    </w:sdt>
                    <w:sdt>
                      <w:sdtPr>
                        <w:alias w:val="33.3 p."/>
                        <w:tag w:val="part_1afe28fad7664a0b8072da77c110c02a"/>
                        <w:lock w:val="sdtLocked"/>
                        <w:richText/>
                      </w:sdtPr>
                      <w:sdtContent>
                        <w:p>
                          <w:pPr>
                            <w:pStyle w:val="PlainText"/>
                            <w:ind w:firstLine="567"/>
                            <w:jc w:val="both"/>
                            <w:rPr>
                              <w:rFonts w:ascii="Times New Roman" w:hAnsi="Times New Roman"/>
                              <w:b/>
                              <w:bCs/>
                              <w:sz w:val="22"/>
                            </w:rPr>
                          </w:pPr>
                          <w:r>
                            <w:rPr>
                              <w:rFonts w:ascii="Times New Roman" w:hAnsi="Times New Roman"/>
                              <w:sz w:val="22"/>
                            </w:rPr>
                            <w:t>33.3</w:t>
                          </w:r>
                          <w:r>
                            <w:rPr>
                              <w:rFonts w:ascii="Times New Roman" w:hAnsi="Times New Roman"/>
                              <w:sz w:val="22"/>
                            </w:rPr>
                            <w:t>.</w:t>
                          </w:r>
                          <w:r>
                            <w:rPr>
                              <w:rFonts w:ascii="Times New Roman" w:eastAsia="MS Mincho" w:hAnsi="Times New Roman"/>
                              <w:sz w:val="20"/>
                              <w:i/>
                              <w:iCs/>
                            </w:rPr>
                            <w:t xml:space="preserve"> Neteko galios nuo 2015-09-23</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33.4 p."/>
                        <w:tag w:val="part_de23b2d4999e43fd9e870fee30e4a37d"/>
                        <w:lock w:val="sdtLocked"/>
                        <w:richText/>
                      </w:sdtPr>
                      <w:sdtContent>
                        <w:p>
                          <w:pPr>
                            <w:tabs>
                              <w:tab w:val="left" w:pos="1276"/>
                              <w:tab w:val="left" w:pos="1843"/>
                              <w:tab w:val="left" w:pos="2268"/>
                            </w:tabs>
                            <w:ind w:firstLine="709"/>
                            <w:jc w:val="both"/>
                            <w:rPr>
                              <w:szCs w:val="24"/>
                            </w:rPr>
                          </w:pPr>
                          <w:sdt>
                            <w:sdtPr>
                              <w:alias w:val="Numeris"/>
                              <w:tag w:val="nr_de23b2d4999e43fd9e870fee30e4a37d"/>
                              <w:lock w:val="sdtLocked"/>
                              <w:richText/>
                            </w:sdtPr>
                            <w:sdtContent>
                              <w:r>
                                <w:rPr>
                                  <w:szCs w:val="24"/>
                                </w:rPr>
                                <w:t>33.4</w:t>
                              </w:r>
                            </w:sdtContent>
                          </w:sdt>
                          <w:r>
                            <w:rPr>
                              <w:szCs w:val="24"/>
                            </w:rPr>
                            <w:t>. Įmonei įvykdžius Komisijos nustatytus uždavinius, susijusius su teikiamų paslaugų kokybės rodiklių įgyvendinimu, ar jų neįvykdžius;</w:t>
                          </w:r>
                        </w:p>
                      </w:sdtContent>
                    </w:sdt>
                    <w:sdt>
                      <w:sdtPr>
                        <w:alias w:val="33.5 p."/>
                        <w:tag w:val="part_fa0d36174aeb48babff4a69062fc9833"/>
                        <w:lock w:val="sdtLocked"/>
                        <w:richText/>
                      </w:sdtPr>
                      <w:sdtContent>
                        <w:p>
                          <w:pPr>
                            <w:pStyle w:val="PlainText"/>
                            <w:ind w:firstLine="567"/>
                            <w:jc w:val="both"/>
                            <w:rPr>
                              <w:rFonts w:ascii="Times New Roman" w:hAnsi="Times New Roman"/>
                              <w:b/>
                              <w:bCs/>
                              <w:sz w:val="22"/>
                            </w:rPr>
                          </w:pPr>
                          <w:r>
                            <w:rPr>
                              <w:rFonts w:ascii="Times New Roman" w:hAnsi="Times New Roman"/>
                              <w:sz w:val="22"/>
                            </w:rPr>
                            <w:t>33.5</w:t>
                          </w:r>
                          <w:r>
                            <w:rPr>
                              <w:rFonts w:ascii="Times New Roman" w:hAnsi="Times New Roman"/>
                              <w:sz w:val="22"/>
                            </w:rPr>
                            <w:t>.</w:t>
                          </w:r>
                          <w:r>
                            <w:rPr>
                              <w:rFonts w:ascii="Times New Roman" w:eastAsia="MS Mincho" w:hAnsi="Times New Roman"/>
                              <w:sz w:val="20"/>
                              <w:i/>
                              <w:iCs/>
                            </w:rPr>
                            <w:t xml:space="preserve"> Neteko galios nuo 2017-09-16</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33.6 p."/>
                        <w:tag w:val="part_d5997ea059b64a2dacef8ff410bbc5a3"/>
                        <w:lock w:val="sdtLocked"/>
                        <w:richText/>
                      </w:sdtPr>
                      <w:sdtContent>
                        <w:p>
                          <w:pPr>
                            <w:tabs>
                              <w:tab w:val="left" w:pos="1276"/>
                              <w:tab w:val="left" w:pos="1843"/>
                              <w:tab w:val="left" w:pos="2268"/>
                            </w:tabs>
                            <w:ind w:firstLine="709"/>
                            <w:jc w:val="both"/>
                          </w:pPr>
                          <w:sdt>
                            <w:sdtPr>
                              <w:alias w:val="Numeris"/>
                              <w:tag w:val="nr_d5997ea059b64a2dacef8ff410bbc5a3"/>
                              <w:lock w:val="sdtLocked"/>
                              <w:richText/>
                            </w:sdtPr>
                            <w:sdtContent>
                              <w:r>
                                <w:rPr>
                                  <w:szCs w:val="24"/>
                                </w:rPr>
                                <w:t>33.6</w:t>
                              </w:r>
                            </w:sdtContent>
                          </w:sdt>
                          <w:r>
                            <w:rPr>
                              <w:szCs w:val="24"/>
                            </w:rPr>
                            <w:t>. dėl mokesčių dydžio pokyčių ir (ar) atsiradus (panaikinus) naujiems mokesčiams;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sdtContent>
                    </w:sdt>
                    <w:sdt>
                      <w:sdtPr>
                        <w:alias w:val="33.7 p."/>
                        <w:tag w:val="part_ea8bab7caacf49a098122e57546e0317"/>
                        <w:lock w:val="sdtLocked"/>
                        <w:richText/>
                      </w:sdtPr>
                      <w:sdtContent>
                        <w:p>
                          <w:pPr>
                            <w:ind w:firstLine="720"/>
                            <w:jc w:val="both"/>
                          </w:pPr>
                          <w:sdt>
                            <w:sdtPr>
                              <w:alias w:val="Numeris"/>
                              <w:tag w:val="nr_ea8bab7caacf49a098122e57546e0317"/>
                              <w:lock w:val="sdtLocked"/>
                              <w:richText/>
                            </w:sdtPr>
                            <w:sdtContent>
                              <w:r>
                                <w:rPr>
                                  <w:szCs w:val="24"/>
                                </w:rPr>
                                <w:t>33.7</w:t>
                              </w:r>
                            </w:sdtContent>
                          </w:sdt>
                          <w:r>
                            <w:rPr>
                              <w:szCs w:val="24"/>
                            </w:rPr>
                            <w:t>. dėl kaštų elektros energijos sąnaudoms technologiniuose įrenginiuose ir savoms reikmėms padengti dydžio skirtumo, nulemto elektros energijos kainos bei kiekio pokyčio, jeigu Įmonė pagrindė šio kiekio ir kainos pokytį objektyviais nuo Įmonės nepriklausančiais veiksniais;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sdtContent>
                    </w:sdt>
                    <w:sdt>
                      <w:sdtPr>
                        <w:alias w:val="33.8 p."/>
                        <w:tag w:val="part_901564fb174a4ebea53f0f0cc8e4efe3"/>
                        <w:lock w:val="sdtLocked"/>
                        <w:richText/>
                      </w:sdtPr>
                      <w:sdtContent>
                        <w:p>
                          <w:pPr>
                            <w:tabs>
                              <w:tab w:val="left" w:pos="993"/>
                            </w:tabs>
                            <w:ind w:firstLine="709"/>
                            <w:jc w:val="both"/>
                          </w:pPr>
                          <w:sdt>
                            <w:sdtPr>
                              <w:alias w:val="Numeris"/>
                              <w:tag w:val="nr_901564fb174a4ebea53f0f0cc8e4efe3"/>
                              <w:lock w:val="sdtLocked"/>
                              <w:richText/>
                            </w:sdtPr>
                            <w:sdtContent>
                              <w:r>
                                <w:rPr>
                                  <w:szCs w:val="24"/>
                                </w:rPr>
                                <w:t>33.8</w:t>
                              </w:r>
                            </w:sdtContent>
                          </w:sdt>
                          <w:r>
                            <w:rPr>
                              <w:szCs w:val="24"/>
                            </w:rPr>
                            <w:t>. dėl faktinių Įmonės gautų pajamų iš naudojimosi jungiamosiomis linijomis paslaugos;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33.9 p."/>
                        <w:tag w:val="part_3a851d312b29458a9961e931076c5149"/>
                        <w:lock w:val="sdtLocked"/>
                        <w:richText/>
                      </w:sdtPr>
                      <w:sdtContent>
                        <w:p>
                          <w:pPr>
                            <w:ind w:firstLine="720"/>
                            <w:jc w:val="both"/>
                          </w:pPr>
                          <w:sdt>
                            <w:sdtPr>
                              <w:alias w:val="Numeris"/>
                              <w:tag w:val="nr_3a851d312b29458a9961e931076c5149"/>
                              <w:lock w:val="sdtLocked"/>
                              <w:richText/>
                            </w:sdtPr>
                            <w:sdtContent>
                              <w:r>
                                <w:rPr>
                                  <w:szCs w:val="24"/>
                                </w:rPr>
                                <w:t>33.9</w:t>
                              </w:r>
                            </w:sdtContent>
                          </w:sdt>
                          <w:r>
                            <w:rPr>
                              <w:szCs w:val="24"/>
                            </w:rPr>
                            <w:t>. dėl nurašomo, perleidžiamo, išimamo iš eksploatacijos, bet į Modelį įtraukto neoptimizuotino turto, kaštų pokyčio;</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sdtContent>
                    </w:sdt>
                    <w:sdt>
                      <w:sdtPr>
                        <w:alias w:val="33.10 p."/>
                        <w:tag w:val="part_66591517dc6b49eea428145f43cfd76d"/>
                        <w:lock w:val="sdtLocked"/>
                        <w:richText/>
                      </w:sdtPr>
                      <w:sdtContent>
                        <w:p>
                          <w:pPr>
                            <w:ind w:firstLine="720"/>
                            <w:jc w:val="both"/>
                          </w:pPr>
                          <w:sdt>
                            <w:sdtPr>
                              <w:alias w:val="Numeris"/>
                              <w:tag w:val="nr_66591517dc6b49eea428145f43cfd76d"/>
                              <w:lock w:val="sdtLocked"/>
                              <w:richText/>
                            </w:sdtPr>
                            <w:sdtContent>
                              <w:r>
                                <w:rPr>
                                  <w:szCs w:val="24"/>
                                </w:rPr>
                                <w:t>33.10</w:t>
                              </w:r>
                            </w:sdtContent>
                          </w:sdt>
                          <w:r>
                            <w:rPr>
                              <w:szCs w:val="24"/>
                            </w:rPr>
                            <w:t>. dėl naujų, tikslinių, suderintų su Komisija, investicijų, būtinų šalies poreikiams, įskaitant naujas tarpsistemines jungtis, investicijas, būtinas užtikrinti elektros energijos tiekimo saugumą, ar investicijas, būtinas pagal naujus reguliavimo reikalavimus, kaštų;</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sdtContent>
                    </w:sdt>
                    <w:sdt>
                      <w:sdtPr>
                        <w:alias w:val="33.11 p."/>
                        <w:tag w:val="part_1e8a39d226eb44d48d81d807b3d162ca"/>
                        <w:lock w:val="sdtLocked"/>
                        <w:richText/>
                      </w:sdtPr>
                      <w:sdtContent>
                        <w:p>
                          <w:pPr>
                            <w:ind w:firstLine="720"/>
                            <w:jc w:val="both"/>
                          </w:pPr>
                          <w:sdt>
                            <w:sdtPr>
                              <w:alias w:val="Numeris"/>
                              <w:tag w:val="nr_1e8a39d226eb44d48d81d807b3d162ca"/>
                              <w:lock w:val="sdtLocked"/>
                              <w:richText/>
                            </w:sdtPr>
                            <w:sdtContent>
                              <w:r>
                                <w:rPr>
                                  <w:szCs w:val="24"/>
                                </w:rPr>
                                <w:t>33.11</w:t>
                              </w:r>
                            </w:sdtContent>
                          </w:sdt>
                          <w:r>
                            <w:rPr>
                              <w:szCs w:val="24"/>
                            </w:rPr>
                            <w:t>. dėl nepagrįstai panaudotų investicijų, dotacijomis, subsidijomis, Europos Sąjungos struktūrinių fondų lėšomis, elektros energijos vartotojų ir gamintojų lėšomis finansuojamo turto nusidėvėjimo sąnaudų ir investicijų grąžos pokyčio;</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sdtContent>
                    </w:sdt>
                    <w:sdt>
                      <w:sdtPr>
                        <w:alias w:val="33.12 p."/>
                        <w:tag w:val="part_ad833366d1b44a0c9194f8dd97d441bb"/>
                        <w:lock w:val="sdtLocked"/>
                        <w:richText/>
                      </w:sdtPr>
                      <w:sdtContent>
                        <w:p>
                          <w:pPr>
                            <w:tabs>
                              <w:tab w:val="left" w:pos="1134"/>
                            </w:tabs>
                            <w:ind w:firstLine="709"/>
                            <w:jc w:val="both"/>
                          </w:pPr>
                          <w:sdt>
                            <w:sdtPr>
                              <w:alias w:val="Numeris"/>
                              <w:tag w:val="nr_ad833366d1b44a0c9194f8dd97d441bb"/>
                              <w:lock w:val="sdtLocked"/>
                              <w:richText/>
                            </w:sdtPr>
                            <w:sdtContent>
                              <w:r>
                                <w:rPr>
                                  <w:szCs w:val="24"/>
                                </w:rPr>
                                <w:t>33.12</w:t>
                              </w:r>
                            </w:sdtContent>
                          </w:sdt>
                          <w:r>
                            <w:rPr>
                              <w:szCs w:val="24"/>
                            </w:rPr>
                            <w:t>. dėl naujų, tikslinių, suderintų su Komisija, investicijų, būtinų šalies poreikiams, įskaitant naujas tarpsistemines jungtis, investicijas, būtinas užtikrinti elektros energijos tiekimo saugumą, ar investicijas, būtinas pagal naujus reguliavimo reikalavimus, nurašomo, perleidžiamo, išimamo iš eksploatacijos, bet į Modelį įtraukto neoptimizuotino turto, nepagrįstai panaudotų investicijų, dotacijomis, subsidijomis, Europos Sąjungos struktūrinių fondų lėšomis, elektros energijos vartotojų ir gamintojų lėšomis finansuojamo turto nusidėvėjimo sąnaudų ir investicijų grąžos pasikeitimų, apskaičiuojamų kaip reguliavimo periodui nustatyto tokio turto kaštų ir nuo tokio turto likutinės vertės einamųjų metų pabaigai kaštų skirtumas;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33.13 p."/>
                        <w:tag w:val="part_d1f202d99ebd4f01a3cec3ad9a7591e4"/>
                        <w:lock w:val="sdtLocked"/>
                        <w:richText/>
                      </w:sdtPr>
                      <w:sdtContent>
                        <w:p>
                          <w:pPr>
                            <w:ind w:firstLine="720"/>
                            <w:jc w:val="both"/>
                          </w:pPr>
                          <w:sdt>
                            <w:sdtPr>
                              <w:alias w:val="Numeris"/>
                              <w:tag w:val="nr_d1f202d99ebd4f01a3cec3ad9a7591e4"/>
                              <w:lock w:val="sdtLocked"/>
                              <w:richText/>
                            </w:sdtPr>
                            <w:sdtContent>
                              <w:r>
                                <w:rPr>
                                  <w:szCs w:val="24"/>
                                </w:rPr>
                                <w:t>33.13</w:t>
                              </w:r>
                            </w:sdtContent>
                          </w:sdt>
                          <w:r>
                            <w:rPr>
                              <w:szCs w:val="24"/>
                            </w:rPr>
                            <w:t>. dėl pajamų iš elektros energijos tarptautinio tranzito ir įėjimo į Lietuvos Respublikos elektros energijos rinką pokyčio;</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sdtContent>
                    </w:sdt>
                    <w:sdt>
                      <w:sdtPr>
                        <w:alias w:val="33.14 p."/>
                        <w:tag w:val="part_82e6df68dc3a46cbb740862b33633436"/>
                        <w:lock w:val="sdtLocked"/>
                        <w:richText/>
                      </w:sdtPr>
                      <w:sdtContent>
                        <w:p>
                          <w:pPr>
                            <w:ind w:firstLine="720"/>
                            <w:jc w:val="both"/>
                          </w:pPr>
                          <w:sdt>
                            <w:sdtPr>
                              <w:alias w:val="Numeris"/>
                              <w:tag w:val="nr_82e6df68dc3a46cbb740862b33633436"/>
                              <w:lock w:val="sdtLocked"/>
                              <w:richText/>
                            </w:sdtPr>
                            <w:sdtContent>
                              <w:r>
                                <w:rPr>
                                  <w:szCs w:val="24"/>
                                </w:rPr>
                                <w:t>33.14</w:t>
                              </w:r>
                            </w:sdtContent>
                          </w:sdt>
                          <w:r>
                            <w:rPr>
                              <w:szCs w:val="24"/>
                            </w:rPr>
                            <w:t>. dėl PSO nacionalinės balansavimo funkcijos veiklos rezultato pokyčio;</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sdtContent>
                    </w:sdt>
                    <w:sdt>
                      <w:sdtPr>
                        <w:alias w:val="33.15 p."/>
                        <w:tag w:val="part_253404aba63e4742b4779d1c8a806f3d"/>
                        <w:lock w:val="sdtLocked"/>
                        <w:richText/>
                      </w:sdtPr>
                      <w:sdtContent>
                        <w:p>
                          <w:pPr>
                            <w:tabs>
                              <w:tab w:val="left" w:pos="1134"/>
                            </w:tabs>
                            <w:ind w:firstLine="709"/>
                            <w:jc w:val="both"/>
                          </w:pPr>
                          <w:sdt>
                            <w:sdtPr>
                              <w:alias w:val="Numeris"/>
                              <w:tag w:val="nr_253404aba63e4742b4779d1c8a806f3d"/>
                              <w:lock w:val="sdtLocked"/>
                              <w:richText/>
                            </w:sdtPr>
                            <w:sdtContent>
                              <w:r>
                                <w:rPr>
                                  <w:szCs w:val="24"/>
                                </w:rPr>
                                <w:t>33.15</w:t>
                              </w:r>
                            </w:sdtContent>
                          </w:sdt>
                          <w:r>
                            <w:rPr>
                              <w:szCs w:val="24"/>
                            </w:rPr>
                            <w:t>. dėl OPEX koregavimo Finansų ministerijos prognozuojamos infliacijos ir vidutinio darbo užmokesčio pokyčio bei nustatyto efektyvumo koeficiento dydžiu. Darbo užmokesčio atveju koregavimo indeksas yra nominalus vidutinio darbo užmokesčio pokytis, kitų OPEX kaštų atveju suderintas vartotojų kainų indeksas;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33.16 p."/>
                        <w:tag w:val="part_797371b043b24e43a82a3b30cf58d3ec"/>
                        <w:lock w:val="sdtLocked"/>
                        <w:richText/>
                      </w:sdtPr>
                      <w:sdtContent>
                        <w:p>
                          <w:pPr>
                            <w:pStyle w:val="PlainText"/>
                            <w:ind w:firstLine="567"/>
                            <w:jc w:val="both"/>
                            <w:rPr>
                              <w:rFonts w:ascii="Times New Roman" w:hAnsi="Times New Roman"/>
                              <w:b/>
                              <w:bCs/>
                              <w:sz w:val="22"/>
                            </w:rPr>
                          </w:pPr>
                          <w:r>
                            <w:rPr>
                              <w:rFonts w:ascii="Times New Roman" w:hAnsi="Times New Roman"/>
                              <w:sz w:val="22"/>
                            </w:rPr>
                            <w:t>33.16</w:t>
                          </w:r>
                          <w:r>
                            <w:rPr>
                              <w:rFonts w:ascii="Times New Roman" w:hAnsi="Times New Roman"/>
                              <w:sz w:val="22"/>
                            </w:rPr>
                            <w:t>.</w:t>
                          </w:r>
                          <w:r>
                            <w:rPr>
                              <w:rFonts w:ascii="Times New Roman" w:eastAsia="MS Mincho" w:hAnsi="Times New Roman"/>
                              <w:sz w:val="20"/>
                              <w:i/>
                              <w:iCs/>
                            </w:rPr>
                            <w:t xml:space="preserve"> Neteko galios nuo 2017-09-16</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33.17 p."/>
                        <w:tag w:val="part_e12a5fee30d046b59815f7f5c0acfc11"/>
                        <w:lock w:val="sdtLocked"/>
                        <w:richText/>
                      </w:sdtPr>
                      <w:sdtContent>
                        <w:p>
                          <w:pPr>
                            <w:tabs>
                              <w:tab w:val="left" w:pos="1276"/>
                              <w:tab w:val="left" w:pos="1843"/>
                              <w:tab w:val="left" w:pos="2268"/>
                            </w:tabs>
                            <w:ind w:firstLine="709"/>
                            <w:jc w:val="both"/>
                          </w:pPr>
                          <w:sdt>
                            <w:sdtPr>
                              <w:alias w:val="Numeris"/>
                              <w:tag w:val="nr_e12a5fee30d046b59815f7f5c0acfc11"/>
                              <w:lock w:val="sdtLocked"/>
                              <w:richText/>
                            </w:sdtPr>
                            <w:sdtContent>
                              <w:r>
                                <w:rPr>
                                  <w:szCs w:val="24"/>
                                </w:rPr>
                                <w:t>33.17</w:t>
                              </w:r>
                            </w:sdtContent>
                          </w:sdt>
                          <w:r>
                            <w:rPr>
                              <w:szCs w:val="24"/>
                            </w:rPr>
                            <w:t>. kitais šioje Metodikoje nustatytais būdais.</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Content>
                </w:sdt>
              </w:sdtContent>
            </w:sdt>
            <w:sdt>
              <w:sdtPr>
                <w:alias w:val="skirsnis"/>
                <w:tag w:val="part_8ed38321041443e4bc3b4a48d4786259"/>
                <w:lock w:val="sdtLocked"/>
                <w:richText/>
              </w:sdtPr>
              <w:sdtContent>
                <w:p>
                  <w:pPr>
                    <w:tabs>
                      <w:tab w:val="left" w:pos="1134"/>
                      <w:tab w:val="left" w:pos="1843"/>
                      <w:tab w:val="left" w:pos="2268"/>
                    </w:tabs>
                    <w:jc w:val="center"/>
                    <w:rPr>
                      <w:b/>
                      <w:szCs w:val="24"/>
                    </w:rPr>
                  </w:pPr>
                  <w:sdt>
                    <w:sdtPr>
                      <w:alias w:val="Numeris"/>
                      <w:tag w:val="nr_8ed38321041443e4bc3b4a48d4786259"/>
                      <w:lock w:val="sdtLocked"/>
                      <w:richText/>
                    </w:sdtPr>
                    <w:sdtContent>
                      <w:r>
                        <w:rPr>
                          <w:b/>
                          <w:szCs w:val="24"/>
                        </w:rPr>
                        <w:t>ANTRASIS</w:t>
                      </w:r>
                    </w:sdtContent>
                  </w:sdt>
                  <w:r>
                    <w:rPr>
                      <w:b/>
                      <w:szCs w:val="24"/>
                    </w:rPr>
                    <w:t xml:space="preserve"> SKIRSNIS</w:t>
                  </w:r>
                </w:p>
                <w:p>
                  <w:pPr>
                    <w:tabs>
                      <w:tab w:val="left" w:pos="1134"/>
                      <w:tab w:val="left" w:pos="1843"/>
                      <w:tab w:val="left" w:pos="2268"/>
                    </w:tabs>
                    <w:jc w:val="center"/>
                    <w:rPr>
                      <w:b/>
                      <w:szCs w:val="24"/>
                    </w:rPr>
                  </w:pPr>
                  <w:sdt>
                    <w:sdtPr>
                      <w:alias w:val="Pavadinimas"/>
                      <w:tag w:val="title_8ed38321041443e4bc3b4a48d4786259"/>
                      <w:lock w:val="sdtLocked"/>
                      <w:richText/>
                    </w:sdtPr>
                    <w:sdtContent>
                      <w:r>
                        <w:rPr>
                          <w:b/>
                          <w:szCs w:val="24"/>
                        </w:rPr>
                        <w:t>PERDAVIMO AUKŠTOS ĮTAMPOS TINKLAIS PASLAUGOS KAINODARA</w:t>
                      </w:r>
                    </w:sdtContent>
                  </w:sdt>
                </w:p>
                <w:p>
                  <w:pPr>
                    <w:tabs>
                      <w:tab w:val="left" w:pos="1134"/>
                      <w:tab w:val="left" w:pos="1843"/>
                      <w:tab w:val="left" w:pos="2268"/>
                    </w:tabs>
                    <w:ind w:firstLine="567"/>
                    <w:jc w:val="both"/>
                    <w:rPr>
                      <w:szCs w:val="24"/>
                    </w:rPr>
                  </w:pPr>
                </w:p>
                <w:p>
                  <w:pPr>
                    <w:tabs>
                      <w:tab w:val="left" w:pos="1134"/>
                      <w:tab w:val="left" w:pos="1843"/>
                      <w:tab w:val="left" w:pos="2268"/>
                    </w:tabs>
                    <w:ind w:firstLine="567"/>
                    <w:jc w:val="both"/>
                    <w:rPr>
                      <w:szCs w:val="24"/>
                    </w:rPr>
                  </w:pPr>
                </w:p>
                <w:sdt>
                  <w:sdtPr>
                    <w:alias w:val="34 p."/>
                    <w:tag w:val="part_ffa33668b8754ef880c10d0ae79e1559"/>
                    <w:lock w:val="sdtLocked"/>
                    <w:richText/>
                  </w:sdtPr>
                  <w:sdtContent>
                    <w:p>
                      <w:pPr>
                        <w:tabs>
                          <w:tab w:val="left" w:pos="1134"/>
                          <w:tab w:val="left" w:pos="1843"/>
                          <w:tab w:val="left" w:pos="2268"/>
                        </w:tabs>
                        <w:ind w:firstLine="709"/>
                        <w:jc w:val="both"/>
                        <w:rPr>
                          <w:szCs w:val="24"/>
                        </w:rPr>
                      </w:pPr>
                      <w:sdt>
                        <w:sdtPr>
                          <w:alias w:val="Numeris"/>
                          <w:tag w:val="nr_ffa33668b8754ef880c10d0ae79e1559"/>
                          <w:lock w:val="sdtLocked"/>
                          <w:richText/>
                        </w:sdtPr>
                        <w:sdtContent>
                          <w:r>
                            <w:rPr>
                              <w:szCs w:val="24"/>
                            </w:rPr>
                            <w:t>34</w:t>
                          </w:r>
                        </w:sdtContent>
                      </w:sdt>
                      <w:r>
                        <w:rPr>
                          <w:szCs w:val="24"/>
                        </w:rPr>
                        <w:t>. Prieš apskaičiuojant perdavimo paslaugos aukštos įtampos (toliau – AĮ) tinklais kainos viršutinę ribą turi būti apskaičiuotos nekoreguotos leidžiamos pajamos, o po jų – galutinės PSO leidžiamos pajamos, apskaičiuojamos naudojant Modelį, kuris sumodeliuoja tinklą, atsižvelgiant į būsimą elektros energijos paklausą bei įvertinus Metodikos 33 punkte nustatytus leidžiamų pajamų padidinimo ar sumažinimo kriterijus.</w:t>
                      </w:r>
                    </w:p>
                  </w:sdtContent>
                </w:sdt>
                <w:sdt>
                  <w:sdtPr>
                    <w:alias w:val="35 p."/>
                    <w:tag w:val="part_dd510abff70a4479939c5d3f221b0f01"/>
                    <w:lock w:val="sdtLocked"/>
                    <w:richText/>
                  </w:sdtPr>
                  <w:sdtContent>
                    <w:p>
                      <w:pPr>
                        <w:tabs>
                          <w:tab w:val="left" w:pos="1080"/>
                        </w:tabs>
                        <w:ind w:firstLine="720"/>
                        <w:jc w:val="both"/>
                        <w:rPr>
                          <w:szCs w:val="24"/>
                        </w:rPr>
                      </w:pPr>
                      <w:sdt>
                        <w:sdtPr>
                          <w:alias w:val="Numeris"/>
                          <w:tag w:val="nr_dd510abff70a4479939c5d3f221b0f01"/>
                          <w:lock w:val="sdtLocked"/>
                          <w:richText/>
                        </w:sdtPr>
                        <w:sdtContent>
                          <w:r>
                            <w:rPr>
                              <w:szCs w:val="24"/>
                            </w:rPr>
                            <w:t>35</w:t>
                          </w:r>
                        </w:sdtContent>
                      </w:sdt>
                      <w:r>
                        <w:rPr>
                          <w:szCs w:val="24"/>
                        </w:rPr>
                        <w:t>. PSO bendros leidžiamos paskutinių nustatomo reguliavimo periodo metų pajamos, susideda iš 2 dalių:</w:t>
                      </w:r>
                    </w:p>
                    <w:sdt>
                      <w:sdtPr>
                        <w:alias w:val="35.1 p."/>
                        <w:tag w:val="part_2518e94d39814822bdf99504ee913d30"/>
                        <w:lock w:val="sdtLocked"/>
                        <w:richText/>
                      </w:sdtPr>
                      <w:sdtContent>
                        <w:p>
                          <w:pPr>
                            <w:tabs>
                              <w:tab w:val="left" w:pos="1134"/>
                            </w:tabs>
                            <w:ind w:firstLine="709"/>
                            <w:jc w:val="both"/>
                            <w:rPr>
                              <w:szCs w:val="24"/>
                            </w:rPr>
                          </w:pPr>
                          <w:sdt>
                            <w:sdtPr>
                              <w:alias w:val="Numeris"/>
                              <w:tag w:val="nr_2518e94d39814822bdf99504ee913d30"/>
                              <w:lock w:val="sdtLocked"/>
                              <w:richText/>
                            </w:sdtPr>
                            <w:sdtContent>
                              <w:r>
                                <w:rPr>
                                  <w:szCs w:val="24"/>
                                </w:rPr>
                                <w:t>35.1</w:t>
                              </w:r>
                            </w:sdtContent>
                          </w:sdt>
                          <w:r>
                            <w:rPr>
                              <w:szCs w:val="24"/>
                            </w:rPr>
                            <w:t xml:space="preserve">. metinių Kapitalo kaštų, kurie apskaičiuojami  Metodikos 7 punkte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35.2 p."/>
                        <w:tag w:val="part_be5ee7e61886424a9d027273c19659e2"/>
                        <w:lock w:val="sdtLocked"/>
                        <w:richText/>
                      </w:sdtPr>
                      <w:sdtContent>
                        <w:p>
                          <w:pPr>
                            <w:tabs>
                              <w:tab w:val="left" w:pos="1134"/>
                            </w:tabs>
                            <w:ind w:firstLine="709"/>
                            <w:jc w:val="both"/>
                            <w:rPr>
                              <w:szCs w:val="24"/>
                            </w:rPr>
                          </w:pPr>
                          <w:sdt>
                            <w:sdtPr>
                              <w:alias w:val="Numeris"/>
                              <w:tag w:val="nr_be5ee7e61886424a9d027273c19659e2"/>
                              <w:lock w:val="sdtLocked"/>
                              <w:richText/>
                            </w:sdtPr>
                            <w:sdtContent>
                              <w:r>
                                <w:rPr>
                                  <w:szCs w:val="24"/>
                                </w:rPr>
                                <w:t>35.2</w:t>
                              </w:r>
                            </w:sdtContent>
                          </w:sdt>
                          <w:r>
                            <w:rPr>
                              <w:szCs w:val="24"/>
                            </w:rPr>
                            <w:t xml:space="preserve">. metinio OPEX, kuris apskaičiuojamas  Metodikos 8 punkte nustatyta tvarka  įvertinus planinį infliacijos dydį.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Content>
                </w:sdt>
                <w:sdt>
                  <w:sdtPr>
                    <w:alias w:val="36 p."/>
                    <w:tag w:val="part_a0204c11b3ed4dad9d679ed5ef400b1b"/>
                    <w:lock w:val="sdtLocked"/>
                    <w:richText/>
                  </w:sdtPr>
                  <w:sdtContent>
                    <w:p>
                      <w:pPr>
                        <w:tabs>
                          <w:tab w:val="left" w:pos="1134"/>
                        </w:tabs>
                        <w:ind w:firstLine="709"/>
                        <w:jc w:val="both"/>
                        <w:rPr>
                          <w:szCs w:val="24"/>
                        </w:rPr>
                      </w:pPr>
                      <w:sdt>
                        <w:sdtPr>
                          <w:alias w:val="Numeris"/>
                          <w:tag w:val="nr_a0204c11b3ed4dad9d679ed5ef400b1b"/>
                          <w:lock w:val="sdtLocked"/>
                          <w:richText/>
                        </w:sdtPr>
                        <w:sdtContent>
                          <w:r>
                            <w:rPr>
                              <w:szCs w:val="24"/>
                            </w:rPr>
                            <w:t>36</w:t>
                          </w:r>
                        </w:sdtContent>
                      </w:sdt>
                      <w:r>
                        <w:rPr>
                          <w:szCs w:val="24"/>
                        </w:rPr>
                        <w:t>. Pirmiausia Modelis apskaičiuoja bendras PSO leidžiamas t metų nekoreguotas pajamas. Bendros PSO leidžiamos pajamos apskaičiuojamos pagal formulę:</w:t>
                      </w:r>
                    </w:p>
                    <w:p>
                      <w:pPr>
                        <w:tabs>
                          <w:tab w:val="left" w:pos="1134"/>
                        </w:tabs>
                        <w:ind w:firstLine="709"/>
                        <w:jc w:val="both"/>
                        <w:rPr>
                          <w:szCs w:val="24"/>
                        </w:rPr>
                      </w:pPr>
                    </w:p>
                    <w:p>
                      <w:pPr>
                        <w:tabs>
                          <w:tab w:val="left" w:pos="1134"/>
                        </w:tabs>
                        <w:ind w:firstLine="2160"/>
                        <w:jc w:val="both"/>
                        <w:rPr>
                          <w:szCs w:val="24"/>
                        </w:rPr>
                      </w:pPr>
                      <m:oMath>
                        <m:sSub>
                          <m:sSubPr>
                            <m:ctrlPr>
                              <w:rPr>
                                <w:rFonts w:ascii="Cambria Math" w:hAnsi="Cambria Math"/>
                                <w:szCs w:val="24"/>
                              </w:rPr>
                            </m:ctrlPr>
                          </m:sSubPr>
                          <m:e>
                            <m:r>
                              <w:rPr>
                                <w:rFonts w:ascii="Cambria Math" w:hAnsi="Cambria Math"/>
                                <w:szCs w:val="24"/>
                              </w:rPr>
                              <m:t>LRAIC</m:t>
                            </m:r>
                          </m:e>
                          <m:sub>
                            <m:r>
                              <w:rPr>
                                <w:rFonts w:ascii="Cambria Math" w:hAnsi="Cambria Math"/>
                                <w:szCs w:val="24"/>
                              </w:rPr>
                              <m:t>TSO</m:t>
                            </m:r>
                            <m:r>
                              <m:rPr>
                                <m:sty m:val="p"/>
                              </m:rPr>
                              <w:rPr>
                                <w:rFonts w:ascii="Cambria Math" w:hAnsi="Cambria Math"/>
                                <w:szCs w:val="24"/>
                              </w:rPr>
                              <m:t>,</m:t>
                            </m:r>
                            <m:r>
                              <w:rPr>
                                <w:rFonts w:ascii="Cambria Math" w:hAnsi="Cambria Math"/>
                                <w:szCs w:val="24"/>
                              </w:rPr>
                              <m:t>t</m:t>
                            </m:r>
                          </m:sub>
                        </m:sSub>
                        <m:r>
                          <m:rPr>
                            <m:sty m:val="p"/>
                          </m:rPr>
                          <w:rPr>
                            <w:rFonts w:ascii="Cambria Math" w:hAnsi="Cambria Math"/>
                            <w:szCs w:val="24"/>
                          </w:rPr>
                          <m:t>=</m:t>
                        </m:r>
                        <m:sSub>
                          <m:sSubPr>
                            <m:ctrlPr>
                              <w:rPr>
                                <w:rFonts w:ascii="Cambria Math" w:hAnsi="Cambria Math"/>
                                <w:szCs w:val="24"/>
                              </w:rPr>
                            </m:ctrlPr>
                          </m:sSubPr>
                          <m:e>
                            <m:r>
                              <w:rPr>
                                <w:rFonts w:ascii="Cambria Math" w:hAnsi="Cambria Math"/>
                                <w:szCs w:val="24"/>
                              </w:rPr>
                              <m:t>P</m:t>
                            </m:r>
                          </m:e>
                          <m:sub>
                            <m:r>
                              <w:rPr>
                                <w:rFonts w:ascii="Cambria Math" w:hAnsi="Cambria Math"/>
                                <w:szCs w:val="24"/>
                              </w:rPr>
                              <m:t>TSO</m:t>
                            </m:r>
                            <m:r>
                              <m:rPr>
                                <m:sty m:val="p"/>
                              </m:rPr>
                              <w:rPr>
                                <w:rFonts w:ascii="Cambria Math" w:hAnsi="Cambria Math"/>
                                <w:szCs w:val="24"/>
                              </w:rPr>
                              <m:t>,0</m:t>
                            </m:r>
                          </m:sub>
                        </m:sSub>
                        <m:r>
                          <m:rPr>
                            <m:sty m:val="p"/>
                          </m:rPr>
                          <w:rPr>
                            <w:rFonts w:ascii="Cambria Math" w:hAnsi="Cambria Math"/>
                            <w:szCs w:val="24"/>
                          </w:rPr>
                          <m:t>-</m:t>
                        </m:r>
                        <m:d>
                          <m:dPr>
                            <m:ctrlPr>
                              <w:rPr>
                                <w:rFonts w:ascii="Cambria Math" w:hAnsi="Cambria Math"/>
                                <w:szCs w:val="24"/>
                              </w:rPr>
                            </m:ctrlPr>
                          </m:dPr>
                          <m:e>
                            <m:f>
                              <m:fPr>
                                <m:ctrlPr>
                                  <w:rPr>
                                    <w:rFonts w:ascii="Cambria Math" w:hAnsi="Cambria Math"/>
                                    <w:szCs w:val="24"/>
                                  </w:rPr>
                                </m:ctrlPr>
                              </m:fPr>
                              <m:num>
                                <m:sSub>
                                  <m:sSubPr>
                                    <m:ctrlPr>
                                      <w:rPr>
                                        <w:rFonts w:ascii="Cambria Math" w:hAnsi="Cambria Math"/>
                                        <w:szCs w:val="24"/>
                                      </w:rPr>
                                    </m:ctrlPr>
                                  </m:sSubPr>
                                  <m:e>
                                    <m:r>
                                      <w:rPr>
                                        <w:rFonts w:ascii="Cambria Math" w:hAnsi="Cambria Math"/>
                                        <w:szCs w:val="24"/>
                                      </w:rPr>
                                      <m:t>P</m:t>
                                    </m:r>
                                  </m:e>
                                  <m:sub>
                                    <m:r>
                                      <w:rPr>
                                        <w:rFonts w:ascii="Cambria Math" w:hAnsi="Cambria Math"/>
                                        <w:szCs w:val="24"/>
                                      </w:rPr>
                                      <m:t>TSO</m:t>
                                    </m:r>
                                    <m:r>
                                      <m:rPr>
                                        <m:sty m:val="p"/>
                                      </m:rPr>
                                      <w:rPr>
                                        <w:rFonts w:ascii="Cambria Math" w:hAnsi="Cambria Math"/>
                                        <w:szCs w:val="24"/>
                                      </w:rPr>
                                      <m:t>,0</m:t>
                                    </m:r>
                                  </m:sub>
                                </m:sSub>
                                <m:r>
                                  <m:rPr>
                                    <m:sty m:val="p"/>
                                  </m:rPr>
                                  <w:rPr>
                                    <w:rFonts w:ascii="Cambria Math" w:hAnsi="Cambria Math"/>
                                    <w:szCs w:val="24"/>
                                  </w:rPr>
                                  <m:t>-</m:t>
                                </m:r>
                                <m:sSub>
                                  <m:sSubPr>
                                    <m:ctrlPr>
                                      <w:rPr>
                                        <w:rFonts w:ascii="Cambria Math" w:hAnsi="Cambria Math"/>
                                        <w:szCs w:val="24"/>
                                      </w:rPr>
                                    </m:ctrlPr>
                                  </m:sSubPr>
                                  <m:e>
                                    <m:r>
                                      <w:rPr>
                                        <w:rFonts w:ascii="Cambria Math" w:hAnsi="Cambria Math"/>
                                        <w:szCs w:val="24"/>
                                      </w:rPr>
                                      <m:t>LRAIC</m:t>
                                    </m:r>
                                  </m:e>
                                  <m:sub>
                                    <m:r>
                                      <w:rPr>
                                        <w:rFonts w:ascii="Cambria Math" w:hAnsi="Cambria Math"/>
                                        <w:szCs w:val="24"/>
                                      </w:rPr>
                                      <m:t>TSO</m:t>
                                    </m:r>
                                    <m:r>
                                      <m:rPr>
                                        <m:sty m:val="p"/>
                                      </m:rPr>
                                      <w:rPr>
                                        <w:rFonts w:ascii="Cambria Math" w:hAnsi="Cambria Math"/>
                                        <w:szCs w:val="24"/>
                                      </w:rPr>
                                      <m:t>,</m:t>
                                    </m:r>
                                    <m:r>
                                      <w:rPr>
                                        <w:rFonts w:ascii="Cambria Math" w:hAnsi="Cambria Math"/>
                                        <w:szCs w:val="24"/>
                                      </w:rPr>
                                      <m:t>m</m:t>
                                    </m:r>
                                  </m:sub>
                                </m:sSub>
                              </m:num>
                              <m:den>
                                <m:r>
                                  <w:rPr>
                                    <w:rFonts w:ascii="Cambria Math" w:hAnsi="Cambria Math"/>
                                    <w:szCs w:val="24"/>
                                  </w:rPr>
                                  <m:t>T</m:t>
                                </m:r>
                              </m:den>
                            </m:f>
                          </m:e>
                        </m:d>
                        <m:r>
                          <m:rPr>
                            <m:sty m:val="p"/>
                          </m:rPr>
                          <w:rPr>
                            <w:rFonts w:ascii="Cambria Math" w:hAnsi="Cambria Math"/>
                            <w:szCs w:val="24"/>
                          </w:rPr>
                          <m:t>×</m:t>
                        </m:r>
                        <m:r>
                          <w:rPr>
                            <w:rFonts w:ascii="Cambria Math" w:hAnsi="Cambria Math"/>
                            <w:szCs w:val="24"/>
                          </w:rPr>
                          <m:t>t</m:t>
                        </m:r>
                      </m:oMath>
                      <w:r>
                        <w:rPr>
                          <w:szCs w:val="24"/>
                        </w:rPr>
                        <w:t>(13)</w:t>
                      </w:r>
                    </w:p>
                    <w:p>
                      <w:pPr>
                        <w:tabs>
                          <w:tab w:val="left" w:pos="1134"/>
                        </w:tabs>
                        <w:ind w:firstLine="709"/>
                        <w:jc w:val="both"/>
                        <w:rPr>
                          <w:szCs w:val="24"/>
                        </w:rPr>
                      </w:pPr>
                    </w:p>
                    <w:p>
                      <w:pPr>
                        <w:tabs>
                          <w:tab w:val="left" w:pos="1134"/>
                        </w:tabs>
                        <w:jc w:val="both"/>
                        <w:rPr>
                          <w:szCs w:val="24"/>
                        </w:rPr>
                      </w:pPr>
                      <w:r>
                        <w:rPr>
                          <w:szCs w:val="24"/>
                        </w:rPr>
                        <w:t>čia:</w:t>
                      </w:r>
                    </w:p>
                    <w:p>
                      <w:pPr>
                        <w:tabs>
                          <w:tab w:val="left" w:pos="1134"/>
                        </w:tabs>
                        <w:jc w:val="both"/>
                        <w:rPr>
                          <w:szCs w:val="24"/>
                        </w:rPr>
                      </w:pPr>
                      <w:r>
                        <w:rPr>
                          <w:szCs w:val="24"/>
                        </w:rPr>
                        <w:t>LRAIC</w:t>
                      </w:r>
                      <w:r>
                        <w:rPr>
                          <w:szCs w:val="24"/>
                          <w:vertAlign w:val="subscript"/>
                        </w:rPr>
                        <w:t xml:space="preserve">TSO,t </w:t>
                      </w:r>
                      <w:r>
                        <w:rPr>
                          <w:szCs w:val="24"/>
                        </w:rPr>
                        <w:t>– PSO nekoreguotos t metų leidžiamos pajamos;</w:t>
                      </w:r>
                    </w:p>
                    <w:p>
                      <w:pPr>
                        <w:tabs>
                          <w:tab w:val="left" w:pos="1134"/>
                        </w:tabs>
                        <w:jc w:val="both"/>
                        <w:rPr>
                          <w:szCs w:val="24"/>
                        </w:rPr>
                      </w:pPr>
                      <w:r>
                        <w:rPr>
                          <w:szCs w:val="24"/>
                        </w:rPr>
                        <w:t>P</w:t>
                      </w:r>
                      <w:r>
                        <w:rPr>
                          <w:szCs w:val="24"/>
                          <w:vertAlign w:val="subscript"/>
                        </w:rPr>
                        <w:t>TSO,0</w:t>
                      </w:r>
                      <w:r>
                        <w:rPr>
                          <w:szCs w:val="24"/>
                        </w:rPr>
                        <w:t xml:space="preserve"> – PSO leidžiamos pajamos metų, einančių prieš pirmus reguliavimo periodo metus;</w:t>
                      </w:r>
                    </w:p>
                    <w:p>
                      <w:pPr>
                        <w:tabs>
                          <w:tab w:val="left" w:pos="1134"/>
                        </w:tabs>
                        <w:jc w:val="both"/>
                        <w:rPr>
                          <w:szCs w:val="24"/>
                        </w:rPr>
                      </w:pPr>
                      <w:r>
                        <w:rPr>
                          <w:szCs w:val="24"/>
                        </w:rPr>
                        <w:t>LRAIC</w:t>
                      </w:r>
                      <w:r>
                        <w:rPr>
                          <w:szCs w:val="24"/>
                          <w:vertAlign w:val="subscript"/>
                        </w:rPr>
                        <w:t>TSO,m</w:t>
                      </w:r>
                      <w:r>
                        <w:rPr>
                          <w:szCs w:val="24"/>
                        </w:rPr>
                        <w:t xml:space="preserve"> – PSO bendros leidžiamos paskutinių nustatomo reguliavimo periodo metų pajamos;</w:t>
                      </w:r>
                    </w:p>
                    <w:p>
                      <w:pPr>
                        <w:tabs>
                          <w:tab w:val="left" w:pos="1134"/>
                        </w:tabs>
                        <w:jc w:val="both"/>
                        <w:rPr>
                          <w:szCs w:val="24"/>
                        </w:rPr>
                      </w:pPr>
                      <w:r>
                        <w:rPr>
                          <w:szCs w:val="24"/>
                        </w:rPr>
                        <w:t xml:space="preserve">T –  konkrečių Komisijos sprendimu nustatytų reguliavimo periodo metų eilės Nr.;</w:t>
                      </w:r>
                    </w:p>
                    <w:p>
                      <w:pPr>
                        <w:tabs>
                          <w:tab w:val="left" w:pos="1134"/>
                        </w:tabs>
                        <w:jc w:val="both"/>
                        <w:rPr>
                          <w:szCs w:val="24"/>
                        </w:rPr>
                      </w:pPr>
                      <w:r>
                        <w:rPr>
                          <w:szCs w:val="24"/>
                        </w:rPr>
                        <w:t>t – reguliavimo periodo metų eilės numeris, kuriam skaičiuojamos nekoreguotos leidžiamos pajamos.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37 p."/>
                    <w:tag w:val="part_b9264b5a72fb4a29b32837dcd64379c7"/>
                    <w:lock w:val="sdtLocked"/>
                    <w:richText/>
                  </w:sdtPr>
                  <w:sdtContent>
                    <w:p>
                      <w:pPr>
                        <w:tabs>
                          <w:tab w:val="left" w:pos="993"/>
                        </w:tabs>
                        <w:ind w:firstLine="709"/>
                        <w:jc w:val="both"/>
                        <w:rPr>
                          <w:szCs w:val="24"/>
                        </w:rPr>
                      </w:pPr>
                      <w:sdt>
                        <w:sdtPr>
                          <w:alias w:val="Numeris"/>
                          <w:tag w:val="nr_b9264b5a72fb4a29b32837dcd64379c7"/>
                          <w:lock w:val="sdtLocked"/>
                          <w:richText/>
                        </w:sdtPr>
                        <w:sdtContent>
                          <w:r>
                            <w:rPr>
                              <w:szCs w:val="24"/>
                            </w:rPr>
                            <w:t>37</w:t>
                          </w:r>
                        </w:sdtContent>
                      </w:sdt>
                      <w:r>
                        <w:rPr>
                          <w:szCs w:val="24"/>
                        </w:rPr>
                        <w:t xml:space="preserve">. Nekoreguotos PSO leistinos pajamos apskaičiuojamos naudojant Modelį, kuris sumodeliuoja tinklą, atsižvelgiant į būsimą elektros energijos paklausą su elektros energijos tranzitu. Apskaičiuojant PSO leidžiamas pajamas už elektros energijos perdavimo paslaugą šalies poreikiui, iš nekoreguotų leidžiamų PSO pajamų atimamos  numatomos pajamos iš elektros energijos tarptautinio tranzito ir įėjimo į Lietuvos Respublikos elektros energijos rinką;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38 p."/>
                    <w:tag w:val="part_add94b8186214b6ab28ff8cbb09e620c"/>
                    <w:lock w:val="sdtLocked"/>
                    <w:richText/>
                  </w:sdtPr>
                  <w:sdtContent>
                    <w:p>
                      <w:pPr>
                        <w:tabs>
                          <w:tab w:val="left" w:pos="993"/>
                        </w:tabs>
                        <w:ind w:firstLine="709"/>
                        <w:jc w:val="both"/>
                        <w:rPr>
                          <w:szCs w:val="24"/>
                        </w:rPr>
                      </w:pPr>
                      <w:sdt>
                        <w:sdtPr>
                          <w:alias w:val="Numeris"/>
                          <w:tag w:val="nr_add94b8186214b6ab28ff8cbb09e620c"/>
                          <w:lock w:val="sdtLocked"/>
                          <w:richText/>
                        </w:sdtPr>
                        <w:sdtContent>
                          <w:r>
                            <w:rPr>
                              <w:szCs w:val="24"/>
                            </w:rPr>
                            <w:t>38</w:t>
                          </w:r>
                        </w:sdtContent>
                      </w:sdt>
                      <w:r>
                        <w:rPr>
                          <w:szCs w:val="24"/>
                        </w:rPr>
                        <w:t>. PSO leidžiamos pajamos už perdavimo paslaugą šalies poreikiui apskaičiuojamos pagal formulę:</w:t>
                      </w:r>
                    </w:p>
                    <w:p>
                      <w:pPr>
                        <w:tabs>
                          <w:tab w:val="left" w:pos="993"/>
                        </w:tabs>
                        <w:ind w:firstLine="709"/>
                        <w:jc w:val="both"/>
                        <w:rPr>
                          <w:szCs w:val="24"/>
                        </w:rPr>
                      </w:pPr>
                    </w:p>
                    <w:p>
                      <w:pPr>
                        <w:tabs>
                          <w:tab w:val="left" w:pos="0"/>
                          <w:tab w:val="left" w:pos="9214"/>
                        </w:tabs>
                        <w:jc w:val="both"/>
                        <w:rPr>
                          <w:szCs w:val="24"/>
                        </w:rPr>
                      </w:pPr>
                      <w:r>
                        <w:rPr>
                          <w:i/>
                          <w:iCs/>
                          <w:szCs w:val="24"/>
                        </w:rPr>
                        <w:t>LRAIC</w:t>
                      </w:r>
                      <w:r>
                        <w:rPr>
                          <w:szCs w:val="24"/>
                          <w:vertAlign w:val="subscript"/>
                        </w:rPr>
                        <w:t xml:space="preserve">110, </w:t>
                      </w:r>
                      <w:r>
                        <w:rPr>
                          <w:i/>
                          <w:iCs/>
                          <w:szCs w:val="24"/>
                          <w:vertAlign w:val="subscript"/>
                        </w:rPr>
                        <w:t xml:space="preserve">t </w:t>
                      </w:r>
                      <w:r>
                        <w:rPr>
                          <w:szCs w:val="24"/>
                        </w:rPr>
                        <w:t xml:space="preserve">= </w:t>
                      </w:r>
                      <w:r>
                        <w:rPr>
                          <w:i/>
                          <w:iCs/>
                          <w:szCs w:val="24"/>
                        </w:rPr>
                        <w:t>LRAIC</w:t>
                      </w:r>
                      <w:r>
                        <w:rPr>
                          <w:i/>
                          <w:iCs/>
                          <w:szCs w:val="24"/>
                          <w:vertAlign w:val="subscript"/>
                        </w:rPr>
                        <w:t xml:space="preserve">TSO, t </w:t>
                      </w:r>
                      <w:r>
                        <w:rPr>
                          <w:szCs w:val="24"/>
                        </w:rPr>
                        <w:t xml:space="preserve">− </w:t>
                      </w:r>
                      <w:r>
                        <w:rPr>
                          <w:i/>
                          <w:iCs/>
                          <w:szCs w:val="24"/>
                        </w:rPr>
                        <w:t>IT</w:t>
                      </w:r>
                      <w:r>
                        <w:rPr>
                          <w:i/>
                          <w:iCs/>
                          <w:szCs w:val="24"/>
                          <w:vertAlign w:val="subscript"/>
                        </w:rPr>
                        <w:t xml:space="preserve">TSO, t  </w:t>
                      </w:r>
                      <w:r>
                        <w:rPr>
                          <w:i/>
                          <w:iCs/>
                          <w:szCs w:val="24"/>
                        </w:rPr>
                        <w:tab/>
                      </w:r>
                      <w:r>
                        <w:rPr>
                          <w:szCs w:val="24"/>
                        </w:rPr>
                        <w:t>(14)</w:t>
                      </w:r>
                    </w:p>
                    <w:p>
                      <w:pPr>
                        <w:tabs>
                          <w:tab w:val="left" w:pos="993"/>
                          <w:tab w:val="left" w:pos="9214"/>
                        </w:tabs>
                        <w:ind w:firstLine="709"/>
                        <w:jc w:val="both"/>
                        <w:rPr>
                          <w:szCs w:val="24"/>
                        </w:rPr>
                      </w:pPr>
                    </w:p>
                    <w:p>
                      <w:pPr>
                        <w:tabs>
                          <w:tab w:val="left" w:pos="993"/>
                          <w:tab w:val="left" w:pos="2834"/>
                          <w:tab w:val="left" w:pos="3583"/>
                        </w:tabs>
                        <w:jc w:val="both"/>
                        <w:rPr>
                          <w:i/>
                          <w:iCs/>
                          <w:szCs w:val="24"/>
                        </w:rPr>
                      </w:pPr>
                      <w:r>
                        <w:rPr>
                          <w:i/>
                          <w:iCs/>
                          <w:szCs w:val="24"/>
                        </w:rPr>
                        <w:t>čia:</w:t>
                      </w:r>
                    </w:p>
                    <w:p>
                      <w:pPr>
                        <w:tabs>
                          <w:tab w:val="left" w:pos="993"/>
                        </w:tabs>
                        <w:jc w:val="both"/>
                        <w:rPr>
                          <w:szCs w:val="24"/>
                        </w:rPr>
                      </w:pPr>
                      <w:r>
                        <w:rPr>
                          <w:szCs w:val="24"/>
                        </w:rPr>
                        <w:t>LRAIC</w:t>
                      </w:r>
                      <w:r>
                        <w:rPr>
                          <w:szCs w:val="24"/>
                          <w:vertAlign w:val="subscript"/>
                        </w:rPr>
                        <w:t>110, t</w:t>
                      </w:r>
                      <w:r>
                        <w:rPr>
                          <w:szCs w:val="24"/>
                        </w:rPr>
                        <w:t xml:space="preserve"> – nekoreguotos </w:t>
                      </w:r>
                      <w:r>
                        <w:rPr>
                          <w:i/>
                          <w:iCs/>
                          <w:szCs w:val="24"/>
                        </w:rPr>
                        <w:t xml:space="preserve">t </w:t>
                      </w:r>
                      <w:r>
                        <w:rPr>
                          <w:szCs w:val="24"/>
                        </w:rPr>
                        <w:t>metų PSO leidžiamos pajamos už elektros energijos perdavimą šalies poreikiui;</w:t>
                      </w:r>
                    </w:p>
                    <w:p>
                      <w:pPr>
                        <w:tabs>
                          <w:tab w:val="left" w:pos="993"/>
                        </w:tabs>
                        <w:jc w:val="both"/>
                        <w:rPr>
                          <w:szCs w:val="24"/>
                        </w:rPr>
                      </w:pPr>
                      <w:r>
                        <w:rPr>
                          <w:szCs w:val="24"/>
                        </w:rPr>
                        <w:t>LRAIC</w:t>
                      </w:r>
                      <w:r>
                        <w:rPr>
                          <w:szCs w:val="24"/>
                          <w:vertAlign w:val="subscript"/>
                        </w:rPr>
                        <w:t>TSO, t</w:t>
                      </w:r>
                      <w:r>
                        <w:rPr>
                          <w:szCs w:val="24"/>
                        </w:rPr>
                        <w:t xml:space="preserve"> – nekoreguotos Modeliu apskaičiuotos </w:t>
                      </w:r>
                      <w:r>
                        <w:rPr>
                          <w:i/>
                          <w:iCs/>
                          <w:szCs w:val="24"/>
                        </w:rPr>
                        <w:t xml:space="preserve">t </w:t>
                      </w:r>
                      <w:r>
                        <w:rPr>
                          <w:szCs w:val="24"/>
                        </w:rPr>
                        <w:t>metų PSO leidžiamos pajamos;</w:t>
                      </w:r>
                    </w:p>
                    <w:p>
                      <w:pPr>
                        <w:tabs>
                          <w:tab w:val="left" w:pos="993"/>
                        </w:tabs>
                        <w:jc w:val="both"/>
                        <w:rPr>
                          <w:sz w:val="6"/>
                          <w:szCs w:val="6"/>
                        </w:rPr>
                      </w:pPr>
                      <w:r>
                        <w:rPr>
                          <w:szCs w:val="24"/>
                        </w:rPr>
                        <w:t>IT</w:t>
                      </w:r>
                      <w:r>
                        <w:rPr>
                          <w:szCs w:val="24"/>
                          <w:vertAlign w:val="subscript"/>
                        </w:rPr>
                        <w:t>TSO, t</w:t>
                      </w:r>
                      <w:r>
                        <w:rPr>
                          <w:szCs w:val="24"/>
                        </w:rPr>
                        <w:t xml:space="preserve"> – planuojamos elektros energijos tarptautinio tranzito pajamos </w:t>
                      </w:r>
                      <w:r>
                        <w:rPr>
                          <w:i/>
                          <w:iCs/>
                          <w:szCs w:val="24"/>
                        </w:rPr>
                        <w:t xml:space="preserve">t </w:t>
                      </w:r>
                      <w:r>
                        <w:rPr>
                          <w:szCs w:val="24"/>
                        </w:rPr>
                        <w:t>metais;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39 p."/>
                    <w:tag w:val="part_5c82052a00344b35af09840af6f45b58"/>
                    <w:lock w:val="sdtLocked"/>
                    <w:richText/>
                  </w:sdtPr>
                  <w:sdtContent>
                    <w:p>
                      <w:pPr>
                        <w:tabs>
                          <w:tab w:val="left" w:pos="993"/>
                        </w:tabs>
                        <w:ind w:firstLine="709"/>
                        <w:jc w:val="both"/>
                        <w:rPr>
                          <w:szCs w:val="24"/>
                        </w:rPr>
                      </w:pPr>
                      <w:sdt>
                        <w:sdtPr>
                          <w:alias w:val="Numeris"/>
                          <w:tag w:val="nr_5c82052a00344b35af09840af6f45b58"/>
                          <w:lock w:val="sdtLocked"/>
                          <w:richText/>
                        </w:sdtPr>
                        <w:sdtContent>
                          <w:r>
                            <w:rPr>
                              <w:szCs w:val="24"/>
                            </w:rPr>
                            <w:t>39</w:t>
                          </w:r>
                        </w:sdtContent>
                      </w:sdt>
                      <w:r>
                        <w:rPr>
                          <w:szCs w:val="24"/>
                        </w:rPr>
                        <w:t xml:space="preserve">. Galutinės PSO </w:t>
                      </w:r>
                      <w:r>
                        <w:rPr>
                          <w:i/>
                          <w:szCs w:val="24"/>
                        </w:rPr>
                        <w:t xml:space="preserve">t </w:t>
                      </w:r>
                      <w:r>
                        <w:rPr>
                          <w:szCs w:val="24"/>
                        </w:rPr>
                        <w:t>metų leidžiamos pajamos apskaičiuojamos pagal formulę:</w:t>
                      </w:r>
                    </w:p>
                    <w:p>
                      <w:pPr>
                        <w:tabs>
                          <w:tab w:val="left" w:pos="993"/>
                        </w:tabs>
                        <w:jc w:val="both"/>
                        <w:rPr>
                          <w:szCs w:val="24"/>
                        </w:rPr>
                      </w:pPr>
                    </w:p>
                    <w:p>
                      <w:pPr>
                        <w:tabs>
                          <w:tab w:val="left" w:pos="9214"/>
                        </w:tabs>
                        <w:jc w:val="both"/>
                        <w:rPr>
                          <w:i/>
                          <w:iCs/>
                          <w:szCs w:val="24"/>
                          <w:vertAlign w:val="subscript"/>
                        </w:rPr>
                      </w:pPr>
                      <w:r>
                        <w:rPr>
                          <w:i/>
                          <w:iCs/>
                          <w:szCs w:val="24"/>
                        </w:rPr>
                        <w:t>P</w:t>
                      </w:r>
                      <w:r>
                        <w:rPr>
                          <w:szCs w:val="24"/>
                          <w:vertAlign w:val="subscript"/>
                        </w:rPr>
                        <w:t xml:space="preserve">110, </w:t>
                      </w:r>
                      <w:r>
                        <w:rPr>
                          <w:i/>
                          <w:iCs/>
                          <w:szCs w:val="24"/>
                          <w:vertAlign w:val="subscript"/>
                        </w:rPr>
                        <w:t>t</w:t>
                      </w:r>
                      <w:r>
                        <w:rPr>
                          <w:szCs w:val="24"/>
                        </w:rPr>
                        <w:t>=</w:t>
                      </w:r>
                      <w:r>
                        <w:rPr>
                          <w:i/>
                          <w:iCs/>
                          <w:szCs w:val="24"/>
                        </w:rPr>
                        <w:t>LRAIC</w:t>
                      </w:r>
                      <w:r>
                        <w:rPr>
                          <w:szCs w:val="24"/>
                          <w:vertAlign w:val="subscript"/>
                        </w:rPr>
                        <w:t xml:space="preserve">110, </w:t>
                      </w:r>
                      <w:r>
                        <w:rPr>
                          <w:i/>
                          <w:iCs/>
                          <w:szCs w:val="24"/>
                          <w:vertAlign w:val="subscript"/>
                        </w:rPr>
                        <w:t>t</w:t>
                      </w:r>
                      <w:r>
                        <w:rPr>
                          <w:szCs w:val="24"/>
                        </w:rPr>
                        <w:t>+NI</w:t>
                      </w:r>
                      <w:r>
                        <w:rPr>
                          <w:szCs w:val="24"/>
                          <w:vertAlign w:val="subscript"/>
                        </w:rPr>
                        <w:t>110, t</w:t>
                      </w:r>
                      <w:r>
                        <w:rPr>
                          <w:szCs w:val="24"/>
                        </w:rPr>
                        <w:sym w:font="Symbol" w:char="F02D"/>
                        <w:t>NT</w:t>
                      </w:r>
                      <w:r>
                        <w:rPr>
                          <w:szCs w:val="24"/>
                          <w:vertAlign w:val="subscript"/>
                        </w:rPr>
                        <w:t>110, t</w:t>
                      </w:r>
                      <w:r>
                        <w:rPr>
                          <w:szCs w:val="24"/>
                        </w:rPr>
                        <w:t>+</w:t>
                      </w:r>
                      <w:r>
                        <w:rPr>
                          <w:i/>
                          <w:iCs/>
                          <w:szCs w:val="24"/>
                        </w:rPr>
                        <w:t>BC</w:t>
                      </w:r>
                      <w:r>
                        <w:rPr>
                          <w:i/>
                          <w:iCs/>
                          <w:szCs w:val="24"/>
                          <w:vertAlign w:val="subscript"/>
                        </w:rPr>
                        <w:t>TSO</w:t>
                      </w:r>
                      <w:r>
                        <w:rPr>
                          <w:szCs w:val="24"/>
                          <w:vertAlign w:val="subscript"/>
                        </w:rPr>
                        <w:t xml:space="preserve">110, </w:t>
                      </w:r>
                      <w:r>
                        <w:rPr>
                          <w:i/>
                          <w:iCs/>
                          <w:szCs w:val="24"/>
                          <w:vertAlign w:val="subscript"/>
                        </w:rPr>
                        <w:t>t</w:t>
                      </w:r>
                      <w:r>
                        <w:rPr>
                          <w:szCs w:val="24"/>
                        </w:rPr>
                        <w:t>−</w:t>
                      </w:r>
                      <w:r>
                        <w:rPr>
                          <w:i/>
                          <w:iCs/>
                          <w:szCs w:val="24"/>
                        </w:rPr>
                        <w:t>ITC</w:t>
                      </w:r>
                      <w:r>
                        <w:rPr>
                          <w:szCs w:val="24"/>
                          <w:vertAlign w:val="subscript"/>
                        </w:rPr>
                        <w:t xml:space="preserve">110, </w:t>
                      </w:r>
                      <w:r>
                        <w:rPr>
                          <w:i/>
                          <w:iCs/>
                          <w:szCs w:val="24"/>
                          <w:vertAlign w:val="subscript"/>
                        </w:rPr>
                        <w:t>t</w:t>
                      </w:r>
                      <w:r>
                        <w:rPr>
                          <w:i/>
                          <w:iCs/>
                          <w:szCs w:val="24"/>
                        </w:rPr>
                        <w:sym w:font="Symbol" w:char="F02D"/>
                        <w:t>NJL</w:t>
                      </w:r>
                      <w:r>
                        <w:rPr>
                          <w:i/>
                          <w:iCs/>
                          <w:szCs w:val="24"/>
                          <w:vertAlign w:val="subscript"/>
                        </w:rPr>
                        <w:t>110, t-2</w:t>
                      </w:r>
                      <w:r>
                        <w:rPr>
                          <w:szCs w:val="24"/>
                        </w:rPr>
                        <w:t>+</w:t>
                      </w:r>
                      <w:r>
                        <w:rPr>
                          <w:i/>
                          <w:iCs/>
                          <w:szCs w:val="24"/>
                        </w:rPr>
                        <w:t>S</w:t>
                      </w:r>
                      <w:r>
                        <w:rPr>
                          <w:i/>
                          <w:iCs/>
                          <w:szCs w:val="24"/>
                          <w:vertAlign w:val="subscript"/>
                        </w:rPr>
                        <w:t>sr</w:t>
                      </w:r>
                      <w:r>
                        <w:rPr>
                          <w:szCs w:val="24"/>
                          <w:vertAlign w:val="subscript"/>
                        </w:rPr>
                        <w:t xml:space="preserve">110, </w:t>
                      </w:r>
                      <w:r>
                        <w:rPr>
                          <w:i/>
                          <w:iCs/>
                          <w:szCs w:val="24"/>
                          <w:vertAlign w:val="subscript"/>
                        </w:rPr>
                        <w:t>t</w:t>
                      </w:r>
                      <w:r>
                        <w:rPr>
                          <w:szCs w:val="24"/>
                        </w:rPr>
                        <w:t>+</w:t>
                      </w:r>
                      <w:r>
                        <w:rPr>
                          <w:i/>
                          <w:iCs/>
                          <w:szCs w:val="24"/>
                        </w:rPr>
                        <w:t>S</w:t>
                      </w:r>
                      <w:r>
                        <w:rPr>
                          <w:i/>
                          <w:iCs/>
                          <w:szCs w:val="24"/>
                          <w:vertAlign w:val="subscript"/>
                        </w:rPr>
                        <w:t>n</w:t>
                      </w:r>
                      <w:r>
                        <w:rPr>
                          <w:szCs w:val="24"/>
                          <w:vertAlign w:val="subscript"/>
                        </w:rPr>
                        <w:t xml:space="preserve">110, </w:t>
                      </w:r>
                      <w:r>
                        <w:rPr>
                          <w:i/>
                          <w:iCs/>
                          <w:szCs w:val="24"/>
                          <w:vertAlign w:val="subscript"/>
                        </w:rPr>
                        <w:t>t</w:t>
                      </w:r>
                      <w:r>
                        <w:rPr>
                          <w:i/>
                          <w:iCs/>
                          <w:szCs w:val="24"/>
                        </w:rPr>
                        <w:sym w:font="Symbol" w:char="F02D"/>
                        <w:t>FI</w:t>
                      </w:r>
                      <w:r>
                        <w:rPr>
                          <w:i/>
                          <w:iCs/>
                          <w:szCs w:val="24"/>
                          <w:vertAlign w:val="subscript"/>
                        </w:rPr>
                        <w:t>110, t</w:t>
                      </w:r>
                    </w:p>
                    <w:p>
                      <w:pPr>
                        <w:tabs>
                          <w:tab w:val="left" w:pos="9214"/>
                        </w:tabs>
                        <w:jc w:val="both"/>
                        <w:rPr>
                          <w:szCs w:val="24"/>
                        </w:rPr>
                      </w:pPr>
                      <w:r>
                        <w:rPr>
                          <w:i/>
                          <w:iCs/>
                          <w:szCs w:val="24"/>
                        </w:rPr>
                        <w:sym w:font="Symbol" w:char="F02D"/>
                        <w:t xml:space="preserve"> OI</w:t>
                      </w:r>
                      <w:r>
                        <w:rPr>
                          <w:i/>
                          <w:iCs/>
                          <w:szCs w:val="24"/>
                          <w:vertAlign w:val="subscript"/>
                        </w:rPr>
                        <w:t>110, t</w:t>
                      </w:r>
                      <w:r>
                        <w:rPr>
                          <w:i/>
                          <w:iCs/>
                          <w:szCs w:val="24"/>
                        </w:rPr>
                        <w:sym w:font="Symbol" w:char="F02D"/>
                        <w:t>PE</w:t>
                      </w:r>
                      <w:r>
                        <w:rPr>
                          <w:i/>
                          <w:iCs/>
                          <w:szCs w:val="24"/>
                          <w:vertAlign w:val="subscript"/>
                        </w:rPr>
                        <w:t>110, t</w:t>
                      </w:r>
                      <w:r>
                        <w:rPr>
                          <w:szCs w:val="24"/>
                        </w:rPr>
                        <w:t>+ NMS</w:t>
                      </w:r>
                      <w:r>
                        <w:rPr>
                          <w:szCs w:val="24"/>
                          <w:vertAlign w:val="subscript"/>
                        </w:rPr>
                        <w:t>TSO,t</w:t>
                      </w:r>
                      <w:r>
                        <w:rPr>
                          <w:i/>
                          <w:iCs/>
                          <w:szCs w:val="24"/>
                          <w:vertAlign w:val="subscript"/>
                        </w:rPr>
                        <w:t xml:space="preserve">  </w:t>
                      </w:r>
                      <w:r>
                        <w:rPr>
                          <w:i/>
                          <w:iCs/>
                          <w:szCs w:val="24"/>
                        </w:rPr>
                        <w:tab/>
                      </w:r>
                      <w:r>
                        <w:rPr>
                          <w:szCs w:val="24"/>
                        </w:rPr>
                        <w:t>(15)</w:t>
                      </w:r>
                    </w:p>
                    <w:p>
                      <w:pPr>
                        <w:tabs>
                          <w:tab w:val="left" w:pos="993"/>
                          <w:tab w:val="left" w:pos="9214"/>
                        </w:tabs>
                        <w:jc w:val="both"/>
                        <w:rPr>
                          <w:szCs w:val="24"/>
                        </w:rPr>
                      </w:pPr>
                    </w:p>
                    <w:p>
                      <w:pPr>
                        <w:tabs>
                          <w:tab w:val="left" w:pos="993"/>
                        </w:tabs>
                        <w:jc w:val="both"/>
                        <w:rPr>
                          <w:i/>
                          <w:iCs/>
                          <w:szCs w:val="24"/>
                        </w:rPr>
                      </w:pPr>
                      <w:r>
                        <w:rPr>
                          <w:i/>
                          <w:iCs/>
                          <w:szCs w:val="24"/>
                        </w:rPr>
                        <w:t>čia:</w:t>
                      </w:r>
                    </w:p>
                    <w:p>
                      <w:pPr>
                        <w:tabs>
                          <w:tab w:val="left" w:pos="993"/>
                        </w:tabs>
                        <w:jc w:val="both"/>
                        <w:rPr>
                          <w:szCs w:val="24"/>
                        </w:rPr>
                      </w:pPr>
                      <w:r>
                        <w:rPr>
                          <w:szCs w:val="24"/>
                        </w:rPr>
                        <w:t>P</w:t>
                      </w:r>
                      <w:r>
                        <w:rPr>
                          <w:szCs w:val="24"/>
                          <w:vertAlign w:val="subscript"/>
                        </w:rPr>
                        <w:t>110, t</w:t>
                      </w:r>
                      <w:r>
                        <w:rPr>
                          <w:szCs w:val="24"/>
                        </w:rPr>
                        <w:t xml:space="preserve"> – galutinės </w:t>
                      </w:r>
                      <w:r>
                        <w:rPr>
                          <w:i/>
                          <w:iCs/>
                          <w:szCs w:val="24"/>
                        </w:rPr>
                        <w:t xml:space="preserve">t </w:t>
                      </w:r>
                      <w:r>
                        <w:rPr>
                          <w:szCs w:val="24"/>
                        </w:rPr>
                        <w:t>metų PSO leidžiamos pajamos;</w:t>
                      </w:r>
                    </w:p>
                    <w:p>
                      <w:pPr>
                        <w:tabs>
                          <w:tab w:val="left" w:pos="993"/>
                        </w:tabs>
                        <w:jc w:val="both"/>
                        <w:rPr>
                          <w:szCs w:val="24"/>
                        </w:rPr>
                      </w:pPr>
                      <w:r>
                        <w:rPr>
                          <w:szCs w:val="24"/>
                        </w:rPr>
                        <w:t>LRAIC</w:t>
                      </w:r>
                      <w:r>
                        <w:rPr>
                          <w:szCs w:val="24"/>
                          <w:vertAlign w:val="subscript"/>
                        </w:rPr>
                        <w:t>110, t</w:t>
                      </w:r>
                      <w:r>
                        <w:rPr>
                          <w:szCs w:val="24"/>
                        </w:rPr>
                        <w:t xml:space="preserve"> – nekoreguotos </w:t>
                      </w:r>
                      <w:r>
                        <w:rPr>
                          <w:i/>
                          <w:iCs/>
                          <w:szCs w:val="24"/>
                        </w:rPr>
                        <w:t xml:space="preserve">t </w:t>
                      </w:r>
                      <w:r>
                        <w:rPr>
                          <w:szCs w:val="24"/>
                        </w:rPr>
                        <w:t>metų PSO leidžiamos pajamos už elektros energijos perdavimą vidaus poreikiams;</w:t>
                      </w:r>
                    </w:p>
                    <w:p>
                      <w:pPr>
                        <w:tabs>
                          <w:tab w:val="left" w:pos="993"/>
                        </w:tabs>
                        <w:jc w:val="both"/>
                        <w:rPr>
                          <w:szCs w:val="24"/>
                        </w:rPr>
                      </w:pPr>
                      <w:r>
                        <w:rPr>
                          <w:szCs w:val="24"/>
                        </w:rPr>
                        <w:t>NI</w:t>
                      </w:r>
                      <w:r>
                        <w:rPr>
                          <w:szCs w:val="24"/>
                          <w:vertAlign w:val="subscript"/>
                        </w:rPr>
                        <w:t>110, t</w:t>
                      </w:r>
                      <w:r>
                        <w:rPr>
                          <w:szCs w:val="24"/>
                        </w:rPr>
                        <w:t xml:space="preserve"> – metiniai naujų, tikslinių, suderintų su Komisija, investicijų, būtinų šalies poreikiams, įskaitant naujas tarpsistemines jungtis, investicijas, būtinas užtikrinti elektros energijos tiekimo saugumą, ar investicijas, būtinas pagal naujus reguliavimo reikalavimus, PSO </w:t>
                      </w:r>
                      <w:r>
                        <w:rPr>
                          <w:i/>
                          <w:iCs/>
                          <w:szCs w:val="24"/>
                        </w:rPr>
                        <w:t xml:space="preserve">t </w:t>
                      </w:r>
                      <w:r>
                        <w:rPr>
                          <w:szCs w:val="24"/>
                        </w:rPr>
                        <w:t xml:space="preserve">metų kaštai apskaičiuojami, nuo tokio turto likutinės vertės </w:t>
                      </w:r>
                      <w:r>
                        <w:rPr>
                          <w:i/>
                          <w:szCs w:val="24"/>
                        </w:rPr>
                        <w:t>t</w:t>
                      </w:r>
                      <w:r>
                        <w:rPr>
                          <w:szCs w:val="24"/>
                        </w:rPr>
                        <w:t xml:space="preserve"> metų pradžiai, EUR;</w:t>
                      </w:r>
                    </w:p>
                    <w:p>
                      <w:pPr>
                        <w:tabs>
                          <w:tab w:val="left" w:pos="993"/>
                        </w:tabs>
                        <w:jc w:val="both"/>
                        <w:rPr>
                          <w:szCs w:val="24"/>
                        </w:rPr>
                      </w:pPr>
                      <w:r>
                        <w:rPr>
                          <w:szCs w:val="24"/>
                        </w:rPr>
                        <w:t>NT</w:t>
                      </w:r>
                      <w:r>
                        <w:rPr>
                          <w:szCs w:val="24"/>
                          <w:vertAlign w:val="subscript"/>
                        </w:rPr>
                        <w:t>110, t</w:t>
                      </w:r>
                      <w:r>
                        <w:rPr>
                          <w:szCs w:val="24"/>
                        </w:rPr>
                        <w:t xml:space="preserve"> – nurašomo, perleidžiamo, išimamo iš eksploatacijos, bet į Modelį įtraukto neoptimizuotino turto, </w:t>
                      </w:r>
                      <w:r>
                        <w:rPr>
                          <w:i/>
                          <w:szCs w:val="24"/>
                        </w:rPr>
                        <w:t xml:space="preserve">t </w:t>
                      </w:r>
                      <w:r>
                        <w:rPr>
                          <w:szCs w:val="24"/>
                        </w:rPr>
                        <w:t xml:space="preserve">metų kaštai, apskaičiuojami, nuo tokio turto likutinės vertės </w:t>
                      </w:r>
                      <w:r>
                        <w:rPr>
                          <w:i/>
                          <w:szCs w:val="24"/>
                        </w:rPr>
                        <w:t>t</w:t>
                      </w:r>
                      <w:r>
                        <w:rPr>
                          <w:szCs w:val="24"/>
                        </w:rPr>
                        <w:t xml:space="preserve"> metų pradžiai, EUR;</w:t>
                      </w:r>
                    </w:p>
                    <w:p>
                      <w:pPr>
                        <w:tabs>
                          <w:tab w:val="left" w:pos="993"/>
                        </w:tabs>
                        <w:jc w:val="both"/>
                        <w:rPr>
                          <w:szCs w:val="24"/>
                        </w:rPr>
                      </w:pPr>
                      <w:r>
                        <w:rPr>
                          <w:szCs w:val="24"/>
                        </w:rPr>
                        <w:t>BC</w:t>
                      </w:r>
                      <w:r>
                        <w:rPr>
                          <w:szCs w:val="24"/>
                          <w:vertAlign w:val="subscript"/>
                        </w:rPr>
                        <w:t>TSO110, t</w:t>
                      </w:r>
                      <w:r>
                        <w:rPr>
                          <w:szCs w:val="24"/>
                        </w:rPr>
                        <w:t xml:space="preserve"> – PSO </w:t>
                      </w:r>
                      <w:r>
                        <w:rPr>
                          <w:i/>
                          <w:iCs/>
                          <w:szCs w:val="24"/>
                        </w:rPr>
                        <w:t xml:space="preserve">t </w:t>
                      </w:r>
                      <w:r>
                        <w:rPr>
                          <w:szCs w:val="24"/>
                        </w:rPr>
                        <w:t>metų planuojami perdavimo paslaugos, šalies poreikiui, mokesčių kaštai, EUR;</w:t>
                      </w:r>
                    </w:p>
                    <w:p>
                      <w:pPr>
                        <w:tabs>
                          <w:tab w:val="left" w:pos="993"/>
                        </w:tabs>
                        <w:jc w:val="both"/>
                        <w:rPr>
                          <w:szCs w:val="24"/>
                        </w:rPr>
                      </w:pPr>
                      <w:r>
                        <w:rPr>
                          <w:szCs w:val="24"/>
                        </w:rPr>
                        <w:t>ITC</w:t>
                      </w:r>
                      <w:r>
                        <w:rPr>
                          <w:szCs w:val="24"/>
                          <w:vertAlign w:val="subscript"/>
                        </w:rPr>
                        <w:t>110, t</w:t>
                      </w:r>
                      <w:r>
                        <w:rPr>
                          <w:szCs w:val="24"/>
                        </w:rPr>
                        <w:t xml:space="preserve"> – skirtumas tarp gautų pajamų ir patiriamų kaštų pagal kompensavimo tarp perdavimo sistemos operatorių (angl. </w:t>
                      </w:r>
                      <w:r>
                        <w:rPr>
                          <w:i/>
                          <w:iCs/>
                          <w:szCs w:val="24"/>
                        </w:rPr>
                        <w:t>Inter-TSO Compensation (ITC)</w:t>
                      </w:r>
                      <w:r>
                        <w:rPr>
                          <w:szCs w:val="24"/>
                        </w:rPr>
                        <w:t xml:space="preserve"> mechanizmą, </w:t>
                      </w:r>
                      <w:r>
                        <w:rPr>
                          <w:i/>
                          <w:iCs/>
                          <w:szCs w:val="24"/>
                        </w:rPr>
                        <w:t xml:space="preserve">t </w:t>
                      </w:r>
                      <w:r>
                        <w:rPr>
                          <w:szCs w:val="24"/>
                        </w:rPr>
                        <w:t>metais, EUR;</w:t>
                      </w:r>
                    </w:p>
                    <w:p>
                      <w:pPr>
                        <w:tabs>
                          <w:tab w:val="left" w:pos="993"/>
                        </w:tabs>
                        <w:jc w:val="both"/>
                        <w:rPr>
                          <w:szCs w:val="24"/>
                        </w:rPr>
                      </w:pPr>
                      <w:r>
                        <w:rPr>
                          <w:szCs w:val="24"/>
                        </w:rPr>
                        <w:t>NJL</w:t>
                      </w:r>
                      <w:r>
                        <w:rPr>
                          <w:szCs w:val="24"/>
                          <w:vertAlign w:val="subscript"/>
                        </w:rPr>
                        <w:t>110, t</w:t>
                      </w:r>
                      <w:r>
                        <w:rPr>
                          <w:szCs w:val="24"/>
                        </w:rPr>
                        <w:t xml:space="preserve"> – pajamos gautos už naudojimosi jungiamosiomis linijomis paslaugą </w:t>
                      </w:r>
                      <w:r>
                        <w:rPr>
                          <w:i/>
                          <w:szCs w:val="24"/>
                        </w:rPr>
                        <w:t xml:space="preserve">t-2 </w:t>
                      </w:r>
                      <w:r>
                        <w:rPr>
                          <w:szCs w:val="24"/>
                        </w:rPr>
                        <w:t>metais, EUR;</w:t>
                      </w:r>
                    </w:p>
                    <w:p>
                      <w:pPr>
                        <w:tabs>
                          <w:tab w:val="left" w:pos="993"/>
                        </w:tabs>
                        <w:jc w:val="both"/>
                        <w:rPr>
                          <w:szCs w:val="24"/>
                        </w:rPr>
                      </w:pPr>
                      <w:r>
                        <w:rPr>
                          <w:szCs w:val="24"/>
                        </w:rPr>
                        <w:t>S</w:t>
                      </w:r>
                      <w:r>
                        <w:rPr>
                          <w:szCs w:val="24"/>
                          <w:vertAlign w:val="subscript"/>
                        </w:rPr>
                        <w:t>sr110, t</w:t>
                      </w:r>
                      <w:r>
                        <w:rPr>
                          <w:szCs w:val="24"/>
                        </w:rPr>
                        <w:t xml:space="preserve"> – planuojami </w:t>
                      </w:r>
                      <w:r>
                        <w:rPr>
                          <w:i/>
                          <w:iCs/>
                          <w:szCs w:val="24"/>
                        </w:rPr>
                        <w:t xml:space="preserve">t </w:t>
                      </w:r>
                      <w:r>
                        <w:rPr>
                          <w:szCs w:val="24"/>
                        </w:rPr>
                        <w:t>metų PSO elektros energijos pirkimo kaštai savoms reikmėms padengti;</w:t>
                      </w:r>
                    </w:p>
                    <w:p>
                      <w:pPr>
                        <w:tabs>
                          <w:tab w:val="left" w:pos="993"/>
                        </w:tabs>
                        <w:jc w:val="both"/>
                        <w:rPr>
                          <w:szCs w:val="24"/>
                        </w:rPr>
                      </w:pPr>
                      <w:r>
                        <w:rPr>
                          <w:szCs w:val="24"/>
                        </w:rPr>
                        <w:t>S</w:t>
                      </w:r>
                      <w:r>
                        <w:rPr>
                          <w:szCs w:val="24"/>
                          <w:vertAlign w:val="subscript"/>
                        </w:rPr>
                        <w:t>n110, t</w:t>
                      </w:r>
                      <w:r>
                        <w:rPr>
                          <w:szCs w:val="24"/>
                        </w:rPr>
                        <w:t xml:space="preserve"> – planuojami </w:t>
                      </w:r>
                      <w:r>
                        <w:rPr>
                          <w:i/>
                          <w:iCs/>
                          <w:szCs w:val="24"/>
                        </w:rPr>
                        <w:t xml:space="preserve">t </w:t>
                      </w:r>
                      <w:r>
                        <w:rPr>
                          <w:szCs w:val="24"/>
                        </w:rPr>
                        <w:t>metų PSO elektros energijos pirkimo kaštai elektros energijos sąnaudoms technologiniuose įrenginiuose padengti;</w:t>
                      </w:r>
                    </w:p>
                    <w:p>
                      <w:pPr>
                        <w:tabs>
                          <w:tab w:val="left" w:pos="993"/>
                        </w:tabs>
                        <w:jc w:val="both"/>
                        <w:rPr>
                          <w:szCs w:val="24"/>
                        </w:rPr>
                      </w:pPr>
                      <w:r>
                        <w:rPr>
                          <w:szCs w:val="24"/>
                        </w:rPr>
                        <w:t>FI</w:t>
                      </w:r>
                      <w:r>
                        <w:rPr>
                          <w:szCs w:val="24"/>
                          <w:vertAlign w:val="subscript"/>
                        </w:rPr>
                        <w:t>110, t</w:t>
                      </w:r>
                      <w:r>
                        <w:rPr>
                          <w:szCs w:val="24"/>
                        </w:rPr>
                        <w:t xml:space="preserve"> – nepagrįstai panaudotų investicijų, dotacijomis, subsidijomis, Europos Sąjungos struktūrinių fondų lėšomis, elektros energijos vartotojų ir gamintojų lėšomis finansuojamo turto nusidėvėjimo sąnaudos ir investicijų grąža apskaičiuota nuo tokio turto likutinės vertės </w:t>
                      </w:r>
                      <w:r>
                        <w:rPr>
                          <w:i/>
                          <w:szCs w:val="24"/>
                        </w:rPr>
                        <w:t xml:space="preserve">t </w:t>
                      </w:r>
                      <w:r>
                        <w:rPr>
                          <w:szCs w:val="24"/>
                        </w:rPr>
                        <w:t>metų pradžiai, EUR;</w:t>
                      </w:r>
                    </w:p>
                    <w:p>
                      <w:pPr>
                        <w:tabs>
                          <w:tab w:val="left" w:pos="993"/>
                        </w:tabs>
                        <w:jc w:val="both"/>
                        <w:rPr>
                          <w:szCs w:val="24"/>
                        </w:rPr>
                      </w:pPr>
                      <w:r>
                        <w:rPr>
                          <w:szCs w:val="24"/>
                        </w:rPr>
                        <w:t>OI</w:t>
                      </w:r>
                      <w:r>
                        <w:rPr>
                          <w:szCs w:val="24"/>
                          <w:vertAlign w:val="subscript"/>
                        </w:rPr>
                        <w:t>110, t</w:t>
                      </w:r>
                      <w:r>
                        <w:rPr>
                          <w:szCs w:val="24"/>
                        </w:rPr>
                        <w:t xml:space="preserve"> – kitos Įmonės gautos pajamos susijusios su reguliuojamų perdavimo paslaugų ir (ar) produktų teikimu, kuriems teikti naudojami ar nenaudojami reguliuojamos veiklos ištekliai, EUR;</w:t>
                      </w:r>
                    </w:p>
                    <w:p>
                      <w:pPr>
                        <w:tabs>
                          <w:tab w:val="left" w:pos="993"/>
                        </w:tabs>
                        <w:jc w:val="both"/>
                        <w:rPr>
                          <w:szCs w:val="24"/>
                        </w:rPr>
                      </w:pPr>
                      <w:r>
                        <w:rPr>
                          <w:szCs w:val="24"/>
                        </w:rPr>
                        <w:t>PE</w:t>
                      </w:r>
                      <w:r>
                        <w:rPr>
                          <w:szCs w:val="24"/>
                          <w:vertAlign w:val="subscript"/>
                        </w:rPr>
                        <w:t>110, t</w:t>
                      </w:r>
                      <w:r>
                        <w:rPr>
                          <w:szCs w:val="24"/>
                        </w:rPr>
                        <w:t xml:space="preserve"> – Komisijos apskaičiuotas leistinos protingumo kriterijų atitinkančios investicijų grąžos viršijimas, EUR.“</w:t>
                      </w:r>
                    </w:p>
                    <w:p>
                      <w:pPr>
                        <w:tabs>
                          <w:tab w:val="left" w:pos="1134"/>
                          <w:tab w:val="left" w:pos="1843"/>
                          <w:tab w:val="left" w:pos="2268"/>
                        </w:tabs>
                        <w:jc w:val="both"/>
                        <w:rPr>
                          <w:szCs w:val="24"/>
                        </w:rPr>
                      </w:pPr>
                      <w:r>
                        <w:rPr>
                          <w:iCs/>
                          <w:szCs w:val="24"/>
                          <w:lang w:eastAsia="lt-LT"/>
                        </w:rPr>
                        <w:t>NMS</w:t>
                      </w:r>
                      <w:r>
                        <w:rPr>
                          <w:iCs/>
                          <w:szCs w:val="24"/>
                          <w:vertAlign w:val="subscript"/>
                          <w:lang w:eastAsia="lt-LT"/>
                        </w:rPr>
                        <w:t>TSO,t</w:t>
                      </w:r>
                      <w:r>
                        <w:rPr>
                          <w:i/>
                          <w:iCs/>
                          <w:szCs w:val="24"/>
                          <w:vertAlign w:val="subscript"/>
                          <w:lang w:eastAsia="lt-LT"/>
                        </w:rPr>
                        <w:t xml:space="preserve">  </w:t>
                      </w:r>
                      <w:r>
                        <w:rPr>
                          <w:szCs w:val="24"/>
                          <w:lang w:eastAsia="lt-LT"/>
                        </w:rPr>
                        <w:t>– prognozuojamas PSO nacionalinės balansavimo funkcijos veiklos rezultatas t metais,</w:t>
                      </w:r>
                      <w:r>
                        <w:rPr>
                          <w:szCs w:val="24"/>
                        </w:rPr>
                        <w:t xml:space="preserve"> </w:t>
                      </w:r>
                      <w:r>
                        <w:rPr>
                          <w:szCs w:val="24"/>
                          <w:lang w:eastAsia="lt-LT"/>
                        </w:rPr>
                        <w:t>EUR;</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40 p."/>
                    <w:tag w:val="part_e6d46b7e87f048f28323373a4c9445ea"/>
                    <w:lock w:val="sdtLocked"/>
                    <w:richText/>
                  </w:sdtPr>
                  <w:sdtContent>
                    <w:p>
                      <w:pPr>
                        <w:tabs>
                          <w:tab w:val="left" w:pos="1080"/>
                          <w:tab w:val="left" w:pos="1843"/>
                          <w:tab w:val="left" w:pos="2268"/>
                        </w:tabs>
                        <w:ind w:firstLine="720"/>
                        <w:jc w:val="both"/>
                        <w:rPr>
                          <w:szCs w:val="24"/>
                        </w:rPr>
                      </w:pPr>
                      <w:sdt>
                        <w:sdtPr>
                          <w:alias w:val="Numeris"/>
                          <w:tag w:val="nr_e6d46b7e87f048f28323373a4c9445ea"/>
                          <w:lock w:val="sdtLocked"/>
                          <w:richText/>
                        </w:sdtPr>
                        <w:sdtContent>
                          <w:r>
                            <w:t>40</w:t>
                          </w:r>
                        </w:sdtContent>
                      </w:sdt>
                      <w:r>
                        <w:rPr>
                          <w:szCs w:val="24"/>
                        </w:rPr>
                        <w:t>. Planuojami elektros energijos pirkimo savoms reikmėms padengti kaštai apskaičiuojami pagal formulę:</w:t>
                      </w:r>
                    </w:p>
                    <w:p>
                      <w:pPr>
                        <w:tabs>
                          <w:tab w:val="left" w:pos="1134"/>
                          <w:tab w:val="left" w:pos="1843"/>
                          <w:tab w:val="left" w:pos="2268"/>
                        </w:tabs>
                        <w:jc w:val="both"/>
                        <w:rPr>
                          <w:szCs w:val="24"/>
                        </w:rPr>
                      </w:pPr>
                    </w:p>
                    <w:p>
                      <w:pPr>
                        <w:tabs>
                          <w:tab w:val="left" w:pos="9214"/>
                        </w:tabs>
                        <w:ind w:firstLine="9214"/>
                        <w:jc w:val="both"/>
                        <w:rPr>
                          <w:szCs w:val="24"/>
                        </w:rPr>
                      </w:pPr>
                      <w:r>
                        <w:tab/>
                      </w:r>
                      <m:oMath>
                        <m:sSub>
                          <m:sSubPr>
                            <m:ctrlPr>
                              <w:rPr>
                                <w:rFonts w:ascii="Cambria Math" w:hAnsi="Cambria Math"/>
                                <w:i/>
                              </w:rPr>
                            </m:ctrlPr>
                          </m:sSubPr>
                          <m:e>
                            <m:r>
                              <w:rPr>
                                <w:rFonts w:ascii="Cambria Math" w:hAnsi="Cambria Math"/>
                              </w:rPr>
                              <m:t>S</m:t>
                            </m:r>
                          </m:e>
                          <m:sub>
                            <m:r>
                              <w:rPr>
                                <w:rFonts w:ascii="Cambria Math" w:hAnsi="Cambria Math"/>
                              </w:rPr>
                              <m:t>sr</m:t>
                            </m:r>
                            <m:r>
                              <w:rPr>
                                <w:rFonts w:ascii="Cambria Math" w:hAnsi="Cambria Math"/>
                              </w:rPr>
                              <m:t>110,</m:t>
                            </m:r>
                            <m:r>
                              <w:rPr>
                                <w:rFonts w:ascii="Cambria Math" w:hAnsi="Cambria Math"/>
                              </w:rPr>
                              <m:t>t</m:t>
                            </m:r>
                          </m:sub>
                        </m:sSub>
                        <m:r>
                          <w:rPr>
                            <w:rFonts w:ascii="Cambria Math" w:hAnsi="Cambria Math"/>
                          </w:rPr>
                          <m:t>=</m:t>
                        </m:r>
                        <m:sSub>
                          <m:sSubPr>
                            <m:ctrlPr>
                              <w:rPr>
                                <w:rFonts w:ascii="Cambria Math" w:hAnsi="Cambria Math"/>
                                <w:i/>
                              </w:rPr>
                            </m:ctrlPr>
                          </m:sSubPr>
                          <m:e>
                            <m:r>
                              <w:rPr>
                                <w:rFonts w:ascii="Cambria Math" w:hAnsi="Cambria Math"/>
                              </w:rPr>
                              <m:t>E</m:t>
                            </m:r>
                          </m:e>
                          <m:sub>
                            <m:r>
                              <w:rPr>
                                <w:rFonts w:ascii="Cambria Math" w:hAnsi="Cambria Math"/>
                              </w:rPr>
                              <m:t>sr</m:t>
                            </m:r>
                            <m:r>
                              <w:rPr>
                                <w:rFonts w:ascii="Cambria Math" w:hAnsi="Cambria Math"/>
                              </w:rPr>
                              <m:t>110,</m:t>
                            </m:r>
                            <m:r>
                              <w:rPr>
                                <w:rFonts w:ascii="Cambria Math" w:hAnsi="Cambria Math"/>
                              </w:rPr>
                              <m:t>t</m:t>
                            </m:r>
                          </m:sub>
                        </m:sSub>
                        <m:r>
                          <w:rPr>
                            <w:rFonts w:ascii="Cambria Math" w:hAnsi="Cambria Math"/>
                          </w:rPr>
                          <m:t>×</m:t>
                        </m:r>
                        <m:sSub>
                          <m:sSubPr>
                            <m:ctrlPr>
                              <w:rPr>
                                <w:rFonts w:ascii="Cambria Math" w:hAnsi="Cambria Math"/>
                                <w:i/>
                              </w:rPr>
                            </m:ctrlPr>
                          </m:sSubPr>
                          <m:e>
                            <m:r>
                              <w:rPr>
                                <w:rFonts w:ascii="Cambria Math" w:hAnsi="Cambria Math"/>
                              </w:rPr>
                              <m:t>T</m:t>
                            </m:r>
                          </m:e>
                          <m:sub>
                            <m:r>
                              <w:rPr>
                                <w:rFonts w:ascii="Cambria Math" w:hAnsi="Cambria Math"/>
                              </w:rPr>
                              <m:t>g</m:t>
                            </m:r>
                            <m:r>
                              <w:rPr>
                                <w:rFonts w:ascii="Cambria Math" w:hAnsi="Cambria Math"/>
                              </w:rPr>
                              <m:t>110,</m:t>
                            </m:r>
                            <m:r>
                              <w:rPr>
                                <w:rFonts w:ascii="Cambria Math" w:hAnsi="Cambria Math"/>
                              </w:rPr>
                              <m:t>t</m:t>
                            </m:r>
                          </m:sub>
                        </m:sSub>
                      </m:oMath>
                      <w:r>
                        <w:tab/>
                      </w:r>
                      <w:r>
                        <w:rPr>
                          <w:szCs w:val="24"/>
                        </w:rPr>
                        <w:t>(16)</w:t>
                      </w:r>
                    </w:p>
                    <w:p>
                      <w:pPr>
                        <w:tabs>
                          <w:tab w:val="left" w:pos="9214"/>
                        </w:tabs>
                        <w:jc w:val="both"/>
                        <w:rPr>
                          <w:szCs w:val="24"/>
                        </w:rPr>
                      </w:pPr>
                    </w:p>
                    <w:p>
                      <w:pPr>
                        <w:tabs>
                          <w:tab w:val="left" w:pos="1134"/>
                          <w:tab w:val="left" w:pos="1843"/>
                          <w:tab w:val="left" w:pos="2268"/>
                        </w:tabs>
                        <w:jc w:val="both"/>
                        <w:rPr>
                          <w:i/>
                          <w:szCs w:val="24"/>
                        </w:rPr>
                      </w:pPr>
                      <w:r>
                        <w:rPr>
                          <w:i/>
                          <w:szCs w:val="24"/>
                        </w:rPr>
                        <w:t>čia:</w:t>
                      </w:r>
                    </w:p>
                    <w:p>
                      <w:pPr>
                        <w:tabs>
                          <w:tab w:val="left" w:pos="1134"/>
                          <w:tab w:val="left" w:pos="1843"/>
                          <w:tab w:val="left" w:pos="2268"/>
                        </w:tabs>
                        <w:jc w:val="both"/>
                        <w:rPr>
                          <w:szCs w:val="24"/>
                        </w:rPr>
                      </w:pPr>
                      <w:r>
                        <w:rPr>
                          <w:szCs w:val="24"/>
                        </w:rPr>
                        <w:t>S</w:t>
                      </w:r>
                      <w:r>
                        <w:rPr>
                          <w:szCs w:val="24"/>
                          <w:vertAlign w:val="subscript"/>
                        </w:rPr>
                        <w:t>sr110,t</w:t>
                      </w:r>
                      <w:r>
                        <w:rPr>
                          <w:szCs w:val="24"/>
                        </w:rPr>
                        <w:t xml:space="preserve"> – </w:t>
                      </w:r>
                      <w:r>
                        <w:rPr>
                          <w:i/>
                          <w:szCs w:val="24"/>
                        </w:rPr>
                        <w:t>t</w:t>
                      </w:r>
                      <w:r>
                        <w:rPr>
                          <w:szCs w:val="24"/>
                        </w:rPr>
                        <w:t xml:space="preserve"> metų planuojami elektros energijos įsigijimo savoms PSO reikmėms kaštai, EUR;</w:t>
                      </w:r>
                    </w:p>
                    <w:p>
                      <w:pPr>
                        <w:tabs>
                          <w:tab w:val="left" w:pos="1134"/>
                          <w:tab w:val="left" w:pos="1843"/>
                          <w:tab w:val="left" w:pos="2268"/>
                        </w:tabs>
                        <w:jc w:val="both"/>
                        <w:rPr>
                          <w:szCs w:val="24"/>
                        </w:rPr>
                      </w:pPr>
                      <w:r>
                        <w:rPr>
                          <w:szCs w:val="24"/>
                        </w:rPr>
                        <w:t>E</w:t>
                      </w:r>
                      <w:r>
                        <w:rPr>
                          <w:szCs w:val="24"/>
                          <w:vertAlign w:val="subscript"/>
                        </w:rPr>
                        <w:t>sr110,t</w:t>
                      </w:r>
                      <w:r>
                        <w:rPr>
                          <w:szCs w:val="24"/>
                        </w:rPr>
                        <w:t xml:space="preserve"> – </w:t>
                      </w:r>
                      <w:r>
                        <w:rPr>
                          <w:i/>
                          <w:szCs w:val="24"/>
                        </w:rPr>
                        <w:t>t</w:t>
                      </w:r>
                      <w:r>
                        <w:rPr>
                          <w:szCs w:val="24"/>
                        </w:rPr>
                        <w:t xml:space="preserve"> metų elektros energija suvartota savoms PSO reikmėms, kWh;</w:t>
                      </w:r>
                    </w:p>
                    <w:p>
                      <w:pPr>
                        <w:tabs>
                          <w:tab w:val="left" w:pos="1134"/>
                          <w:tab w:val="left" w:pos="1843"/>
                          <w:tab w:val="left" w:pos="2268"/>
                        </w:tabs>
                        <w:jc w:val="both"/>
                        <w:rPr>
                          <w:szCs w:val="24"/>
                        </w:rPr>
                      </w:pPr>
                      <w:r>
                        <w:rPr>
                          <w:szCs w:val="24"/>
                        </w:rPr>
                        <w:t>T</w:t>
                      </w:r>
                      <w:r>
                        <w:rPr>
                          <w:szCs w:val="24"/>
                          <w:vertAlign w:val="subscript"/>
                        </w:rPr>
                        <w:t>g110,t</w:t>
                      </w:r>
                      <w:r>
                        <w:rPr>
                          <w:szCs w:val="24"/>
                        </w:rPr>
                        <w:t xml:space="preserve"> – elektros energijos pirkimo kaina, EUR/kWh.</w:t>
                      </w:r>
                    </w:p>
                  </w:sdtContent>
                </w:sdt>
                <w:sdt>
                  <w:sdtPr>
                    <w:alias w:val="41 p."/>
                    <w:tag w:val="part_07e3f00c283f45c5b66df5fba347adb7"/>
                    <w:lock w:val="sdtLocked"/>
                    <w:richText/>
                  </w:sdtPr>
                  <w:sdtContent>
                    <w:p>
                      <w:pPr>
                        <w:tabs>
                          <w:tab w:val="left" w:pos="1080"/>
                          <w:tab w:val="left" w:pos="1843"/>
                          <w:tab w:val="left" w:pos="2268"/>
                        </w:tabs>
                        <w:ind w:firstLine="720"/>
                        <w:jc w:val="both"/>
                        <w:rPr>
                          <w:szCs w:val="24"/>
                        </w:rPr>
                      </w:pPr>
                      <w:sdt>
                        <w:sdtPr>
                          <w:alias w:val="Numeris"/>
                          <w:tag w:val="nr_07e3f00c283f45c5b66df5fba347adb7"/>
                          <w:lock w:val="sdtLocked"/>
                          <w:richText/>
                        </w:sdtPr>
                        <w:sdtContent>
                          <w:r>
                            <w:rPr>
                              <w:szCs w:val="24"/>
                            </w:rPr>
                            <w:t>41</w:t>
                          </w:r>
                        </w:sdtContent>
                      </w:sdt>
                      <w:r>
                        <w:rPr>
                          <w:szCs w:val="24"/>
                        </w:rPr>
                        <w:t>. Planuojami elektros energijos pirkimo kaštai technologinėms sąnaudoms įrenginiuose padengti apskaičiuojami pagal formulę:</w:t>
                      </w:r>
                    </w:p>
                    <w:p>
                      <w:pPr>
                        <w:tabs>
                          <w:tab w:val="left" w:pos="1134"/>
                          <w:tab w:val="left" w:pos="1843"/>
                          <w:tab w:val="left" w:pos="2268"/>
                        </w:tabs>
                        <w:jc w:val="both"/>
                        <w:rPr>
                          <w:szCs w:val="24"/>
                        </w:rPr>
                      </w:pPr>
                    </w:p>
                    <w:p>
                      <w:pPr>
                        <w:tabs>
                          <w:tab w:val="left" w:pos="9214"/>
                        </w:tabs>
                        <w:ind w:firstLine="9214"/>
                        <w:jc w:val="both"/>
                        <w:rPr>
                          <w:szCs w:val="24"/>
                        </w:rPr>
                      </w:pPr>
                      <w:r>
                        <w:tab/>
                      </w:r>
                      <m:oMath>
                        <m:sSub>
                          <m:sSubPr>
                            <m:ctrlPr>
                              <w:rPr>
                                <w:rFonts w:ascii="Cambria Math" w:hAnsi="Cambria Math"/>
                                <w:i/>
                              </w:rPr>
                            </m:ctrlPr>
                          </m:sSubPr>
                          <m:e>
                            <m:r>
                              <w:rPr>
                                <w:rFonts w:ascii="Cambria Math" w:hAnsi="Cambria Math"/>
                              </w:rPr>
                              <m:t>S</m:t>
                            </m:r>
                          </m:e>
                          <m:sub>
                            <m:r>
                              <w:rPr>
                                <w:rFonts w:ascii="Cambria Math" w:hAnsi="Cambria Math"/>
                              </w:rPr>
                              <m:t>n</m:t>
                            </m:r>
                            <m:r>
                              <w:rPr>
                                <w:rFonts w:ascii="Cambria Math" w:hAnsi="Cambria Math"/>
                              </w:rPr>
                              <m:t>110,</m:t>
                            </m:r>
                            <m:r>
                              <w:rPr>
                                <w:rFonts w:ascii="Cambria Math" w:hAnsi="Cambria Math"/>
                              </w:rPr>
                              <m:t>t</m:t>
                            </m:r>
                          </m:sub>
                        </m:sSub>
                        <m:r>
                          <w:rPr>
                            <w:rFonts w:ascii="Cambria Math" w:hAnsi="Cambria Math"/>
                          </w:rPr>
                          <m:t>=</m:t>
                        </m:r>
                        <m:sSub>
                          <m:sSubPr>
                            <m:ctrlPr>
                              <w:rPr>
                                <w:rFonts w:ascii="Cambria Math" w:hAnsi="Cambria Math"/>
                                <w:i/>
                              </w:rPr>
                            </m:ctrlPr>
                          </m:sSubPr>
                          <m:e>
                            <m:r>
                              <w:rPr>
                                <w:rFonts w:ascii="Cambria Math" w:hAnsi="Cambria Math"/>
                              </w:rPr>
                              <m:t>E</m:t>
                            </m:r>
                          </m:e>
                          <m:sub>
                            <m:r>
                              <w:rPr>
                                <w:rFonts w:ascii="Cambria Math" w:hAnsi="Cambria Math"/>
                              </w:rPr>
                              <m:t>n</m:t>
                            </m:r>
                            <m:r>
                              <w:rPr>
                                <w:rFonts w:ascii="Cambria Math" w:hAnsi="Cambria Math"/>
                              </w:rPr>
                              <m:t>110</m:t>
                            </m:r>
                            <m:r>
                              <w:rPr>
                                <w:rFonts w:ascii="Cambria Math" w:hAnsi="Cambria Math"/>
                              </w:rPr>
                              <m:t>v</m:t>
                            </m:r>
                            <m:r>
                              <w:rPr>
                                <w:rFonts w:ascii="Cambria Math" w:hAnsi="Cambria Math"/>
                              </w:rPr>
                              <m:t>,</m:t>
                            </m:r>
                            <m:r>
                              <w:rPr>
                                <w:rFonts w:ascii="Cambria Math" w:hAnsi="Cambria Math"/>
                              </w:rPr>
                              <m:t>t</m:t>
                            </m:r>
                          </m:sub>
                        </m:sSub>
                        <m:r>
                          <w:rPr>
                            <w:rFonts w:ascii="Cambria Math" w:hAnsi="Cambria Math"/>
                          </w:rPr>
                          <m:t>×</m:t>
                        </m:r>
                        <m:sSub>
                          <m:sSubPr>
                            <m:ctrlPr>
                              <w:rPr>
                                <w:rFonts w:ascii="Cambria Math" w:hAnsi="Cambria Math"/>
                                <w:i/>
                              </w:rPr>
                            </m:ctrlPr>
                          </m:sSubPr>
                          <m:e>
                            <m:r>
                              <w:rPr>
                                <w:rFonts w:ascii="Cambria Math" w:hAnsi="Cambria Math"/>
                              </w:rPr>
                              <m:t>T</m:t>
                            </m:r>
                          </m:e>
                          <m:sub>
                            <m:r>
                              <w:rPr>
                                <w:rFonts w:ascii="Cambria Math" w:hAnsi="Cambria Math"/>
                              </w:rPr>
                              <m:t>g</m:t>
                            </m:r>
                            <m:r>
                              <w:rPr>
                                <w:rFonts w:ascii="Cambria Math" w:hAnsi="Cambria Math"/>
                              </w:rPr>
                              <m:t>110,</m:t>
                            </m:r>
                            <m:r>
                              <w:rPr>
                                <w:rFonts w:ascii="Cambria Math" w:hAnsi="Cambria Math"/>
                              </w:rPr>
                              <m:t>t</m:t>
                            </m:r>
                          </m:sub>
                        </m:sSub>
                      </m:oMath>
                      <w:r>
                        <w:tab/>
                      </w:r>
                      <w:r>
                        <w:rPr>
                          <w:szCs w:val="24"/>
                        </w:rPr>
                        <w:t>(17)</w:t>
                      </w:r>
                    </w:p>
                    <w:p>
                      <w:pPr>
                        <w:tabs>
                          <w:tab w:val="left" w:pos="9214"/>
                        </w:tabs>
                        <w:jc w:val="both"/>
                        <w:rPr>
                          <w:szCs w:val="24"/>
                        </w:rPr>
                      </w:pPr>
                    </w:p>
                    <w:p>
                      <w:pPr>
                        <w:tabs>
                          <w:tab w:val="left" w:pos="1134"/>
                          <w:tab w:val="left" w:pos="1843"/>
                          <w:tab w:val="left" w:pos="2268"/>
                        </w:tabs>
                        <w:jc w:val="both"/>
                        <w:rPr>
                          <w:i/>
                          <w:szCs w:val="24"/>
                        </w:rPr>
                      </w:pPr>
                      <w:r>
                        <w:rPr>
                          <w:i/>
                          <w:szCs w:val="24"/>
                        </w:rPr>
                        <w:t>čia:</w:t>
                      </w:r>
                    </w:p>
                    <w:p>
                      <w:pPr>
                        <w:tabs>
                          <w:tab w:val="left" w:pos="1134"/>
                          <w:tab w:val="left" w:pos="1843"/>
                          <w:tab w:val="left" w:pos="2268"/>
                        </w:tabs>
                        <w:jc w:val="both"/>
                        <w:rPr>
                          <w:szCs w:val="24"/>
                        </w:rPr>
                      </w:pPr>
                      <w:r>
                        <w:rPr>
                          <w:szCs w:val="24"/>
                        </w:rPr>
                        <w:t>S</w:t>
                      </w:r>
                      <w:r>
                        <w:rPr>
                          <w:szCs w:val="24"/>
                          <w:vertAlign w:val="subscript"/>
                        </w:rPr>
                        <w:t>n110,t</w:t>
                      </w:r>
                      <w:r>
                        <w:rPr>
                          <w:szCs w:val="24"/>
                        </w:rPr>
                        <w:t xml:space="preserve"> – </w:t>
                      </w:r>
                      <w:r>
                        <w:rPr>
                          <w:i/>
                          <w:szCs w:val="24"/>
                        </w:rPr>
                        <w:t>t</w:t>
                      </w:r>
                      <w:r>
                        <w:rPr>
                          <w:szCs w:val="24"/>
                        </w:rPr>
                        <w:t xml:space="preserve"> metų planuojami elektros energijos įsigijimo kaštai technologinėms sąnaudoms įrenginiuose padengti;</w:t>
                      </w:r>
                    </w:p>
                    <w:p>
                      <w:pPr>
                        <w:tabs>
                          <w:tab w:val="left" w:pos="1134"/>
                          <w:tab w:val="left" w:pos="1843"/>
                          <w:tab w:val="left" w:pos="2268"/>
                        </w:tabs>
                        <w:jc w:val="both"/>
                        <w:rPr>
                          <w:szCs w:val="24"/>
                        </w:rPr>
                      </w:pPr>
                      <w:r>
                        <w:rPr>
                          <w:szCs w:val="24"/>
                        </w:rPr>
                        <w:t>E</w:t>
                      </w:r>
                      <w:r>
                        <w:rPr>
                          <w:szCs w:val="24"/>
                          <w:vertAlign w:val="subscript"/>
                        </w:rPr>
                        <w:t>n110v,t</w:t>
                      </w:r>
                      <w:r>
                        <w:rPr>
                          <w:szCs w:val="24"/>
                        </w:rPr>
                        <w:t xml:space="preserve"> – elektros energijos suvartojimas technologiniuose įrenginiuose perduodant elektros energiją šalies poreikiams, kWh;</w:t>
                      </w:r>
                    </w:p>
                    <w:p>
                      <w:pPr>
                        <w:tabs>
                          <w:tab w:val="left" w:pos="1134"/>
                          <w:tab w:val="left" w:pos="1843"/>
                          <w:tab w:val="left" w:pos="2268"/>
                        </w:tabs>
                        <w:jc w:val="both"/>
                        <w:rPr>
                          <w:szCs w:val="24"/>
                        </w:rPr>
                      </w:pPr>
                      <w:r>
                        <w:rPr>
                          <w:szCs w:val="24"/>
                        </w:rPr>
                        <w:t>T</w:t>
                      </w:r>
                      <w:r>
                        <w:rPr>
                          <w:szCs w:val="24"/>
                          <w:vertAlign w:val="subscript"/>
                        </w:rPr>
                        <w:t>g110,t</w:t>
                      </w:r>
                      <w:r>
                        <w:rPr>
                          <w:szCs w:val="24"/>
                        </w:rPr>
                        <w:t xml:space="preserve"> – elektros energijos pirkimo kaina perdavimo tinkle, EUR/kWh.</w:t>
                      </w:r>
                    </w:p>
                    <w:p>
                      <w:pPr>
                        <w:tabs>
                          <w:tab w:val="left" w:pos="1134"/>
                          <w:tab w:val="left" w:pos="1843"/>
                          <w:tab w:val="left" w:pos="2268"/>
                        </w:tabs>
                        <w:jc w:val="both"/>
                        <w:rPr>
                          <w:szCs w:val="24"/>
                        </w:rPr>
                      </w:pPr>
                    </w:p>
                    <w:p>
                      <w:pPr>
                        <w:tabs>
                          <w:tab w:val="left" w:pos="1134"/>
                          <w:tab w:val="left" w:pos="1843"/>
                          <w:tab w:val="left" w:pos="2268"/>
                        </w:tabs>
                        <w:jc w:val="both"/>
                        <w:rPr>
                          <w:szCs w:val="24"/>
                        </w:rPr>
                      </w:pPr>
                    </w:p>
                  </w:sdtContent>
                </w:sdt>
                <w:sdt>
                  <w:sdtPr>
                    <w:alias w:val="41-1 p."/>
                    <w:tag w:val="part_98883549e96c44018e7c82fdee5e14db"/>
                    <w:lock w:val="sdtLocked"/>
                    <w:richText/>
                  </w:sdtPr>
                  <w:sdtContent>
                    <w:p>
                      <w:pPr>
                        <w:tabs>
                          <w:tab w:val="right" w:pos="9639"/>
                        </w:tabs>
                        <w:ind w:firstLine="709"/>
                        <w:jc w:val="both"/>
                        <w:rPr>
                          <w:szCs w:val="22"/>
                        </w:rPr>
                      </w:pPr>
                      <w:sdt>
                        <w:sdtPr>
                          <w:alias w:val="Numeris"/>
                          <w:tag w:val="nr_98883549e96c44018e7c82fdee5e14db"/>
                          <w:lock w:val="sdtLocked"/>
                          <w:richText/>
                        </w:sdtPr>
                        <w:sdtContent>
                          <w:r>
                            <w:rPr>
                              <w:szCs w:val="22"/>
                            </w:rPr>
                            <w:t>41</w:t>
                          </w:r>
                          <w:r>
                            <w:rPr>
                              <w:szCs w:val="22"/>
                              <w:vertAlign w:val="superscript"/>
                            </w:rPr>
                            <w:t>1</w:t>
                          </w:r>
                        </w:sdtContent>
                      </w:sdt>
                      <w:r>
                        <w:rPr>
                          <w:szCs w:val="22"/>
                        </w:rPr>
                        <w:t>. Pajamos, gautos už naudojimosi jungiamosiomis linijomis paslaugas t metais apskaičiuojamos pagal formulę:</w:t>
                      </w:r>
                    </w:p>
                    <w:p>
                      <w:pPr>
                        <w:tabs>
                          <w:tab w:val="right" w:pos="9639"/>
                        </w:tabs>
                        <w:ind w:firstLine="709"/>
                        <w:jc w:val="both"/>
                        <w:rPr>
                          <w:szCs w:val="22"/>
                        </w:rPr>
                      </w:pPr>
                    </w:p>
                    <w:p>
                      <w:pPr>
                        <w:tabs>
                          <w:tab w:val="left" w:pos="6237"/>
                          <w:tab w:val="left" w:pos="8505"/>
                        </w:tabs>
                        <w:ind w:firstLine="6237"/>
                        <w:jc w:val="right"/>
                        <w:rPr>
                          <w:szCs w:val="22"/>
                        </w:rPr>
                      </w:pPr>
                      <m:oMath>
                        <m:sSub>
                          <m:sSubPr>
                            <m:ctrlPr>
                              <w:rPr>
                                <w:rFonts w:ascii="Cambria Math" w:hAnsi="Cambria Math"/>
                                <w:i/>
                              </w:rPr>
                            </m:ctrlPr>
                          </m:sSubPr>
                          <m:e>
                            <m:r>
                              <w:rPr>
                                <w:rFonts w:ascii="Cambria Math" w:hAnsi="Cambria Math"/>
                              </w:rPr>
                              <m:t>NJL</m:t>
                            </m:r>
                          </m:e>
                          <m:sub>
                            <m:r>
                              <w:rPr>
                                <w:rFonts w:ascii="Cambria Math" w:hAnsi="Cambria Math"/>
                              </w:rPr>
                              <m:t>110,</m:t>
                            </m:r>
                            <m:r>
                              <w:rPr>
                                <w:rFonts w:ascii="Cambria Math" w:hAnsi="Cambria Math"/>
                              </w:rPr>
                              <m:t>t</m:t>
                            </m:r>
                          </m:sub>
                        </m:sSub>
                        <m:r>
                          <w:rPr>
                            <w:rFonts w:ascii="Cambria Math" w:hAnsi="Cambria Math"/>
                          </w:rPr>
                          <m:t>=</m:t>
                        </m:r>
                        <m:sSub>
                          <m:sSubPr>
                            <m:ctrlPr>
                              <w:rPr>
                                <w:rFonts w:ascii="Cambria Math" w:hAnsi="Cambria Math"/>
                                <w:i/>
                              </w:rPr>
                            </m:ctrlPr>
                          </m:sSubPr>
                          <m:e>
                            <m:r>
                              <w:rPr>
                                <w:rFonts w:ascii="Cambria Math" w:hAnsi="Cambria Math"/>
                              </w:rPr>
                              <m:t>P</m:t>
                            </m:r>
                          </m:e>
                          <m:sub>
                            <m:r>
                              <w:rPr>
                                <w:rFonts w:ascii="Cambria Math" w:hAnsi="Cambria Math"/>
                              </w:rPr>
                              <m:t>NJL</m:t>
                            </m:r>
                            <m:r>
                              <w:rPr>
                                <w:rFonts w:ascii="Cambria Math" w:hAnsi="Cambria Math"/>
                              </w:rPr>
                              <m:t>110,</m:t>
                            </m:r>
                            <m:r>
                              <w:rPr>
                                <w:rFonts w:ascii="Cambria Math" w:hAnsi="Cambria Math"/>
                              </w:rPr>
                              <m:t>t</m:t>
                            </m:r>
                          </m:sub>
                        </m:sSub>
                        <m:r>
                          <w:rPr>
                            <w:rFonts w:ascii="Cambria Math" w:hAnsi="Cambria Math"/>
                          </w:rPr>
                          <m:t>*</m:t>
                        </m:r>
                        <m:sSub>
                          <m:sSubPr>
                            <m:ctrlPr>
                              <w:rPr>
                                <w:rFonts w:ascii="Cambria Math" w:hAnsi="Cambria Math"/>
                                <w:i/>
                              </w:rPr>
                            </m:ctrlPr>
                          </m:sSubPr>
                          <m:e>
                            <m:r>
                              <w:rPr>
                                <w:rFonts w:ascii="Cambria Math" w:hAnsi="Cambria Math"/>
                              </w:rPr>
                              <m:t>EE</m:t>
                            </m:r>
                          </m:e>
                          <m:sub>
                            <m:r>
                              <w:rPr>
                                <w:rFonts w:ascii="Cambria Math" w:hAnsi="Cambria Math"/>
                                <w:vertAlign w:val="subscript"/>
                              </w:rPr>
                              <m:t>NJL</m:t>
                            </m:r>
                            <m:r>
                              <w:rPr>
                                <w:rFonts w:ascii="Cambria Math" w:hAnsi="Cambria Math"/>
                                <w:vertAlign w:val="subscript"/>
                              </w:rPr>
                              <m:t>110,</m:t>
                            </m:r>
                            <m:r>
                              <w:rPr>
                                <w:rFonts w:ascii="Cambria Math" w:hAnsi="Cambria Math"/>
                                <w:vertAlign w:val="subscript"/>
                              </w:rPr>
                              <m:t>t</m:t>
                            </m:r>
                            <m:r>
                              <w:rPr>
                                <w:rFonts w:ascii="Cambria Math" w:hAnsi="Cambria Math"/>
                              </w:rPr>
                              <m:t xml:space="preserve"> </m:t>
                            </m:r>
                          </m:sub>
                        </m:sSub>
                      </m:oMath>
                      <w:r>
                        <w:rPr>
                          <w:szCs w:val="22"/>
                        </w:rPr>
                        <w:t>(17</w:t>
                      </w:r>
                      <w:r>
                        <w:rPr>
                          <w:szCs w:val="22"/>
                          <w:vertAlign w:val="superscript"/>
                        </w:rPr>
                        <w:t>1</w:t>
                      </w:r>
                      <w:r>
                        <w:rPr>
                          <w:szCs w:val="22"/>
                        </w:rPr>
                        <w:t>)</w:t>
                      </w:r>
                    </w:p>
                    <w:p>
                      <w:pPr>
                        <w:tabs>
                          <w:tab w:val="right" w:pos="9639"/>
                        </w:tabs>
                        <w:ind w:firstLine="709"/>
                        <w:jc w:val="both"/>
                        <w:rPr>
                          <w:szCs w:val="22"/>
                        </w:rPr>
                      </w:pPr>
                    </w:p>
                    <w:p>
                      <w:pPr>
                        <w:tabs>
                          <w:tab w:val="right" w:pos="9639"/>
                        </w:tabs>
                        <w:ind w:firstLine="709"/>
                        <w:jc w:val="both"/>
                        <w:rPr>
                          <w:szCs w:val="22"/>
                        </w:rPr>
                      </w:pPr>
                      <w:r>
                        <w:rPr>
                          <w:szCs w:val="22"/>
                        </w:rPr>
                        <w:t>čia:</w:t>
                      </w:r>
                    </w:p>
                    <w:p>
                      <w:pPr>
                        <w:tabs>
                          <w:tab w:val="right" w:pos="9639"/>
                        </w:tabs>
                        <w:ind w:firstLine="709"/>
                        <w:jc w:val="both"/>
                        <w:rPr>
                          <w:szCs w:val="22"/>
                        </w:rPr>
                      </w:pPr>
                      <w:r>
                        <w:rPr>
                          <w:szCs w:val="22"/>
                        </w:rPr>
                        <w:t>P</w:t>
                      </w:r>
                      <w:r>
                        <w:rPr>
                          <w:i/>
                          <w:szCs w:val="22"/>
                          <w:vertAlign w:val="subscript"/>
                        </w:rPr>
                        <w:t>NJL110</w:t>
                      </w:r>
                      <w:r>
                        <w:rPr>
                          <w:szCs w:val="22"/>
                          <w:vertAlign w:val="subscript"/>
                        </w:rPr>
                        <w:t>,</w:t>
                      </w:r>
                      <w:r>
                        <w:rPr>
                          <w:i/>
                          <w:szCs w:val="22"/>
                          <w:vertAlign w:val="subscript"/>
                        </w:rPr>
                        <w:t>t</w:t>
                      </w:r>
                      <w:r>
                        <w:rPr>
                          <w:szCs w:val="22"/>
                        </w:rPr>
                        <w:t xml:space="preserve"> – naudojimosi jungiamosiomis linijomis paslaugų kaina t metais, Eur/MWh;</w:t>
                      </w:r>
                    </w:p>
                    <w:p>
                      <w:pPr>
                        <w:tabs>
                          <w:tab w:val="right" w:pos="9639"/>
                        </w:tabs>
                        <w:ind w:firstLine="709"/>
                        <w:jc w:val="both"/>
                      </w:pPr>
                      <w:r>
                        <w:rPr>
                          <w:szCs w:val="22"/>
                        </w:rPr>
                        <w:t>EE</w:t>
                      </w:r>
                      <w:r>
                        <w:rPr>
                          <w:i/>
                          <w:szCs w:val="22"/>
                          <w:vertAlign w:val="subscript"/>
                        </w:rPr>
                        <w:t>NJL110,t</w:t>
                      </w:r>
                      <w:r>
                        <w:rPr>
                          <w:szCs w:val="22"/>
                          <w:vertAlign w:val="subscript"/>
                        </w:rPr>
                        <w:t xml:space="preserve"> </w:t>
                      </w:r>
                      <w:r>
                        <w:rPr>
                          <w:szCs w:val="22"/>
                        </w:rPr>
                        <w:t>– naudojimosi jungiamųjų linijų paslaugomis (elektros energijos eksporto į trečiąsias šalis) apimtis t metais, MWh.</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734b207e3511e5b7eba10a9b5a9c5f">
                        <w:r w:rsidRPr="00532B9F">
                          <w:rPr>
                            <w:rFonts w:ascii="Times New Roman" w:eastAsia="MS Mincho" w:hAnsi="Times New Roman"/>
                            <w:sz w:val="20"/>
                            <w:i/>
                            <w:iCs/>
                            <w:color w:val="0000FF" w:themeColor="hyperlink"/>
                            <w:u w:val="single"/>
                          </w:rPr>
                          <w:t>O3-572</w:t>
                        </w:r>
                      </w:fldSimple>
                      <w:r>
                        <w:rPr>
                          <w:rFonts w:ascii="Times New Roman" w:eastAsia="MS Mincho" w:hAnsi="Times New Roman"/>
                          <w:sz w:val="20"/>
                          <w:i/>
                          <w:iCs/>
                        </w:rPr>
                        <w:t>,
2015-10-29,
paskelbta TAR 2015-10-29, i. k. 2015-17067        </w:t>
                      </w:r>
                    </w:p>
                    <w:p/>
                  </w:sdtContent>
                </w:sdt>
                <w:sdt>
                  <w:sdtPr>
                    <w:alias w:val="41-2 p."/>
                    <w:tag w:val="part_0e98b15efec1443b8e7ecfec43c1f548"/>
                    <w:lock w:val="sdtLocked"/>
                    <w:richText/>
                  </w:sdtPr>
                  <w:sdtContent>
                    <w:p>
                      <w:pPr>
                        <w:tabs>
                          <w:tab w:val="left" w:pos="709"/>
                        </w:tabs>
                        <w:ind w:firstLine="709"/>
                        <w:jc w:val="both"/>
                        <w:rPr>
                          <w:szCs w:val="24"/>
                        </w:rPr>
                      </w:pPr>
                      <w:sdt>
                        <w:sdtPr>
                          <w:alias w:val="Numeris"/>
                          <w:tag w:val="nr_0e98b15efec1443b8e7ecfec43c1f548"/>
                          <w:lock w:val="sdtLocked"/>
                          <w:richText/>
                        </w:sdtPr>
                        <w:sdtContent>
                          <w:r>
                            <w:rPr>
                              <w:szCs w:val="24"/>
                            </w:rPr>
                            <w:t>41</w:t>
                          </w:r>
                          <w:r>
                            <w:rPr>
                              <w:szCs w:val="24"/>
                              <w:vertAlign w:val="superscript"/>
                            </w:rPr>
                            <w:t>2</w:t>
                          </w:r>
                        </w:sdtContent>
                      </w:sdt>
                      <w:r>
                        <w:rPr>
                          <w:szCs w:val="24"/>
                        </w:rPr>
                        <w:t>. Naudojimosi jungiamosiomis linijomis paslaugų kaina t metais apskaičiuojama pagal formulę:</w:t>
                      </w:r>
                    </w:p>
                    <w:p>
                      <w:pPr>
                        <w:tabs>
                          <w:tab w:val="left" w:pos="6237"/>
                          <w:tab w:val="left" w:pos="8505"/>
                        </w:tabs>
                        <w:jc w:val="center"/>
                      </w:pPr>
                      <m:oMath>
                        <m:sSub>
                          <m:sSubPr>
                            <m:ctrlPr>
                              <w:rPr>
                                <w:rFonts w:ascii="Cambria Math" w:hAnsi="Cambria Math"/>
                                <w:i/>
                              </w:rPr>
                            </m:ctrlPr>
                          </m:sSubPr>
                          <m:e>
                            <m:r>
                              <w:rPr>
                                <w:rFonts w:ascii="Cambria Math" w:hAnsi="Cambria Math"/>
                              </w:rPr>
                              <m:t>P</m:t>
                            </m:r>
                          </m:e>
                          <m:sub>
                            <m:r>
                              <w:rPr>
                                <w:rFonts w:ascii="Cambria Math" w:hAnsi="Cambria Math"/>
                              </w:rPr>
                              <m:t>NJL</m:t>
                            </m:r>
                            <m:r>
                              <w:rPr>
                                <w:rFonts w:ascii="Cambria Math" w:hAnsi="Cambria Math"/>
                              </w:rPr>
                              <m:t>110,</m:t>
                            </m:r>
                            <m:r>
                              <w:rPr>
                                <w:rFonts w:ascii="Cambria Math" w:hAnsi="Cambria Math"/>
                              </w:rPr>
                              <m:t>t</m:t>
                            </m:r>
                          </m:sub>
                        </m:sSub>
                        <m:r>
                          <w:rPr>
                            <w:rFonts w:ascii="Cambria Math" w:hAnsi="Cambria Math"/>
                          </w:rPr>
                          <m:t>=</m:t>
                        </m:r>
                        <m:sSub>
                          <m:sSubPr>
                            <m:ctrlPr>
                              <w:rPr>
                                <w:rFonts w:ascii="Cambria Math" w:hAnsi="Cambria Math"/>
                                <w:i/>
                              </w:rPr>
                            </m:ctrlPr>
                          </m:sSubPr>
                          <m:e>
                            <m:r>
                              <w:rPr>
                                <w:rFonts w:ascii="Cambria Math" w:hAnsi="Cambria Math"/>
                              </w:rPr>
                              <m:t>NJL</m:t>
                            </m:r>
                          </m:e>
                          <m:sub>
                            <m:r>
                              <w:rPr>
                                <w:rFonts w:ascii="Cambria Math" w:hAnsi="Cambria Math"/>
                              </w:rPr>
                              <m:t>s</m:t>
                            </m:r>
                            <m:r>
                              <w:rPr>
                                <w:rFonts w:ascii="Cambria Math" w:hAnsi="Cambria Math"/>
                              </w:rPr>
                              <m:t>110,</m:t>
                            </m:r>
                            <m:r>
                              <w:rPr>
                                <w:rFonts w:ascii="Cambria Math" w:hAnsi="Cambria Math"/>
                              </w:rPr>
                              <m:t>t</m:t>
                            </m:r>
                            <m:r>
                              <w:rPr>
                                <w:rFonts w:ascii="Cambria Math" w:hAnsi="Cambria Math"/>
                              </w:rPr>
                              <m:t>-2</m:t>
                            </m:r>
                          </m:sub>
                        </m:sSub>
                        <m:r>
                          <w:rPr>
                            <w:rFonts w:ascii="Cambria Math" w:hAnsi="Cambria Math"/>
                          </w:rPr>
                          <m:t>/</m:t>
                        </m:r>
                        <m:sSub>
                          <m:sSubPr>
                            <m:ctrlPr>
                              <w:rPr>
                                <w:rFonts w:ascii="Cambria Math" w:hAnsi="Cambria Math"/>
                                <w:i/>
                              </w:rPr>
                            </m:ctrlPr>
                          </m:sSubPr>
                          <m:e>
                            <m:r>
                              <w:rPr>
                                <w:rFonts w:ascii="Cambria Math" w:hAnsi="Cambria Math"/>
                              </w:rPr>
                              <m:t>EE</m:t>
                            </m:r>
                          </m:e>
                          <m:sub>
                            <m:r>
                              <m:rPr>
                                <m:sty m:val="p"/>
                              </m:rPr>
                              <w:rPr>
                                <w:rFonts w:ascii="Cambria Math" w:hAnsi="Cambria Math"/>
                                <w:vertAlign w:val="subscript"/>
                              </w:rPr>
                              <m:t>NJL110,t-2</m:t>
                            </m:r>
                            <m:r>
                              <m:rPr>
                                <m:sty m:val="p"/>
                              </m:rPr>
                              <w:rPr>
                                <w:rFonts w:ascii="Cambria Math" w:hAnsi="Cambria Math"/>
                              </w:rPr>
                              <m:t xml:space="preserve"> </m:t>
                            </m:r>
                          </m:sub>
                        </m:sSub>
                      </m:oMath>
                      <w:r>
                        <w:tab/>
                        <w:tab/>
                        <w:t>(17</w:t>
                      </w:r>
                      <w:r>
                        <w:rPr>
                          <w:vertAlign w:val="superscript"/>
                        </w:rPr>
                        <w:t>2</w:t>
                      </w:r>
                      <w:r>
                        <w:t>)</w:t>
                      </w:r>
                    </w:p>
                    <w:p>
                      <w:pPr>
                        <w:tabs>
                          <w:tab w:val="right" w:pos="9639"/>
                        </w:tabs>
                        <w:ind w:firstLine="709"/>
                        <w:jc w:val="both"/>
                      </w:pPr>
                    </w:p>
                    <w:p>
                      <w:pPr>
                        <w:tabs>
                          <w:tab w:val="right" w:pos="9639"/>
                        </w:tabs>
                        <w:ind w:firstLine="709"/>
                        <w:jc w:val="both"/>
                      </w:pPr>
                      <w:r>
                        <w:t>čia:</w:t>
                      </w:r>
                    </w:p>
                    <w:p>
                      <w:pPr>
                        <w:tabs>
                          <w:tab w:val="right" w:pos="9639"/>
                        </w:tabs>
                        <w:ind w:firstLine="709"/>
                        <w:jc w:val="both"/>
                      </w:pPr>
                      <w:r>
                        <w:t>NJL</w:t>
                      </w:r>
                      <w:r>
                        <w:rPr>
                          <w:vertAlign w:val="subscript"/>
                        </w:rPr>
                        <w:t>s</w:t>
                      </w:r>
                      <w:r>
                        <w:rPr>
                          <w:i/>
                          <w:vertAlign w:val="subscript"/>
                        </w:rPr>
                        <w:t>110</w:t>
                      </w:r>
                      <w:r>
                        <w:rPr>
                          <w:vertAlign w:val="subscript"/>
                        </w:rPr>
                        <w:t>,</w:t>
                      </w:r>
                      <w:r>
                        <w:rPr>
                          <w:i/>
                          <w:vertAlign w:val="subscript"/>
                        </w:rPr>
                        <w:t>t</w:t>
                      </w:r>
                      <w:r>
                        <w:t xml:space="preserve"> – naudojimosi jungiamųjų linijų paslaugomis sąnaudos t-2 metais, Eur.</w:t>
                      </w:r>
                    </w:p>
                    <w:p>
                      <w:pPr>
                        <w:tabs>
                          <w:tab w:val="right" w:pos="9639"/>
                        </w:tabs>
                        <w:ind w:firstLine="709"/>
                        <w:jc w:val="both"/>
                      </w:pPr>
                    </w:p>
                    <w:p>
                      <w:pPr>
                        <w:tabs>
                          <w:tab w:val="right" w:pos="9639"/>
                        </w:tabs>
                        <w:ind w:firstLine="709"/>
                        <w:jc w:val="both"/>
                      </w:pPr>
                      <w:r>
                        <w:t>Naudojimosi jungiamųjų linijų paslaugomis sąnaudos t-2 metais apskaičiuojamos vadovaujantis Aprašu pagal PSO pateiktus t-2 metų duomenis.</w:t>
                      </w:r>
                    </w:p>
                    <w:p>
                      <w:pPr>
                        <w:tabs>
                          <w:tab w:val="right" w:pos="9639"/>
                        </w:tabs>
                        <w:ind w:firstLine="709"/>
                        <w:jc w:val="both"/>
                        <w:rPr>
                          <w:szCs w:val="24"/>
                        </w:rPr>
                      </w:pPr>
                      <w:r>
                        <w:rPr>
                          <w:szCs w:val="24"/>
                        </w:rPr>
                        <w:t xml:space="preserve">Į naudojimosi jungiamųjų linijų paslaugomis sąnaudas neįtraukiami patiriami kaštai pagal </w:t>
                      </w:r>
                      <w:r>
                        <w:rPr>
                          <w:iCs/>
                          <w:szCs w:val="24"/>
                        </w:rPr>
                        <w:t>ITC</w:t>
                      </w:r>
                      <w:r>
                        <w:rPr>
                          <w:szCs w:val="24"/>
                        </w:rPr>
                        <w:t xml:space="preserve"> mechanizmą.</w:t>
                      </w:r>
                    </w:p>
                    <w:p>
                      <w:pPr>
                        <w:tabs>
                          <w:tab w:val="right" w:pos="9639"/>
                        </w:tabs>
                        <w:ind w:firstLine="709"/>
                        <w:jc w:val="both"/>
                      </w:pPr>
                      <w:r>
                        <w:t>Kai naudojimosi jungiamųjų linijų paslaugomis (elektros energijos eksporto į trečiąsias šalis) apimtis t-2 metais yra lygi nuliui, t metais naudojimosi jungiamosiomis linijomis paslaugų kaina nustatoma pagal Metodikos 41</w:t>
                      </w:r>
                      <w:r>
                        <w:rPr>
                          <w:vertAlign w:val="superscript"/>
                        </w:rPr>
                        <w:t>3</w:t>
                      </w:r>
                      <w:r>
                        <w:t xml:space="preserve"> punkte apibrėžtus principus.</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734b207e3511e5b7eba10a9b5a9c5f">
                        <w:r w:rsidRPr="00532B9F">
                          <w:rPr>
                            <w:rFonts w:ascii="Times New Roman" w:eastAsia="MS Mincho" w:hAnsi="Times New Roman"/>
                            <w:sz w:val="20"/>
                            <w:i/>
                            <w:iCs/>
                            <w:color w:val="0000FF" w:themeColor="hyperlink"/>
                            <w:u w:val="single"/>
                          </w:rPr>
                          <w:t>O3-572</w:t>
                        </w:r>
                      </w:fldSimple>
                      <w:r>
                        <w:rPr>
                          <w:rFonts w:ascii="Times New Roman" w:eastAsia="MS Mincho" w:hAnsi="Times New Roman"/>
                          <w:sz w:val="20"/>
                          <w:i/>
                          <w:iCs/>
                        </w:rPr>
                        <w:t>,
2015-10-29,
paskelbta TAR 2015-10-29, i. k. 2015-17067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sdtContent>
                </w:sdt>
                <w:sdt>
                  <w:sdtPr>
                    <w:alias w:val="41-3 p."/>
                    <w:tag w:val="part_9103a363ea78473f99a055f76a95024c"/>
                    <w:lock w:val="sdtLocked"/>
                    <w:richText/>
                  </w:sdtPr>
                  <w:sdtContent>
                    <w:p>
                      <w:pPr>
                        <w:tabs>
                          <w:tab w:val="right" w:pos="9639"/>
                        </w:tabs>
                        <w:ind w:firstLine="709"/>
                        <w:jc w:val="both"/>
                        <w:rPr>
                          <w:szCs w:val="24"/>
                        </w:rPr>
                      </w:pPr>
                      <w:sdt>
                        <w:sdtPr>
                          <w:alias w:val="Numeris"/>
                          <w:tag w:val="nr_9103a363ea78473f99a055f76a95024c"/>
                          <w:lock w:val="sdtLocked"/>
                          <w:richText/>
                        </w:sdtPr>
                        <w:sdtContent>
                          <w:r>
                            <w:rPr>
                              <w:szCs w:val="24"/>
                            </w:rPr>
                            <w:t>41</w:t>
                          </w:r>
                          <w:r>
                            <w:rPr>
                              <w:szCs w:val="24"/>
                              <w:vertAlign w:val="superscript"/>
                            </w:rPr>
                            <w:t>3</w:t>
                          </w:r>
                        </w:sdtContent>
                      </w:sdt>
                      <w:r>
                        <w:rPr>
                          <w:szCs w:val="24"/>
                        </w:rPr>
                        <w:t>. Pirmais dvejais naudojimosi jungiamosiomis linijomis paslaugų kainos nustatymo metais nustatoma naudojimosi jungiamosiomis linijomis paslaugų kaina apskaičiuojama pagal formulę:</w:t>
                      </w:r>
                    </w:p>
                    <w:p>
                      <w:pPr>
                        <w:tabs>
                          <w:tab w:val="left" w:pos="6237"/>
                          <w:tab w:val="left" w:pos="8505"/>
                        </w:tabs>
                        <w:ind w:firstLine="6237"/>
                        <w:jc w:val="right"/>
                        <w:rPr>
                          <w:szCs w:val="22"/>
                        </w:rPr>
                      </w:pPr>
                      <m:oMath>
                        <m:sSub>
                          <m:sSubPr>
                            <m:ctrlPr>
                              <w:rPr>
                                <w:rFonts w:ascii="Cambria Math" w:hAnsi="Cambria Math"/>
                                <w:i/>
                              </w:rPr>
                            </m:ctrlPr>
                          </m:sSubPr>
                          <m:e>
                            <m:r>
                              <w:rPr>
                                <w:rFonts w:ascii="Cambria Math" w:hAnsi="Cambria Math"/>
                              </w:rPr>
                              <m:t>P</m:t>
                            </m:r>
                          </m:e>
                          <m:sub>
                            <m:r>
                              <w:rPr>
                                <w:rFonts w:ascii="Cambria Math" w:hAnsi="Cambria Math"/>
                              </w:rPr>
                              <m:t>NJL</m:t>
                            </m:r>
                            <m:r>
                              <w:rPr>
                                <w:rFonts w:ascii="Cambria Math" w:hAnsi="Cambria Math"/>
                              </w:rPr>
                              <m:t>110,</m:t>
                            </m:r>
                            <m:r>
                              <w:rPr>
                                <w:rFonts w:ascii="Cambria Math" w:hAnsi="Cambria Math"/>
                              </w:rPr>
                              <m:t>t</m:t>
                            </m:r>
                          </m:sub>
                        </m:sSub>
                        <m:r>
                          <w:rPr>
                            <w:rFonts w:ascii="Cambria Math" w:hAnsi="Cambria Math"/>
                          </w:rPr>
                          <m:t>=</m:t>
                        </m:r>
                        <m:f>
                          <m:fPr>
                            <m:ctrlPr>
                              <w:rPr>
                                <w:rFonts w:ascii="Cambria Math" w:hAnsi="Cambria Math"/>
                                <w:i/>
                              </w:rPr>
                            </m:ctrlPr>
                          </m:fPr>
                          <m:num>
                            <m:r>
                              <w:rPr>
                                <w:rFonts w:ascii="Cambria Math" w:hAnsi="Cambria Math"/>
                              </w:rPr>
                              <m:t>(</m:t>
                            </m:r>
                            <m:sSub>
                              <m:sSubPr>
                                <m:ctrlPr>
                                  <w:rPr>
                                    <w:rFonts w:ascii="Cambria Math" w:hAnsi="Cambria Math"/>
                                    <w:i/>
                                  </w:rPr>
                                </m:ctrlPr>
                              </m:sSubPr>
                              <m:e>
                                <m:r>
                                  <w:rPr>
                                    <w:rFonts w:ascii="Cambria Math" w:hAnsi="Cambria Math"/>
                                  </w:rPr>
                                  <m:t>E</m:t>
                                </m:r>
                              </m:e>
                              <m:sub>
                                <m:r>
                                  <w:rPr>
                                    <w:rFonts w:ascii="Cambria Math" w:hAnsi="Cambria Math"/>
                                  </w:rPr>
                                  <m:t>sr</m:t>
                                </m:r>
                                <m:r>
                                  <w:rPr>
                                    <w:rFonts w:ascii="Cambria Math" w:hAnsi="Cambria Math"/>
                                  </w:rPr>
                                  <m:t>110,</m:t>
                                </m:r>
                                <m:r>
                                  <w:rPr>
                                    <w:rFonts w:ascii="Cambria Math" w:hAnsi="Cambria Math"/>
                                  </w:rPr>
                                  <m:t>t</m:t>
                                </m:r>
                              </m:sub>
                            </m:sSub>
                            <m:r>
                              <w:rPr>
                                <w:rFonts w:ascii="Cambria Math" w:hAnsi="Cambria Math"/>
                              </w:rPr>
                              <m:t>+</m:t>
                            </m:r>
                            <m:sSub>
                              <m:sSubPr>
                                <m:ctrlPr>
                                  <w:rPr>
                                    <w:rFonts w:ascii="Cambria Math" w:hAnsi="Cambria Math"/>
                                    <w:i/>
                                  </w:rPr>
                                </m:ctrlPr>
                              </m:sSubPr>
                              <m:e>
                                <m:r>
                                  <w:rPr>
                                    <w:rFonts w:ascii="Cambria Math" w:hAnsi="Cambria Math"/>
                                  </w:rPr>
                                  <m:t>E</m:t>
                                </m:r>
                              </m:e>
                              <m:sub>
                                <m:r>
                                  <w:rPr>
                                    <w:rFonts w:ascii="Cambria Math" w:hAnsi="Cambria Math"/>
                                  </w:rPr>
                                  <m:t>n</m:t>
                                </m:r>
                                <m:r>
                                  <w:rPr>
                                    <w:rFonts w:ascii="Cambria Math" w:hAnsi="Cambria Math"/>
                                  </w:rPr>
                                  <m:t>110,</m:t>
                                </m:r>
                                <m:r>
                                  <w:rPr>
                                    <w:rFonts w:ascii="Cambria Math" w:hAnsi="Cambria Math"/>
                                  </w:rPr>
                                  <m:t>t</m:t>
                                </m:r>
                              </m:sub>
                            </m:sSub>
                            <m:r>
                              <w:rPr>
                                <w:rFonts w:ascii="Cambria Math" w:hAnsi="Cambria Math"/>
                              </w:rPr>
                              <m:t>)/1000</m:t>
                            </m:r>
                          </m:num>
                          <m:den>
                            <m:sSub>
                              <m:sSubPr>
                                <m:ctrlPr>
                                  <w:rPr>
                                    <w:rFonts w:ascii="Cambria Math" w:hAnsi="Cambria Math"/>
                                    <w:i/>
                                  </w:rPr>
                                </m:ctrlPr>
                              </m:sSubPr>
                              <m:e>
                                <m:r>
                                  <w:rPr>
                                    <w:rFonts w:ascii="Cambria Math" w:hAnsi="Cambria Math"/>
                                  </w:rPr>
                                  <m:t>E</m:t>
                                </m:r>
                                <m:r>
                                  <w:rPr>
                                    <w:rFonts w:ascii="Cambria Math" w:hAnsi="Cambria Math"/>
                                  </w:rPr>
                                  <m:t>E</m:t>
                                </m:r>
                              </m:e>
                              <m:sub>
                                <m:r>
                                  <w:rPr>
                                    <w:rFonts w:ascii="Cambria Math" w:hAnsi="Cambria Math"/>
                                  </w:rPr>
                                  <m:t>110,</m:t>
                                </m:r>
                                <m:r>
                                  <w:rPr>
                                    <w:rFonts w:ascii="Cambria Math" w:hAnsi="Cambria Math"/>
                                  </w:rPr>
                                  <m:t>t</m:t>
                                </m:r>
                              </m:sub>
                            </m:sSub>
                          </m:den>
                        </m:f>
                        <m:r>
                          <w:rPr>
                            <w:rFonts w:ascii="Cambria Math" w:hAnsi="Cambria Math"/>
                          </w:rPr>
                          <m:t>*</m:t>
                        </m:r>
                        <m:sSub>
                          <m:sSubPr>
                            <m:ctrlPr>
                              <w:rPr>
                                <w:rFonts w:ascii="Cambria Math" w:hAnsi="Cambria Math"/>
                                <w:i/>
                              </w:rPr>
                            </m:ctrlPr>
                          </m:sSubPr>
                          <m:e>
                            <m:r>
                              <w:rPr>
                                <w:rFonts w:ascii="Cambria Math" w:hAnsi="Cambria Math"/>
                              </w:rPr>
                              <m:t>P</m:t>
                            </m:r>
                          </m:e>
                          <m:sub>
                            <m:r>
                              <m:rPr>
                                <m:sty m:val="p"/>
                              </m:rPr>
                              <w:rPr>
                                <w:rFonts w:ascii="Cambria Math" w:hAnsi="Cambria Math"/>
                                <w:vertAlign w:val="subscript"/>
                              </w:rPr>
                              <m:t>R,t</m:t>
                            </m:r>
                            <m:r>
                              <m:rPr>
                                <m:sty m:val="p"/>
                              </m:rPr>
                              <w:rPr>
                                <w:rFonts w:ascii="Cambria Math" w:hAnsi="Cambria Math"/>
                              </w:rPr>
                              <m:t xml:space="preserve"> </m:t>
                            </m:r>
                          </m:sub>
                        </m:sSub>
                        <m:r>
                          <w:rPr>
                            <w:rFonts w:ascii="Cambria Math" w:hAnsi="Cambria Math"/>
                          </w:rPr>
                          <m:t>+</m:t>
                        </m:r>
                        <m:f>
                          <m:fPr>
                            <m:ctrlPr>
                              <w:rPr>
                                <w:rFonts w:ascii="Cambria Math" w:hAnsi="Cambria Math"/>
                                <w:i/>
                              </w:rPr>
                            </m:ctrlPr>
                          </m:fPr>
                          <m:num>
                            <m:sSub>
                              <m:sSubPr>
                                <m:ctrlPr>
                                  <w:rPr>
                                    <w:rFonts w:ascii="Cambria Math" w:hAnsi="Cambria Math"/>
                                    <w:i/>
                                  </w:rPr>
                                </m:ctrlPr>
                              </m:sSubPr>
                              <m:e>
                                <m:r>
                                  <w:rPr>
                                    <w:rFonts w:ascii="Cambria Math" w:hAnsi="Cambria Math"/>
                                  </w:rPr>
                                  <m:t>FC</m:t>
                                </m:r>
                              </m:e>
                              <m:sub>
                                <m:r>
                                  <w:rPr>
                                    <w:rFonts w:ascii="Cambria Math" w:hAnsi="Cambria Math"/>
                                  </w:rPr>
                                  <m:t>NJL</m:t>
                                </m:r>
                                <m:r>
                                  <w:rPr>
                                    <w:rFonts w:ascii="Cambria Math" w:hAnsi="Cambria Math"/>
                                  </w:rPr>
                                  <m:t xml:space="preserve"> 110,</m:t>
                                </m:r>
                                <m:r>
                                  <w:rPr>
                                    <w:rFonts w:ascii="Cambria Math" w:hAnsi="Cambria Math"/>
                                  </w:rPr>
                                  <m:t>t</m:t>
                                </m:r>
                              </m:sub>
                            </m:sSub>
                          </m:num>
                          <m:den>
                            <m:sSub>
                              <m:sSubPr>
                                <m:ctrlPr>
                                  <w:rPr>
                                    <w:rFonts w:ascii="Cambria Math" w:hAnsi="Cambria Math"/>
                                    <w:i/>
                                  </w:rPr>
                                </m:ctrlPr>
                              </m:sSubPr>
                              <m:e>
                                <m:r>
                                  <w:rPr>
                                    <w:rFonts w:ascii="Cambria Math" w:hAnsi="Cambria Math"/>
                                  </w:rPr>
                                  <m:t>EE</m:t>
                                </m:r>
                              </m:e>
                              <m:sub>
                                <m:r>
                                  <w:rPr>
                                    <w:rFonts w:ascii="Cambria Math" w:hAnsi="Cambria Math"/>
                                  </w:rPr>
                                  <m:t>NJL</m:t>
                                </m:r>
                                <m:r>
                                  <w:rPr>
                                    <w:rFonts w:ascii="Cambria Math" w:hAnsi="Cambria Math"/>
                                  </w:rPr>
                                  <m:t>110,</m:t>
                                </m:r>
                                <m:r>
                                  <w:rPr>
                                    <w:rFonts w:ascii="Cambria Math" w:hAnsi="Cambria Math"/>
                                  </w:rPr>
                                  <m:t>t</m:t>
                                </m:r>
                              </m:sub>
                            </m:sSub>
                          </m:den>
                        </m:f>
                      </m:oMath>
                      <w:r>
                        <w:rPr>
                          <w:szCs w:val="22"/>
                        </w:rPr>
                        <w:t>(17</w:t>
                      </w:r>
                      <w:r>
                        <w:rPr>
                          <w:szCs w:val="22"/>
                          <w:vertAlign w:val="superscript"/>
                        </w:rPr>
                        <w:t>3</w:t>
                      </w:r>
                      <w:r>
                        <w:rPr>
                          <w:szCs w:val="22"/>
                        </w:rPr>
                        <w:t>)</w:t>
                      </w:r>
                    </w:p>
                    <w:p>
                      <w:pPr>
                        <w:tabs>
                          <w:tab w:val="right" w:pos="9639"/>
                        </w:tabs>
                        <w:jc w:val="both"/>
                        <w:rPr>
                          <w:szCs w:val="22"/>
                        </w:rPr>
                      </w:pPr>
                    </w:p>
                    <w:p>
                      <w:pPr>
                        <w:tabs>
                          <w:tab w:val="right" w:pos="9639"/>
                        </w:tabs>
                        <w:ind w:firstLine="709"/>
                        <w:jc w:val="both"/>
                        <w:rPr>
                          <w:szCs w:val="22"/>
                        </w:rPr>
                      </w:pPr>
                      <w:r>
                        <w:rPr>
                          <w:szCs w:val="22"/>
                        </w:rPr>
                        <w:t>čia:</w:t>
                      </w:r>
                    </w:p>
                    <w:p>
                      <w:pPr>
                        <w:tabs>
                          <w:tab w:val="right" w:pos="9639"/>
                        </w:tabs>
                        <w:ind w:firstLine="709"/>
                        <w:jc w:val="both"/>
                        <w:rPr>
                          <w:szCs w:val="22"/>
                        </w:rPr>
                      </w:pPr>
                      <w:r>
                        <w:rPr>
                          <w:szCs w:val="22"/>
                        </w:rPr>
                        <w:t>EE</w:t>
                      </w:r>
                      <w:r>
                        <w:rPr>
                          <w:i/>
                          <w:szCs w:val="22"/>
                          <w:vertAlign w:val="subscript"/>
                        </w:rPr>
                        <w:t>110,t</w:t>
                      </w:r>
                      <w:r>
                        <w:rPr>
                          <w:szCs w:val="22"/>
                        </w:rPr>
                        <w:t xml:space="preserve"> – planuojama naudojimosi perdavimo sistema apimtis t metais, iš viso, MWh;</w:t>
                      </w:r>
                    </w:p>
                    <w:p>
                      <w:pPr>
                        <w:ind w:firstLine="709"/>
                        <w:jc w:val="both"/>
                        <w:rPr>
                          <w:color w:val="000000"/>
                          <w:szCs w:val="24"/>
                        </w:rPr>
                      </w:pPr>
                      <w:r>
                        <w:rPr>
                          <w:color w:val="000000"/>
                          <w:szCs w:val="24"/>
                        </w:rPr>
                        <w:t>FC</w:t>
                      </w:r>
                      <w:r>
                        <w:rPr>
                          <w:i/>
                          <w:color w:val="000000"/>
                          <w:szCs w:val="24"/>
                          <w:vertAlign w:val="subscript"/>
                        </w:rPr>
                        <w:t>NJL110,t</w:t>
                      </w:r>
                      <w:r>
                        <w:rPr>
                          <w:color w:val="000000"/>
                          <w:szCs w:val="24"/>
                        </w:rPr>
                        <w:t xml:space="preserve"> – planuojama pastoviųjų sąnaudų, tenkanti naudojimosi jungiamųjų linijų paslaugoms t metais, dalis, Eur. Pastoviosios sąnaudos nustatomos vadovaujantis Aprašu.</w:t>
                      </w:r>
                    </w:p>
                    <w:p>
                      <w:pPr>
                        <w:tabs>
                          <w:tab w:val="right" w:pos="9639"/>
                        </w:tabs>
                        <w:ind w:firstLine="709"/>
                        <w:jc w:val="both"/>
                        <w:rPr>
                          <w:szCs w:val="22"/>
                        </w:rPr>
                      </w:pPr>
                      <w:r>
                        <w:rPr>
                          <w:szCs w:val="24"/>
                        </w:rPr>
                        <w:t>P</w:t>
                      </w:r>
                      <w:r>
                        <w:rPr>
                          <w:i/>
                          <w:szCs w:val="24"/>
                          <w:vertAlign w:val="subscript"/>
                        </w:rPr>
                        <w:t>R,t</w:t>
                      </w:r>
                      <w:r>
                        <w:rPr>
                          <w:szCs w:val="24"/>
                        </w:rPr>
                        <w:t xml:space="preserve"> </w:t>
                      </w:r>
                      <w:r>
                        <w:rPr>
                          <w:szCs w:val="22"/>
                        </w:rPr>
                        <w:t>–</w:t>
                      </w:r>
                      <w:r>
                        <w:rPr>
                          <w:szCs w:val="24"/>
                        </w:rPr>
                        <w:t xml:space="preserve"> rinkos kaina t metais nustatoma, vadovaujantis Elektros energijos rinkos kainos nustatymo metodika, patvirtinta Komisijos 2011 m. liepos 8 d. nutarimu Nr. O3-175 „Dėl Elektros energijos rinkos kainos nustatymo metodikos patvirtinimo“, Eur/MWh</w:t>
                      </w:r>
                      <w:r>
                        <w:rPr>
                          <w:szCs w:val="22"/>
                        </w:rPr>
                        <w:t>.</w:t>
                      </w:r>
                    </w:p>
                    <w:p>
                      <w:pPr>
                        <w:tabs>
                          <w:tab w:val="right" w:pos="9639"/>
                        </w:tabs>
                        <w:ind w:firstLine="709"/>
                        <w:jc w:val="both"/>
                        <w:rPr>
                          <w:szCs w:val="24"/>
                        </w:rPr>
                      </w:pPr>
                      <w:r>
                        <w:rPr>
                          <w:szCs w:val="24"/>
                        </w:rPr>
                        <w:t>Į pastoviąsias sąnaudas, tenkančias naudojimosi jungiamųjų linijų paslaugoms, neįtraukiami patiriami kaštai pagal ITC mechanizmą.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734b207e3511e5b7eba10a9b5a9c5f">
                        <w:r w:rsidRPr="00532B9F">
                          <w:rPr>
                            <w:rFonts w:ascii="Times New Roman" w:eastAsia="MS Mincho" w:hAnsi="Times New Roman"/>
                            <w:sz w:val="20"/>
                            <w:i/>
                            <w:iCs/>
                            <w:color w:val="0000FF" w:themeColor="hyperlink"/>
                            <w:u w:val="single"/>
                          </w:rPr>
                          <w:t>O3-572</w:t>
                        </w:r>
                      </w:fldSimple>
                      <w:r>
                        <w:rPr>
                          <w:rFonts w:ascii="Times New Roman" w:eastAsia="MS Mincho" w:hAnsi="Times New Roman"/>
                          <w:sz w:val="20"/>
                          <w:i/>
                          <w:iCs/>
                        </w:rPr>
                        <w:t>,
2015-10-29,
paskelbta TAR 2015-10-29, i. k. 2015-17067        </w:t>
                      </w:r>
                    </w:p>
                    <w:p/>
                  </w:sdtContent>
                </w:sdt>
              </w:sdtContent>
            </w:sdt>
            <w:sdt>
              <w:sdtPr>
                <w:alias w:val="skirsnis"/>
                <w:tag w:val="part_13182d181ffe4a759299e9803af06085"/>
                <w:lock w:val="sdtLocked"/>
                <w:richText/>
              </w:sdtPr>
              <w:sdtContent>
                <w:p>
                  <w:pPr>
                    <w:keepNext/>
                    <w:keepLines/>
                    <w:tabs>
                      <w:tab w:val="left" w:pos="1134"/>
                      <w:tab w:val="left" w:pos="1843"/>
                      <w:tab w:val="left" w:pos="2268"/>
                    </w:tabs>
                    <w:jc w:val="center"/>
                    <w:outlineLvl w:val="1"/>
                    <w:rPr>
                      <w:b/>
                      <w:bCs/>
                      <w:szCs w:val="24"/>
                    </w:rPr>
                  </w:pPr>
                  <w:sdt>
                    <w:sdtPr>
                      <w:alias w:val="Numeris"/>
                      <w:tag w:val="nr_13182d181ffe4a759299e9803af06085"/>
                      <w:lock w:val="sdtLocked"/>
                      <w:richText/>
                    </w:sdtPr>
                    <w:sdtContent>
                      <w:r>
                        <w:rPr>
                          <w:b/>
                          <w:bCs/>
                          <w:szCs w:val="24"/>
                        </w:rPr>
                        <w:t>TREČIASIS</w:t>
                      </w:r>
                    </w:sdtContent>
                  </w:sdt>
                  <w:r>
                    <w:rPr>
                      <w:b/>
                      <w:bCs/>
                      <w:szCs w:val="24"/>
                    </w:rPr>
                    <w:t xml:space="preserve"> SKIRSNIS</w:t>
                  </w:r>
                </w:p>
                <w:p>
                  <w:pPr>
                    <w:keepNext/>
                    <w:keepLines/>
                    <w:tabs>
                      <w:tab w:val="left" w:pos="1134"/>
                      <w:tab w:val="left" w:pos="1843"/>
                      <w:tab w:val="left" w:pos="2268"/>
                    </w:tabs>
                    <w:jc w:val="center"/>
                    <w:outlineLvl w:val="1"/>
                    <w:rPr>
                      <w:b/>
                      <w:bCs/>
                      <w:szCs w:val="24"/>
                    </w:rPr>
                  </w:pPr>
                  <w:sdt>
                    <w:sdtPr>
                      <w:alias w:val="Pavadinimas"/>
                      <w:tag w:val="title_13182d181ffe4a759299e9803af06085"/>
                      <w:lock w:val="sdtLocked"/>
                      <w:richText/>
                    </w:sdtPr>
                    <w:sdtContent>
                      <w:r>
                        <w:rPr>
                          <w:b/>
                          <w:bCs/>
                          <w:szCs w:val="24"/>
                        </w:rPr>
                        <w:t>PERDAVIMO PASLAUGOS AUKŠTOS ĮTAMPOS TINKLAIS KAINOS VIRŠUTINĖS RIBOS NUSTATYMAS IR KOREGAVIMAS</w:t>
                      </w:r>
                    </w:sdtContent>
                  </w:sdt>
                </w:p>
                <w:p>
                  <w:pPr>
                    <w:tabs>
                      <w:tab w:val="left" w:pos="1134"/>
                      <w:tab w:val="left" w:pos="1843"/>
                      <w:tab w:val="left" w:pos="2268"/>
                    </w:tabs>
                    <w:ind w:firstLine="567"/>
                    <w:jc w:val="both"/>
                    <w:rPr>
                      <w:szCs w:val="24"/>
                    </w:rPr>
                  </w:pPr>
                </w:p>
                <w:p>
                  <w:pPr>
                    <w:tabs>
                      <w:tab w:val="left" w:pos="1134"/>
                      <w:tab w:val="left" w:pos="1843"/>
                      <w:tab w:val="left" w:pos="2268"/>
                    </w:tabs>
                    <w:ind w:firstLine="567"/>
                    <w:jc w:val="both"/>
                    <w:rPr>
                      <w:szCs w:val="24"/>
                    </w:rPr>
                  </w:pPr>
                </w:p>
                <w:p>
                  <w:pPr>
                    <w:pStyle w:val="PlainText"/>
                    <w:rPr>
                      <w:rFonts w:ascii="Times New Roman" w:eastAsia="MS Mincho" w:hAnsi="Times New Roman"/>
                      <w:sz w:val="20"/>
                      <w:i/>
                      <w:iCs/>
                    </w:rPr>
                  </w:pPr>
                  <w:r>
                    <w:rPr>
                      <w:rFonts w:ascii="Times New Roman" w:eastAsia="MS Mincho" w:hAnsi="Times New Roman"/>
                      <w:sz w:val="20"/>
                      <w:i/>
                      <w:iCs/>
                    </w:rPr>
                    <w:t>Pakeistas skirsnio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sdt>
                  <w:sdtPr>
                    <w:alias w:val="42 p."/>
                    <w:tag w:val="part_4fe9ff653e894640b029d467a566534c"/>
                    <w:lock w:val="sdtLocked"/>
                    <w:richText/>
                  </w:sdtPr>
                  <w:sdtContent>
                    <w:p>
                      <w:pPr>
                        <w:tabs>
                          <w:tab w:val="left" w:pos="1134"/>
                        </w:tabs>
                        <w:ind w:firstLine="709"/>
                        <w:jc w:val="both"/>
                        <w:rPr>
                          <w:szCs w:val="24"/>
                        </w:rPr>
                      </w:pPr>
                      <w:sdt>
                        <w:sdtPr>
                          <w:alias w:val="Numeris"/>
                          <w:tag w:val="nr_4fe9ff653e894640b029d467a566534c"/>
                          <w:lock w:val="sdtLocked"/>
                          <w:richText/>
                        </w:sdtPr>
                        <w:sdtContent>
                          <w:r>
                            <w:rPr>
                              <w:szCs w:val="24"/>
                            </w:rPr>
                            <w:t>42</w:t>
                          </w:r>
                        </w:sdtContent>
                      </w:sdt>
                      <w:r>
                        <w:rPr>
                          <w:szCs w:val="24"/>
                        </w:rPr>
                        <w:t>. Elektros energijos perdavimo aukštos įtampos tinklais paslaugos kainos viršutinė riba visam reguliavimo periodui apskaičiuojama galutines pirmiems reguliavimo periodo metams PSO leidžiamas pajamas padalijus iš planuojamo perduoti elektros energijos kiekio šalies poreikiams ir apskaičiuojama pagal formulę:</w:t>
                      </w:r>
                    </w:p>
                    <w:p>
                      <w:pPr>
                        <w:tabs>
                          <w:tab w:val="left" w:pos="1134"/>
                        </w:tabs>
                        <w:ind w:firstLine="709"/>
                        <w:jc w:val="both"/>
                        <w:rPr>
                          <w:szCs w:val="24"/>
                        </w:rPr>
                      </w:pPr>
                    </w:p>
                    <w:p>
                      <w:pPr>
                        <w:tabs>
                          <w:tab w:val="left" w:pos="2694"/>
                          <w:tab w:val="left" w:pos="3686"/>
                        </w:tabs>
                        <w:ind w:firstLine="142"/>
                        <w:jc w:val="center"/>
                        <w:rPr>
                          <w:szCs w:val="24"/>
                        </w:rPr>
                      </w:pPr>
                      <m:oMath>
                        <m:sSub>
                          <m:sSubPr>
                            <m:ctrlPr>
                              <w:rPr>
                                <w:rFonts w:ascii="Cambria Math" w:hAnsi="Cambria Math"/>
                                <w:i/>
                              </w:rPr>
                            </m:ctrlPr>
                          </m:sSubPr>
                          <m:e>
                            <m:r>
                              <w:rPr>
                                <w:rFonts w:ascii="Cambria Math" w:hAnsi="Cambria Math"/>
                              </w:rPr>
                              <m:t>T</m:t>
                            </m:r>
                          </m:e>
                          <m:sub>
                            <m:r>
                              <w:rPr>
                                <w:rFonts w:ascii="Cambria Math" w:hAnsi="Cambria Math"/>
                              </w:rPr>
                              <m:t>110</m:t>
                            </m:r>
                          </m:sub>
                        </m:sSub>
                        <m:r>
                          <w:rPr>
                            <w:rFonts w:ascii="Cambria Math" w:hAnsi="Cambria Math"/>
                          </w:rPr>
                          <m:t>=</m:t>
                        </m:r>
                        <m:f>
                          <m:fPr>
                            <m:ctrlPr>
                              <w:rPr>
                                <w:rFonts w:ascii="Cambria Math" w:hAnsi="Cambria Math"/>
                                <w:i/>
                              </w:rPr>
                            </m:ctrlPr>
                          </m:fPr>
                          <m:num>
                            <m:sSub>
                              <m:sSubPr>
                                <m:ctrlPr>
                                  <w:rPr>
                                    <w:rFonts w:ascii="Cambria Math" w:hAnsi="Cambria Math"/>
                                    <w:i/>
                                  </w:rPr>
                                </m:ctrlPr>
                              </m:sSubPr>
                              <m:e>
                                <m:r>
                                  <w:rPr>
                                    <w:rFonts w:ascii="Cambria Math" w:hAnsi="Cambria Math"/>
                                  </w:rPr>
                                  <m:t>P</m:t>
                                </m:r>
                              </m:e>
                              <m:sub>
                                <m:r>
                                  <w:rPr>
                                    <w:rFonts w:ascii="Cambria Math" w:hAnsi="Cambria Math"/>
                                  </w:rPr>
                                  <m:t>110</m:t>
                                </m:r>
                              </m:sub>
                            </m:sSub>
                          </m:num>
                          <m:den>
                            <m:sSub>
                              <m:sSubPr>
                                <m:ctrlPr>
                                  <w:rPr>
                                    <w:rFonts w:ascii="Cambria Math" w:hAnsi="Cambria Math"/>
                                    <w:i/>
                                  </w:rPr>
                                </m:ctrlPr>
                              </m:sSubPr>
                              <m:e>
                                <m:r>
                                  <w:rPr>
                                    <w:rFonts w:ascii="Cambria Math" w:hAnsi="Cambria Math"/>
                                  </w:rPr>
                                  <m:t>E</m:t>
                                </m:r>
                              </m:e>
                              <m:sub>
                                <m:r>
                                  <w:rPr>
                                    <w:rFonts w:ascii="Cambria Math" w:hAnsi="Cambria Math"/>
                                  </w:rPr>
                                  <m:t>110</m:t>
                                </m:r>
                              </m:sub>
                            </m:sSub>
                          </m:den>
                        </m:f>
                        <m:r>
                          <w:rPr>
                            <w:rFonts w:ascii="Cambria Math" w:hAnsi="Cambria Math"/>
                          </w:rPr>
                          <m:t xml:space="preserve"> ×100</m:t>
                        </m:r>
                      </m:oMath>
                      <w:r>
                        <w:tab/>
                        <w:tab/>
                        <w:tab/>
                        <w:tab/>
                        <w:tab/>
                        <w:tab/>
                        <w:t>(17</w:t>
                      </w:r>
                      <w:r>
                        <w:rPr>
                          <w:vertAlign w:val="superscript"/>
                        </w:rPr>
                        <w:t>4</w:t>
                      </w:r>
                      <w:r>
                        <w:t>)</w:t>
                      </w:r>
                    </w:p>
                    <w:p>
                      <w:pPr>
                        <w:tabs>
                          <w:tab w:val="left" w:pos="1134"/>
                        </w:tabs>
                        <w:ind w:firstLine="709"/>
                        <w:jc w:val="both"/>
                      </w:pPr>
                    </w:p>
                    <w:p>
                      <w:pPr>
                        <w:tabs>
                          <w:tab w:val="left" w:pos="1080"/>
                          <w:tab w:val="left" w:pos="1843"/>
                          <w:tab w:val="left" w:pos="2268"/>
                        </w:tabs>
                        <w:ind w:firstLine="720"/>
                        <w:jc w:val="both"/>
                        <w:rPr>
                          <w:i/>
                          <w:szCs w:val="24"/>
                          <w:lang w:eastAsia="lt-LT"/>
                        </w:rPr>
                      </w:pPr>
                      <w:r>
                        <w:rPr>
                          <w:i/>
                          <w:szCs w:val="24"/>
                          <w:lang w:eastAsia="lt-LT"/>
                        </w:rPr>
                        <w:t>čia:</w:t>
                      </w:r>
                    </w:p>
                    <w:p>
                      <w:pPr>
                        <w:tabs>
                          <w:tab w:val="left" w:pos="1080"/>
                          <w:tab w:val="left" w:pos="1843"/>
                          <w:tab w:val="left" w:pos="2268"/>
                        </w:tabs>
                        <w:ind w:firstLine="720"/>
                        <w:jc w:val="both"/>
                        <w:rPr>
                          <w:szCs w:val="24"/>
                          <w:lang w:eastAsia="lt-LT"/>
                        </w:rPr>
                      </w:pPr>
                      <w:r>
                        <w:rPr>
                          <w:szCs w:val="24"/>
                          <w:lang w:eastAsia="lt-LT"/>
                        </w:rPr>
                        <w:t>T</w:t>
                      </w:r>
                      <w:r>
                        <w:rPr>
                          <w:szCs w:val="24"/>
                          <w:vertAlign w:val="subscript"/>
                          <w:lang w:eastAsia="lt-LT"/>
                        </w:rPr>
                        <w:t>110</w:t>
                      </w:r>
                      <w:r>
                        <w:rPr>
                          <w:szCs w:val="24"/>
                          <w:lang w:eastAsia="lt-LT"/>
                        </w:rPr>
                        <w:t xml:space="preserve"> – bazinė elektros energijos perdavimo paslaugos kainos viršutinė riba, ct/kWh;</w:t>
                      </w:r>
                    </w:p>
                    <w:p>
                      <w:pPr>
                        <w:tabs>
                          <w:tab w:val="left" w:pos="1080"/>
                          <w:tab w:val="left" w:pos="1843"/>
                          <w:tab w:val="left" w:pos="2268"/>
                        </w:tabs>
                        <w:ind w:firstLine="720"/>
                        <w:jc w:val="both"/>
                        <w:rPr>
                          <w:szCs w:val="24"/>
                          <w:lang w:eastAsia="lt-LT"/>
                        </w:rPr>
                      </w:pPr>
                      <w:r>
                        <w:rPr>
                          <w:szCs w:val="24"/>
                          <w:lang w:eastAsia="lt-LT"/>
                        </w:rPr>
                        <w:t>P</w:t>
                      </w:r>
                      <w:r>
                        <w:rPr>
                          <w:szCs w:val="24"/>
                          <w:vertAlign w:val="subscript"/>
                          <w:lang w:eastAsia="lt-LT"/>
                        </w:rPr>
                        <w:t>110</w:t>
                      </w:r>
                      <w:r>
                        <w:rPr>
                          <w:szCs w:val="24"/>
                          <w:lang w:eastAsia="lt-LT"/>
                        </w:rPr>
                        <w:t xml:space="preserve"> – galutinės pirmųjų reguliavimo periodo metų PSO leidžiamos pajamos, EUR;</w:t>
                      </w:r>
                    </w:p>
                    <w:p>
                      <w:pPr>
                        <w:ind w:firstLine="720"/>
                        <w:jc w:val="both"/>
                        <w:rPr>
                          <w:szCs w:val="24"/>
                        </w:rPr>
                      </w:pPr>
                      <w:r>
                        <w:rPr>
                          <w:szCs w:val="24"/>
                          <w:lang w:eastAsia="lt-LT"/>
                        </w:rPr>
                        <w:t>E</w:t>
                      </w:r>
                      <w:r>
                        <w:rPr>
                          <w:szCs w:val="24"/>
                          <w:vertAlign w:val="subscript"/>
                          <w:lang w:eastAsia="lt-LT"/>
                        </w:rPr>
                        <w:t>110</w:t>
                      </w:r>
                      <w:r>
                        <w:rPr>
                          <w:szCs w:val="24"/>
                          <w:lang w:eastAsia="lt-LT"/>
                        </w:rPr>
                        <w:t xml:space="preserve"> – PSO prognozuojamas perduoti elektros energijos kiekis AĮ tinklais šalies poreikiams pirmaisiais reguliavimo periodo metais, kWh.</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sdtContent>
                </w:sdt>
                <w:sdt>
                  <w:sdtPr>
                    <w:alias w:val="43 p."/>
                    <w:tag w:val="part_c3cfc75fc03e45d1bb9c6bbfe4cfa44e"/>
                    <w:lock w:val="sdtLocked"/>
                    <w:richText/>
                  </w:sdtPr>
                  <w:sdtContent>
                    <w:p>
                      <w:pPr>
                        <w:tabs>
                          <w:tab w:val="left" w:pos="1134"/>
                        </w:tabs>
                        <w:ind w:firstLine="709"/>
                        <w:jc w:val="both"/>
                        <w:rPr>
                          <w:szCs w:val="24"/>
                        </w:rPr>
                      </w:pPr>
                      <w:sdt>
                        <w:sdtPr>
                          <w:alias w:val="Numeris"/>
                          <w:tag w:val="nr_c3cfc75fc03e45d1bb9c6bbfe4cfa44e"/>
                          <w:lock w:val="sdtLocked"/>
                          <w:richText/>
                        </w:sdtPr>
                        <w:sdtContent>
                          <w:r>
                            <w:rPr>
                              <w:szCs w:val="24"/>
                            </w:rPr>
                            <w:t>43</w:t>
                          </w:r>
                        </w:sdtContent>
                      </w:sdt>
                      <w:r>
                        <w:rPr>
                          <w:szCs w:val="24"/>
                        </w:rPr>
                        <w:t xml:space="preserve">. Elektros energijos perdavimo aukštos įtampos tinklais paslaugos kainos viršutinė riba </w:t>
                      </w:r>
                      <w:r>
                        <w:t>kitiems reguliavimo periodo metams yra koreguojama</w:t>
                      </w:r>
                      <w:r>
                        <w:rPr>
                          <w:szCs w:val="24"/>
                        </w:rPr>
                        <w:t xml:space="preserve"> dėl OPEX (be DU) infliacijos, vidutinio darbo užmokesčio pokyčio, planuojamų technologinių sąnaudų, mokesčių ir kapitalo kaštų pokyčių bei prognozuojamo perduoti elektros energijos kiekio. Bazinės PSO leidžiamos pajamos gali būti koreguojamos ir dėl kitų reikšmingų pajamų ir (ar) sąnaudų pokyčių, kuriuos sąlygojo teisės aktų pakeitimai ir (ar) kiti objektyvūs (nuo PSO nepriklausantys) veiksniai.</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sdtContent>
                </w:sdt>
                <w:sdt>
                  <w:sdtPr>
                    <w:alias w:val="44 p."/>
                    <w:tag w:val="part_cb4fa5fcf64c4cf388148cf45b96fbf8"/>
                    <w:lock w:val="sdtLocked"/>
                    <w:richText/>
                  </w:sdtPr>
                  <w:sdtContent>
                    <w:p>
                      <w:pPr>
                        <w:tabs>
                          <w:tab w:val="left" w:pos="1080"/>
                          <w:tab w:val="left" w:pos="1843"/>
                          <w:tab w:val="left" w:pos="2268"/>
                        </w:tabs>
                        <w:ind w:firstLine="720"/>
                        <w:jc w:val="both"/>
                        <w:rPr>
                          <w:szCs w:val="24"/>
                        </w:rPr>
                      </w:pPr>
                      <w:sdt>
                        <w:sdtPr>
                          <w:alias w:val="Numeris"/>
                          <w:tag w:val="nr_cb4fa5fcf64c4cf388148cf45b96fbf8"/>
                          <w:lock w:val="sdtLocked"/>
                          <w:richText/>
                        </w:sdtPr>
                        <w:sdtContent>
                          <w:r>
                            <w:rPr>
                              <w:szCs w:val="24"/>
                            </w:rPr>
                            <w:t>44</w:t>
                          </w:r>
                        </w:sdtContent>
                      </w:sdt>
                      <w:r>
                        <w:rPr>
                          <w:szCs w:val="24"/>
                        </w:rPr>
                        <w:t xml:space="preserve">. Koreguotos </w:t>
                      </w:r>
                      <w:r>
                        <w:rPr>
                          <w:i/>
                          <w:szCs w:val="24"/>
                        </w:rPr>
                        <w:t>t</w:t>
                      </w:r>
                      <w:r>
                        <w:rPr>
                          <w:szCs w:val="24"/>
                        </w:rPr>
                        <w:t xml:space="preserve"> metų PSO leidžiamos pajamos apskaičiuojamos pagal formulę:</w:t>
                      </w:r>
                    </w:p>
                    <w:p>
                      <w:pPr>
                        <w:tabs>
                          <w:tab w:val="left" w:pos="1080"/>
                          <w:tab w:val="left" w:pos="1843"/>
                          <w:tab w:val="left" w:pos="2268"/>
                        </w:tabs>
                        <w:ind w:firstLine="720"/>
                        <w:jc w:val="both"/>
                        <w:rPr>
                          <w:szCs w:val="24"/>
                        </w:rPr>
                      </w:pPr>
                    </w:p>
                    <w:p>
                      <w:pPr>
                        <w:tabs>
                          <w:tab w:val="left" w:pos="142"/>
                          <w:tab w:val="left" w:pos="8789"/>
                          <w:tab w:val="left" w:pos="8931"/>
                        </w:tabs>
                        <w:ind w:right="-143"/>
                        <w:jc w:val="both"/>
                        <w:rPr>
                          <w:sz w:val="22"/>
                          <w:szCs w:val="22"/>
                        </w:rPr>
                      </w:pPr>
                      <m:oMath>
                        <m:sSub>
                          <m:sSubPr>
                            <m:ctrlPr>
                              <w:rPr>
                                <w:rFonts w:ascii="Cambria Math" w:hAnsi="Cambria Math"/>
                                <w:i/>
                                <w:sz w:val="22"/>
                                <w:szCs w:val="22"/>
                              </w:rPr>
                            </m:ctrlPr>
                          </m:sSubPr>
                          <m:e>
                            <m:r>
                              <w:rPr>
                                <w:rFonts w:ascii="Cambria Math" w:hAnsi="Cambria Math"/>
                                <w:sz w:val="22"/>
                                <w:szCs w:val="22"/>
                              </w:rPr>
                              <m:t>P</m:t>
                            </m:r>
                            <m:r>
                              <w:rPr>
                                <w:rFonts w:ascii="Cambria Math" w:hAnsi="Cambria Math"/>
                                <w:sz w:val="22"/>
                                <w:szCs w:val="22"/>
                              </w:rPr>
                              <m:t>'</m:t>
                            </m:r>
                          </m:e>
                          <m:sub>
                            <m:r>
                              <w:rPr>
                                <w:rFonts w:ascii="Cambria Math" w:hAnsi="Cambria Math"/>
                                <w:sz w:val="22"/>
                                <w:szCs w:val="22"/>
                              </w:rPr>
                              <m:t>110,</m:t>
                            </m:r>
                            <m:r>
                              <w:rPr>
                                <w:rFonts w:ascii="Cambria Math" w:hAnsi="Cambria Math"/>
                                <w:sz w:val="22"/>
                                <w:szCs w:val="22"/>
                              </w:rPr>
                              <m:t>t</m:t>
                            </m:r>
                          </m:sub>
                        </m:sSub>
                        <m:r>
                          <w:rPr>
                            <w:rFonts w:ascii="Cambria Math" w:hAnsi="Cambria Math"/>
                            <w:sz w:val="22"/>
                            <w:szCs w:val="22"/>
                          </w:rPr>
                          <m:t>=</m:t>
                        </m:r>
                        <m:sSub>
                          <m:sSubPr>
                            <m:ctrlPr>
                              <w:rPr>
                                <w:rFonts w:ascii="Cambria Math" w:hAnsi="Cambria Math"/>
                                <w:i/>
                                <w:sz w:val="22"/>
                                <w:szCs w:val="22"/>
                              </w:rPr>
                            </m:ctrlPr>
                          </m:sSubPr>
                          <m:e>
                            <m:r>
                              <w:rPr>
                                <w:rFonts w:ascii="Cambria Math" w:hAnsi="Cambria Math"/>
                                <w:sz w:val="22"/>
                                <w:szCs w:val="22"/>
                              </w:rPr>
                              <m:t>OPEX</m:t>
                            </m:r>
                            <m:r>
                              <w:rPr>
                                <w:rFonts w:ascii="Cambria Math" w:hAnsi="Cambria Math"/>
                                <w:sz w:val="22"/>
                                <w:szCs w:val="22"/>
                              </w:rPr>
                              <m:t>'</m:t>
                            </m:r>
                          </m:e>
                          <m:sub>
                            <m:d>
                              <m:dPr>
                                <m:ctrlPr>
                                  <w:rPr>
                                    <w:rFonts w:ascii="Cambria Math" w:hAnsi="Cambria Math"/>
                                    <w:i/>
                                    <w:sz w:val="22"/>
                                    <w:szCs w:val="22"/>
                                  </w:rPr>
                                </m:ctrlPr>
                              </m:dPr>
                              <m:e>
                                <m:r>
                                  <w:rPr>
                                    <w:rFonts w:ascii="Cambria Math" w:hAnsi="Cambria Math"/>
                                    <w:sz w:val="22"/>
                                    <w:szCs w:val="22"/>
                                  </w:rPr>
                                  <m:t>be</m:t>
                                </m:r>
                                <m:r>
                                  <w:rPr>
                                    <w:rFonts w:ascii="Cambria Math" w:hAnsi="Cambria Math"/>
                                    <w:sz w:val="22"/>
                                    <w:szCs w:val="22"/>
                                  </w:rPr>
                                  <m:t xml:space="preserve"> </m:t>
                                </m:r>
                                <m:r>
                                  <w:rPr>
                                    <w:rFonts w:ascii="Cambria Math" w:hAnsi="Cambria Math"/>
                                    <w:sz w:val="22"/>
                                    <w:szCs w:val="22"/>
                                  </w:rPr>
                                  <m:t>DU</m:t>
                                </m:r>
                              </m:e>
                            </m:d>
                            <m:r>
                              <w:rPr>
                                <w:rFonts w:ascii="Cambria Math" w:hAnsi="Cambria Math"/>
                                <w:sz w:val="22"/>
                                <w:szCs w:val="22"/>
                              </w:rPr>
                              <m:t>110,</m:t>
                            </m:r>
                            <m:r>
                              <w:rPr>
                                <w:rFonts w:ascii="Cambria Math" w:hAnsi="Cambria Math"/>
                                <w:sz w:val="22"/>
                                <w:szCs w:val="22"/>
                              </w:rPr>
                              <m:t>t</m:t>
                            </m:r>
                          </m:sub>
                        </m:sSub>
                        <m:r>
                          <w:rPr>
                            <w:rFonts w:ascii="Cambria Math" w:hAnsi="Cambria Math"/>
                            <w:sz w:val="22"/>
                            <w:szCs w:val="22"/>
                          </w:rPr>
                          <m:t>+</m:t>
                        </m:r>
                        <m:sSub>
                          <m:sSubPr>
                            <m:ctrlPr>
                              <w:rPr>
                                <w:rFonts w:ascii="Cambria Math" w:hAnsi="Cambria Math"/>
                                <w:i/>
                                <w:sz w:val="22"/>
                                <w:szCs w:val="22"/>
                              </w:rPr>
                            </m:ctrlPr>
                          </m:sSubPr>
                          <m:e>
                            <m:r>
                              <w:rPr>
                                <w:rFonts w:ascii="Cambria Math" w:hAnsi="Cambria Math"/>
                                <w:sz w:val="22"/>
                                <w:szCs w:val="22"/>
                              </w:rPr>
                              <m:t>OPEX</m:t>
                            </m:r>
                            <m:r>
                              <w:rPr>
                                <w:rFonts w:ascii="Cambria Math" w:hAnsi="Cambria Math"/>
                                <w:sz w:val="22"/>
                                <w:szCs w:val="22"/>
                              </w:rPr>
                              <m:t>'</m:t>
                            </m:r>
                          </m:e>
                          <m:sub>
                            <m:d>
                              <m:dPr>
                                <m:ctrlPr>
                                  <w:rPr>
                                    <w:rFonts w:ascii="Cambria Math" w:hAnsi="Cambria Math"/>
                                    <w:i/>
                                    <w:sz w:val="22"/>
                                    <w:szCs w:val="22"/>
                                  </w:rPr>
                                </m:ctrlPr>
                              </m:dPr>
                              <m:e>
                                <m:r>
                                  <w:rPr>
                                    <w:rFonts w:ascii="Cambria Math" w:hAnsi="Cambria Math"/>
                                    <w:sz w:val="22"/>
                                    <w:szCs w:val="22"/>
                                  </w:rPr>
                                  <m:t>DU</m:t>
                                </m:r>
                              </m:e>
                            </m:d>
                            <m:r>
                              <w:rPr>
                                <w:rFonts w:ascii="Cambria Math" w:hAnsi="Cambria Math"/>
                                <w:sz w:val="22"/>
                                <w:szCs w:val="22"/>
                              </w:rPr>
                              <m:t>110,</m:t>
                            </m:r>
                            <m:r>
                              <w:rPr>
                                <w:rFonts w:ascii="Cambria Math" w:hAnsi="Cambria Math"/>
                                <w:sz w:val="22"/>
                                <w:szCs w:val="22"/>
                              </w:rPr>
                              <m:t>t</m:t>
                            </m:r>
                          </m:sub>
                        </m:sSub>
                        <m:r>
                          <w:rPr>
                            <w:rFonts w:ascii="Cambria Math" w:hAnsi="Cambria Math"/>
                            <w:sz w:val="22"/>
                            <w:szCs w:val="22"/>
                          </w:rPr>
                          <m:t>+</m:t>
                        </m:r>
                        <m:sSub>
                          <m:sSubPr>
                            <m:ctrlPr>
                              <w:rPr>
                                <w:rFonts w:ascii="Cambria Math" w:hAnsi="Cambria Math"/>
                                <w:i/>
                                <w:sz w:val="22"/>
                                <w:szCs w:val="22"/>
                              </w:rPr>
                            </m:ctrlPr>
                          </m:sSubPr>
                          <m:e>
                            <m:r>
                              <w:rPr>
                                <w:rFonts w:ascii="Cambria Math" w:hAnsi="Cambria Math"/>
                                <w:sz w:val="22"/>
                                <w:szCs w:val="22"/>
                              </w:rPr>
                              <m:t>M</m:t>
                            </m:r>
                          </m:e>
                          <m:sub>
                            <m:r>
                              <w:rPr>
                                <w:rFonts w:ascii="Cambria Math" w:hAnsi="Cambria Math"/>
                                <w:sz w:val="22"/>
                                <w:szCs w:val="22"/>
                              </w:rPr>
                              <m:t>110,</m:t>
                            </m:r>
                            <m:r>
                              <w:rPr>
                                <w:rFonts w:ascii="Cambria Math" w:hAnsi="Cambria Math"/>
                                <w:sz w:val="22"/>
                                <w:szCs w:val="22"/>
                              </w:rPr>
                              <m:t>t</m:t>
                            </m:r>
                          </m:sub>
                        </m:sSub>
                        <m:r>
                          <w:rPr>
                            <w:rFonts w:ascii="Cambria Math" w:hAnsi="Cambria Math"/>
                            <w:sz w:val="22"/>
                            <w:szCs w:val="22"/>
                          </w:rPr>
                          <m:t>+</m:t>
                        </m:r>
                        <m:sSub>
                          <m:sSubPr>
                            <m:ctrlPr>
                              <w:rPr>
                                <w:rFonts w:ascii="Cambria Math" w:hAnsi="Cambria Math"/>
                                <w:i/>
                                <w:sz w:val="22"/>
                                <w:szCs w:val="22"/>
                              </w:rPr>
                            </m:ctrlPr>
                          </m:sSubPr>
                          <m:e>
                            <m:r>
                              <w:rPr>
                                <w:rFonts w:ascii="Cambria Math" w:hAnsi="Cambria Math"/>
                                <w:sz w:val="22"/>
                                <w:szCs w:val="22"/>
                              </w:rPr>
                              <m:t>S</m:t>
                            </m:r>
                          </m:e>
                          <m:sub>
                            <m:r>
                              <w:rPr>
                                <w:rFonts w:ascii="Cambria Math" w:hAnsi="Cambria Math"/>
                                <w:sz w:val="22"/>
                                <w:szCs w:val="22"/>
                              </w:rPr>
                              <m:t>sr</m:t>
                            </m:r>
                            <m:r>
                              <w:rPr>
                                <w:rFonts w:ascii="Cambria Math" w:hAnsi="Cambria Math"/>
                                <w:sz w:val="22"/>
                                <w:szCs w:val="22"/>
                              </w:rPr>
                              <m:t>110,</m:t>
                            </m:r>
                            <m:r>
                              <w:rPr>
                                <w:rFonts w:ascii="Cambria Math" w:hAnsi="Cambria Math"/>
                                <w:sz w:val="22"/>
                                <w:szCs w:val="22"/>
                              </w:rPr>
                              <m:t>t</m:t>
                            </m:r>
                          </m:sub>
                        </m:sSub>
                        <m:r>
                          <w:rPr>
                            <w:rFonts w:ascii="Cambria Math" w:hAnsi="Cambria Math"/>
                            <w:sz w:val="22"/>
                            <w:szCs w:val="22"/>
                          </w:rPr>
                          <m:t>+</m:t>
                        </m:r>
                        <m:sSub>
                          <m:sSubPr>
                            <m:ctrlPr>
                              <w:rPr>
                                <w:rFonts w:ascii="Cambria Math" w:hAnsi="Cambria Math"/>
                                <w:i/>
                                <w:sz w:val="22"/>
                                <w:szCs w:val="22"/>
                              </w:rPr>
                            </m:ctrlPr>
                          </m:sSubPr>
                          <m:e>
                            <m:r>
                              <w:rPr>
                                <w:rFonts w:ascii="Cambria Math" w:hAnsi="Cambria Math"/>
                                <w:sz w:val="22"/>
                                <w:szCs w:val="22"/>
                              </w:rPr>
                              <m:t>S</m:t>
                            </m:r>
                          </m:e>
                          <m:sub>
                            <m:r>
                              <w:rPr>
                                <w:rFonts w:ascii="Cambria Math" w:hAnsi="Cambria Math"/>
                                <w:sz w:val="22"/>
                                <w:szCs w:val="22"/>
                              </w:rPr>
                              <m:t>n</m:t>
                            </m:r>
                            <m:r>
                              <w:rPr>
                                <w:rFonts w:ascii="Cambria Math" w:hAnsi="Cambria Math"/>
                                <w:sz w:val="22"/>
                                <w:szCs w:val="22"/>
                              </w:rPr>
                              <m:t>110,</m:t>
                            </m:r>
                            <m:r>
                              <w:rPr>
                                <w:rFonts w:ascii="Cambria Math" w:hAnsi="Cambria Math"/>
                                <w:sz w:val="22"/>
                                <w:szCs w:val="22"/>
                              </w:rPr>
                              <m:t>t</m:t>
                            </m:r>
                          </m:sub>
                        </m:sSub>
                        <m:r>
                          <w:rPr>
                            <w:rFonts w:ascii="Cambria Math" w:hAnsi="Cambria Math"/>
                            <w:sz w:val="22"/>
                            <w:szCs w:val="22"/>
                          </w:rPr>
                          <m:t>+</m:t>
                        </m:r>
                        <m:sSub>
                          <m:sSubPr>
                            <m:ctrlPr>
                              <w:rPr>
                                <w:rFonts w:ascii="Cambria Math" w:hAnsi="Cambria Math"/>
                                <w:i/>
                                <w:sz w:val="22"/>
                                <w:szCs w:val="22"/>
                              </w:rPr>
                            </m:ctrlPr>
                          </m:sSubPr>
                          <m:e>
                            <m:sSub>
                              <m:sSubPr>
                                <m:ctrlPr>
                                  <w:rPr>
                                    <w:rFonts w:ascii="Cambria Math" w:hAnsi="Cambria Math"/>
                                    <w:i/>
                                    <w:sz w:val="22"/>
                                    <w:szCs w:val="22"/>
                                  </w:rPr>
                                </m:ctrlPr>
                              </m:sSubPr>
                              <m:e>
                                <m:r>
                                  <w:rPr>
                                    <w:rFonts w:ascii="Cambria Math" w:hAnsi="Cambria Math"/>
                                    <w:sz w:val="22"/>
                                    <w:szCs w:val="22"/>
                                  </w:rPr>
                                  <m:t>N</m:t>
                                </m:r>
                              </m:e>
                              <m:sub>
                                <m:r>
                                  <w:rPr>
                                    <w:rFonts w:ascii="Cambria Math" w:hAnsi="Cambria Math"/>
                                    <w:sz w:val="22"/>
                                    <w:szCs w:val="22"/>
                                  </w:rPr>
                                  <m:t>110,</m:t>
                                </m:r>
                                <m:r>
                                  <w:rPr>
                                    <w:rFonts w:ascii="Cambria Math" w:hAnsi="Cambria Math"/>
                                    <w:sz w:val="22"/>
                                    <w:szCs w:val="22"/>
                                  </w:rPr>
                                  <m:t>t</m:t>
                                </m:r>
                              </m:sub>
                            </m:sSub>
                            <m:r>
                              <w:rPr>
                                <w:rFonts w:ascii="Cambria Math" w:hAnsi="Cambria Math"/>
                                <w:sz w:val="22"/>
                                <w:szCs w:val="22"/>
                              </w:rPr>
                              <m:t>+</m:t>
                            </m:r>
                            <m:sSub>
                              <m:sSubPr>
                                <m:ctrlPr>
                                  <w:rPr>
                                    <w:rFonts w:ascii="Cambria Math" w:hAnsi="Cambria Math"/>
                                    <w:i/>
                                    <w:sz w:val="22"/>
                                    <w:szCs w:val="22"/>
                                  </w:rPr>
                                </m:ctrlPr>
                              </m:sSubPr>
                              <m:e>
                                <m:r>
                                  <w:rPr>
                                    <w:rFonts w:ascii="Cambria Math" w:hAnsi="Cambria Math"/>
                                    <w:sz w:val="22"/>
                                    <w:szCs w:val="22"/>
                                  </w:rPr>
                                  <m:t>NT</m:t>
                                </m:r>
                              </m:e>
                              <m:sub>
                                <m:r>
                                  <w:rPr>
                                    <w:rFonts w:ascii="Cambria Math" w:hAnsi="Cambria Math"/>
                                    <w:sz w:val="22"/>
                                    <w:szCs w:val="22"/>
                                  </w:rPr>
                                  <m:t>110,</m:t>
                                </m:r>
                                <m:r>
                                  <w:rPr>
                                    <w:rFonts w:ascii="Cambria Math" w:hAnsi="Cambria Math"/>
                                    <w:sz w:val="22"/>
                                    <w:szCs w:val="22"/>
                                  </w:rPr>
                                  <m:t>t</m:t>
                                </m:r>
                              </m:sub>
                            </m:sSub>
                            <m:r>
                              <w:rPr>
                                <w:rFonts w:ascii="Cambria Math" w:hAnsi="Cambria Math"/>
                                <w:sz w:val="22"/>
                                <w:szCs w:val="22"/>
                              </w:rPr>
                              <m:t xml:space="preserve">+ </m:t>
                            </m:r>
                            <m:r>
                              <w:rPr>
                                <w:rFonts w:ascii="Cambria Math" w:hAnsi="Cambria Math"/>
                                <w:sz w:val="22"/>
                                <w:szCs w:val="22"/>
                              </w:rPr>
                              <m:t>ROI</m:t>
                            </m:r>
                          </m:e>
                          <m:sub>
                            <m:r>
                              <w:rPr>
                                <w:rFonts w:ascii="Cambria Math" w:hAnsi="Cambria Math"/>
                                <w:sz w:val="22"/>
                                <w:szCs w:val="22"/>
                              </w:rPr>
                              <m:t>110,</m:t>
                            </m:r>
                            <m:r>
                              <w:rPr>
                                <w:rFonts w:ascii="Cambria Math" w:hAnsi="Cambria Math"/>
                                <w:sz w:val="22"/>
                                <w:szCs w:val="22"/>
                              </w:rPr>
                              <m:t>t</m:t>
                            </m:r>
                          </m:sub>
                        </m:sSub>
                        <m:r>
                          <w:rPr>
                            <w:rFonts w:ascii="Cambria Math" w:hAnsi="Cambria Math"/>
                            <w:sz w:val="22"/>
                            <w:szCs w:val="22"/>
                          </w:rPr>
                          <m:t>+</m:t>
                        </m:r>
                        <m:sSub>
                          <m:sSubPr>
                            <m:ctrlPr>
                              <w:rPr>
                                <w:rFonts w:ascii="Cambria Math" w:hAnsi="Cambria Math"/>
                                <w:i/>
                                <w:sz w:val="22"/>
                                <w:szCs w:val="22"/>
                              </w:rPr>
                            </m:ctrlPr>
                          </m:sSubPr>
                          <m:e>
                            <m:r>
                              <w:rPr>
                                <w:rFonts w:ascii="Cambria Math" w:hAnsi="Cambria Math"/>
                                <w:sz w:val="22"/>
                                <w:szCs w:val="22"/>
                              </w:rPr>
                              <m:t>S</m:t>
                            </m:r>
                          </m:e>
                          <m:sub>
                            <m:r>
                              <w:rPr>
                                <w:rFonts w:ascii="Cambria Math" w:hAnsi="Cambria Math"/>
                                <w:sz w:val="22"/>
                                <w:szCs w:val="22"/>
                              </w:rPr>
                              <m:t>110,</m:t>
                            </m:r>
                            <m:r>
                              <w:rPr>
                                <w:rFonts w:ascii="Cambria Math" w:hAnsi="Cambria Math"/>
                                <w:sz w:val="22"/>
                                <w:szCs w:val="22"/>
                              </w:rPr>
                              <m:t>t</m:t>
                            </m:r>
                          </m:sub>
                        </m:sSub>
                        <m:r>
                          <w:rPr>
                            <w:rFonts w:ascii="Cambria Math" w:hAnsi="Cambria Math"/>
                            <w:sz w:val="22"/>
                            <w:szCs w:val="22"/>
                          </w:rPr>
                          <m:t>-</m:t>
                        </m:r>
                        <m:sSub>
                          <m:sSubPr>
                            <m:ctrlPr>
                              <w:rPr>
                                <w:rFonts w:ascii="Cambria Math" w:hAnsi="Cambria Math"/>
                                <w:i/>
                                <w:sz w:val="22"/>
                                <w:szCs w:val="22"/>
                              </w:rPr>
                            </m:ctrlPr>
                          </m:sSubPr>
                          <m:e>
                            <m:r>
                              <w:rPr>
                                <w:rFonts w:ascii="Cambria Math" w:hAnsi="Cambria Math"/>
                                <w:sz w:val="22"/>
                                <w:szCs w:val="22"/>
                              </w:rPr>
                              <m:t>OI</m:t>
                            </m:r>
                          </m:e>
                          <m:sub>
                            <m:r>
                              <w:rPr>
                                <w:rFonts w:ascii="Cambria Math" w:hAnsi="Cambria Math"/>
                                <w:sz w:val="22"/>
                                <w:szCs w:val="22"/>
                              </w:rPr>
                              <m:t>110,</m:t>
                            </m:r>
                            <m:r>
                              <w:rPr>
                                <w:rFonts w:ascii="Cambria Math" w:hAnsi="Cambria Math"/>
                                <w:sz w:val="22"/>
                                <w:szCs w:val="22"/>
                              </w:rPr>
                              <m:t>t</m:t>
                            </m:r>
                          </m:sub>
                        </m:sSub>
                        <m:r>
                          <w:rPr>
                            <w:rFonts w:ascii="Cambria Math" w:hAnsi="Cambria Math"/>
                            <w:sz w:val="22"/>
                            <w:szCs w:val="22"/>
                          </w:rPr>
                          <m:t xml:space="preserve">- </m:t>
                        </m:r>
                        <m:sSub>
                          <m:sSubPr>
                            <m:ctrlPr>
                              <w:rPr>
                                <w:rFonts w:ascii="Cambria Math" w:hAnsi="Cambria Math"/>
                                <w:i/>
                                <w:sz w:val="22"/>
                                <w:szCs w:val="22"/>
                              </w:rPr>
                            </m:ctrlPr>
                          </m:sSubPr>
                          <m:e>
                            <m:r>
                              <w:rPr>
                                <w:rFonts w:ascii="Cambria Math" w:hAnsi="Cambria Math"/>
                                <w:sz w:val="22"/>
                                <w:szCs w:val="22"/>
                              </w:rPr>
                              <m:t>K</m:t>
                            </m:r>
                          </m:e>
                          <m:sub>
                            <m:r>
                              <w:rPr>
                                <w:rFonts w:ascii="Cambria Math" w:hAnsi="Cambria Math"/>
                                <w:sz w:val="22"/>
                                <w:szCs w:val="22"/>
                              </w:rPr>
                              <m:t>110,</m:t>
                            </m:r>
                            <m:r>
                              <w:rPr>
                                <w:rFonts w:ascii="Cambria Math" w:hAnsi="Cambria Math"/>
                                <w:sz w:val="22"/>
                                <w:szCs w:val="22"/>
                              </w:rPr>
                              <m:t>t</m:t>
                            </m:r>
                          </m:sub>
                        </m:sSub>
                        <m:r>
                          <w:rPr>
                            <w:rFonts w:ascii="Cambria Math" w:hAnsi="Cambria Math"/>
                            <w:sz w:val="22"/>
                            <w:szCs w:val="22"/>
                          </w:rPr>
                          <m:t xml:space="preserve"> </m:t>
                        </m:r>
                      </m:oMath>
                      <w:r>
                        <w:rPr>
                          <w:sz w:val="22"/>
                          <w:szCs w:val="22"/>
                        </w:rPr>
                        <w:tab/>
                        <w:t>(18)</w:t>
                      </w:r>
                    </w:p>
                    <w:p>
                      <w:pPr>
                        <w:tabs>
                          <w:tab w:val="left" w:pos="1080"/>
                          <w:tab w:val="left" w:pos="1843"/>
                          <w:tab w:val="left" w:pos="2268"/>
                        </w:tabs>
                        <w:ind w:firstLine="720"/>
                        <w:jc w:val="both"/>
                        <w:rPr>
                          <w:szCs w:val="24"/>
                        </w:rPr>
                      </w:pPr>
                    </w:p>
                    <w:p>
                      <w:pPr>
                        <w:tabs>
                          <w:tab w:val="left" w:pos="1080"/>
                          <w:tab w:val="left" w:pos="1843"/>
                          <w:tab w:val="left" w:pos="2268"/>
                        </w:tabs>
                        <w:ind w:firstLine="720"/>
                        <w:jc w:val="both"/>
                        <w:rPr>
                          <w:i/>
                          <w:szCs w:val="24"/>
                          <w:lang w:eastAsia="lt-LT"/>
                        </w:rPr>
                      </w:pPr>
                      <w:r>
                        <w:rPr>
                          <w:i/>
                          <w:szCs w:val="24"/>
                          <w:lang w:eastAsia="lt-LT"/>
                        </w:rPr>
                        <w:t>čia:</w:t>
                      </w:r>
                    </w:p>
                    <w:p>
                      <w:pPr>
                        <w:tabs>
                          <w:tab w:val="left" w:pos="1080"/>
                          <w:tab w:val="left" w:pos="1843"/>
                          <w:tab w:val="left" w:pos="2268"/>
                        </w:tabs>
                        <w:ind w:firstLine="720"/>
                        <w:jc w:val="both"/>
                        <w:rPr>
                          <w:szCs w:val="24"/>
                          <w:lang w:eastAsia="lt-LT"/>
                        </w:rPr>
                      </w:pPr>
                      <w:r>
                        <w:rPr>
                          <w:szCs w:val="24"/>
                          <w:lang w:eastAsia="lt-LT"/>
                        </w:rPr>
                        <w:t>P‘</w:t>
                      </w:r>
                      <w:r>
                        <w:rPr>
                          <w:szCs w:val="24"/>
                          <w:vertAlign w:val="subscript"/>
                          <w:lang w:eastAsia="lt-LT"/>
                        </w:rPr>
                        <w:t>110,t</w:t>
                      </w:r>
                      <w:r>
                        <w:rPr>
                          <w:szCs w:val="24"/>
                          <w:lang w:eastAsia="lt-LT"/>
                        </w:rPr>
                        <w:t xml:space="preserve"> – koreguotos </w:t>
                      </w:r>
                      <w:r>
                        <w:rPr>
                          <w:i/>
                          <w:szCs w:val="24"/>
                          <w:lang w:eastAsia="lt-LT"/>
                        </w:rPr>
                        <w:t>t</w:t>
                      </w:r>
                      <w:r>
                        <w:rPr>
                          <w:szCs w:val="24"/>
                          <w:lang w:eastAsia="lt-LT"/>
                        </w:rPr>
                        <w:t xml:space="preserve"> metų PSO leidžiamos pajamos, EUR;</w:t>
                      </w:r>
                    </w:p>
                    <w:p>
                      <w:pPr>
                        <w:tabs>
                          <w:tab w:val="left" w:pos="1080"/>
                          <w:tab w:val="left" w:pos="1843"/>
                          <w:tab w:val="left" w:pos="2268"/>
                        </w:tabs>
                        <w:ind w:firstLine="720"/>
                        <w:jc w:val="both"/>
                        <w:rPr>
                          <w:szCs w:val="24"/>
                          <w:lang w:eastAsia="lt-LT"/>
                        </w:rPr>
                      </w:pPr>
                      <w:r>
                        <w:rPr>
                          <w:szCs w:val="24"/>
                          <w:lang w:eastAsia="lt-LT"/>
                        </w:rPr>
                        <w:t>OPEX‘</w:t>
                      </w:r>
                      <w:r>
                        <w:rPr>
                          <w:szCs w:val="24"/>
                          <w:vertAlign w:val="subscript"/>
                          <w:lang w:eastAsia="lt-LT"/>
                        </w:rPr>
                        <w:t>(be DU)110,t</w:t>
                      </w:r>
                      <w:r>
                        <w:rPr>
                          <w:szCs w:val="24"/>
                          <w:lang w:eastAsia="lt-LT"/>
                        </w:rPr>
                        <w:t xml:space="preserve"> – koreguoti </w:t>
                      </w:r>
                      <w:r>
                        <w:rPr>
                          <w:i/>
                          <w:szCs w:val="24"/>
                          <w:lang w:eastAsia="lt-LT"/>
                        </w:rPr>
                        <w:t>t</w:t>
                      </w:r>
                      <w:r>
                        <w:rPr>
                          <w:szCs w:val="24"/>
                          <w:lang w:eastAsia="lt-LT"/>
                        </w:rPr>
                        <w:t xml:space="preserve"> metų OPEX (be DU) kaštai;</w:t>
                      </w:r>
                    </w:p>
                    <w:p>
                      <w:pPr>
                        <w:tabs>
                          <w:tab w:val="left" w:pos="1080"/>
                          <w:tab w:val="left" w:pos="1843"/>
                          <w:tab w:val="left" w:pos="2268"/>
                        </w:tabs>
                        <w:ind w:firstLine="720"/>
                        <w:jc w:val="both"/>
                        <w:rPr>
                          <w:szCs w:val="24"/>
                          <w:lang w:eastAsia="lt-LT"/>
                        </w:rPr>
                      </w:pPr>
                      <w:r>
                        <w:rPr>
                          <w:szCs w:val="24"/>
                          <w:lang w:eastAsia="lt-LT"/>
                        </w:rPr>
                        <w:t>OPEX‘</w:t>
                      </w:r>
                      <w:r>
                        <w:rPr>
                          <w:szCs w:val="24"/>
                          <w:vertAlign w:val="subscript"/>
                          <w:lang w:eastAsia="lt-LT"/>
                        </w:rPr>
                        <w:t>(DU)110,t</w:t>
                      </w:r>
                      <w:r>
                        <w:rPr>
                          <w:szCs w:val="24"/>
                          <w:lang w:eastAsia="lt-LT"/>
                        </w:rPr>
                        <w:t xml:space="preserve"> – koreguoti </w:t>
                      </w:r>
                      <w:r>
                        <w:rPr>
                          <w:i/>
                          <w:szCs w:val="24"/>
                          <w:lang w:eastAsia="lt-LT"/>
                        </w:rPr>
                        <w:t>t</w:t>
                      </w:r>
                      <w:r>
                        <w:rPr>
                          <w:szCs w:val="24"/>
                          <w:lang w:eastAsia="lt-LT"/>
                        </w:rPr>
                        <w:t xml:space="preserve"> metų darbo užmokesčio kaštai;</w:t>
                      </w:r>
                    </w:p>
                    <w:p>
                      <w:pPr>
                        <w:tabs>
                          <w:tab w:val="left" w:pos="1080"/>
                          <w:tab w:val="left" w:pos="1843"/>
                          <w:tab w:val="left" w:pos="2268"/>
                        </w:tabs>
                        <w:ind w:firstLine="720"/>
                        <w:jc w:val="both"/>
                        <w:rPr>
                          <w:szCs w:val="24"/>
                          <w:lang w:eastAsia="lt-LT"/>
                        </w:rPr>
                      </w:pPr>
                      <w:r>
                        <w:rPr>
                          <w:szCs w:val="24"/>
                          <w:lang w:eastAsia="lt-LT"/>
                        </w:rPr>
                        <w:t>M</w:t>
                      </w:r>
                      <w:r>
                        <w:rPr>
                          <w:szCs w:val="24"/>
                          <w:vertAlign w:val="subscript"/>
                          <w:lang w:eastAsia="lt-LT"/>
                        </w:rPr>
                        <w:t>110,t</w:t>
                      </w:r>
                      <w:r>
                        <w:rPr>
                          <w:szCs w:val="24"/>
                          <w:lang w:eastAsia="lt-LT"/>
                        </w:rPr>
                        <w:t xml:space="preserve"> – planuojami </w:t>
                      </w:r>
                      <w:r>
                        <w:rPr>
                          <w:i/>
                          <w:szCs w:val="24"/>
                          <w:lang w:eastAsia="lt-LT"/>
                        </w:rPr>
                        <w:t>t</w:t>
                      </w:r>
                      <w:r>
                        <w:rPr>
                          <w:szCs w:val="24"/>
                          <w:lang w:eastAsia="lt-LT"/>
                        </w:rPr>
                        <w:t xml:space="preserve"> metų mokesčiai;</w:t>
                      </w:r>
                    </w:p>
                    <w:p>
                      <w:pPr>
                        <w:tabs>
                          <w:tab w:val="left" w:pos="1080"/>
                          <w:tab w:val="left" w:pos="1843"/>
                          <w:tab w:val="left" w:pos="2268"/>
                        </w:tabs>
                        <w:ind w:firstLine="720"/>
                        <w:jc w:val="both"/>
                        <w:rPr>
                          <w:szCs w:val="24"/>
                          <w:lang w:eastAsia="lt-LT"/>
                        </w:rPr>
                      </w:pPr>
                      <w:r>
                        <w:rPr>
                          <w:szCs w:val="24"/>
                          <w:lang w:eastAsia="lt-LT"/>
                        </w:rPr>
                        <w:t>S</w:t>
                      </w:r>
                      <w:r>
                        <w:rPr>
                          <w:szCs w:val="24"/>
                          <w:vertAlign w:val="subscript"/>
                          <w:lang w:eastAsia="lt-LT"/>
                        </w:rPr>
                        <w:t>sr110,t</w:t>
                      </w:r>
                      <w:r>
                        <w:rPr>
                          <w:szCs w:val="24"/>
                          <w:lang w:eastAsia="lt-LT"/>
                        </w:rPr>
                        <w:t xml:space="preserve"> – planuojami </w:t>
                      </w:r>
                      <w:r>
                        <w:rPr>
                          <w:i/>
                          <w:szCs w:val="24"/>
                          <w:lang w:eastAsia="lt-LT"/>
                        </w:rPr>
                        <w:t>t</w:t>
                      </w:r>
                      <w:r>
                        <w:rPr>
                          <w:szCs w:val="24"/>
                          <w:lang w:eastAsia="lt-LT"/>
                        </w:rPr>
                        <w:t xml:space="preserve"> metų elektros energijos pirkimo kaštai savoms reikmėms padengti;</w:t>
                      </w:r>
                    </w:p>
                    <w:p>
                      <w:pPr>
                        <w:tabs>
                          <w:tab w:val="left" w:pos="1080"/>
                          <w:tab w:val="left" w:pos="1843"/>
                          <w:tab w:val="left" w:pos="2268"/>
                        </w:tabs>
                        <w:ind w:firstLine="720"/>
                        <w:jc w:val="both"/>
                        <w:rPr>
                          <w:szCs w:val="24"/>
                          <w:lang w:eastAsia="lt-LT"/>
                        </w:rPr>
                      </w:pPr>
                      <w:r>
                        <w:rPr>
                          <w:szCs w:val="24"/>
                          <w:lang w:eastAsia="lt-LT"/>
                        </w:rPr>
                        <w:t>S</w:t>
                      </w:r>
                      <w:r>
                        <w:rPr>
                          <w:szCs w:val="24"/>
                          <w:vertAlign w:val="subscript"/>
                          <w:lang w:eastAsia="lt-LT"/>
                        </w:rPr>
                        <w:t>n110,t</w:t>
                      </w:r>
                      <w:r>
                        <w:rPr>
                          <w:szCs w:val="24"/>
                          <w:lang w:eastAsia="lt-LT"/>
                        </w:rPr>
                        <w:t xml:space="preserve"> – planuojami </w:t>
                      </w:r>
                      <w:r>
                        <w:rPr>
                          <w:i/>
                          <w:szCs w:val="24"/>
                          <w:lang w:eastAsia="lt-LT"/>
                        </w:rPr>
                        <w:t>t</w:t>
                      </w:r>
                      <w:r>
                        <w:rPr>
                          <w:szCs w:val="24"/>
                          <w:lang w:eastAsia="lt-LT"/>
                        </w:rPr>
                        <w:t xml:space="preserve"> metų elektros energijos pirkimo kaštai elektros energijos sąnaudoms technologiniuose įrenginiuose padengti;</w:t>
                      </w:r>
                    </w:p>
                    <w:p>
                      <w:pPr>
                        <w:tabs>
                          <w:tab w:val="left" w:pos="1080"/>
                          <w:tab w:val="left" w:pos="1843"/>
                          <w:tab w:val="left" w:pos="2268"/>
                        </w:tabs>
                        <w:ind w:firstLine="720"/>
                        <w:jc w:val="both"/>
                        <w:rPr>
                          <w:szCs w:val="24"/>
                          <w:lang w:eastAsia="lt-LT"/>
                        </w:rPr>
                      </w:pPr>
                      <w:r>
                        <w:rPr>
                          <w:szCs w:val="24"/>
                          <w:lang w:eastAsia="lt-LT"/>
                        </w:rPr>
                        <w:t>N</w:t>
                      </w:r>
                      <w:r>
                        <w:rPr>
                          <w:szCs w:val="24"/>
                          <w:vertAlign w:val="subscript"/>
                          <w:lang w:eastAsia="lt-LT"/>
                        </w:rPr>
                        <w:t>110,t</w:t>
                      </w:r>
                      <w:r>
                        <w:rPr>
                          <w:szCs w:val="24"/>
                          <w:lang w:eastAsia="lt-LT"/>
                        </w:rPr>
                        <w:t xml:space="preserve"> – planuojamos </w:t>
                      </w:r>
                      <w:r>
                        <w:rPr>
                          <w:i/>
                          <w:szCs w:val="24"/>
                          <w:lang w:eastAsia="lt-LT"/>
                        </w:rPr>
                        <w:t>t</w:t>
                      </w:r>
                      <w:r>
                        <w:rPr>
                          <w:szCs w:val="24"/>
                          <w:lang w:eastAsia="lt-LT"/>
                        </w:rPr>
                        <w:t xml:space="preserve"> metų nusidėvėjimo sąnaudos;</w:t>
                      </w:r>
                    </w:p>
                    <w:p>
                      <w:pPr>
                        <w:tabs>
                          <w:tab w:val="left" w:pos="1080"/>
                          <w:tab w:val="left" w:pos="1843"/>
                          <w:tab w:val="left" w:pos="2268"/>
                        </w:tabs>
                        <w:ind w:firstLine="720"/>
                        <w:jc w:val="both"/>
                        <w:rPr>
                          <w:szCs w:val="24"/>
                          <w:lang w:eastAsia="lt-LT"/>
                        </w:rPr>
                      </w:pPr>
                      <w:r>
                        <w:rPr>
                          <w:szCs w:val="24"/>
                          <w:lang w:eastAsia="lt-LT"/>
                        </w:rPr>
                        <w:t>NT</w:t>
                      </w:r>
                      <w:r>
                        <w:rPr>
                          <w:szCs w:val="24"/>
                          <w:vertAlign w:val="subscript"/>
                          <w:lang w:eastAsia="lt-LT"/>
                        </w:rPr>
                        <w:t>110,t</w:t>
                      </w:r>
                      <w:r>
                        <w:rPr>
                          <w:szCs w:val="24"/>
                          <w:lang w:eastAsia="lt-LT"/>
                        </w:rPr>
                        <w:t xml:space="preserve"> – planuojamos </w:t>
                      </w:r>
                      <w:r>
                        <w:rPr>
                          <w:i/>
                          <w:szCs w:val="24"/>
                          <w:lang w:eastAsia="lt-LT"/>
                        </w:rPr>
                        <w:t>t</w:t>
                      </w:r>
                      <w:r>
                        <w:rPr>
                          <w:szCs w:val="24"/>
                          <w:lang w:eastAsia="lt-LT"/>
                        </w:rPr>
                        <w:t xml:space="preserve"> metų nurašomo turto sąnaudos; </w:t>
                      </w:r>
                    </w:p>
                    <w:p>
                      <w:pPr>
                        <w:tabs>
                          <w:tab w:val="left" w:pos="1080"/>
                          <w:tab w:val="left" w:pos="1843"/>
                          <w:tab w:val="left" w:pos="2268"/>
                        </w:tabs>
                        <w:ind w:firstLine="720"/>
                        <w:jc w:val="both"/>
                        <w:rPr>
                          <w:szCs w:val="24"/>
                          <w:lang w:eastAsia="lt-LT"/>
                        </w:rPr>
                      </w:pPr>
                      <w:r>
                        <w:rPr>
                          <w:szCs w:val="24"/>
                          <w:lang w:eastAsia="lt-LT"/>
                        </w:rPr>
                        <w:t>ROI</w:t>
                      </w:r>
                      <w:r>
                        <w:rPr>
                          <w:szCs w:val="24"/>
                          <w:vertAlign w:val="subscript"/>
                          <w:lang w:eastAsia="lt-LT"/>
                        </w:rPr>
                        <w:t>110,t</w:t>
                      </w:r>
                      <w:r>
                        <w:rPr>
                          <w:szCs w:val="24"/>
                          <w:lang w:eastAsia="lt-LT"/>
                        </w:rPr>
                        <w:t xml:space="preserve"> –investicijų grąža, apskaičiuota taikant Komisijos </w:t>
                      </w:r>
                      <w:r>
                        <w:rPr>
                          <w:i/>
                          <w:szCs w:val="24"/>
                          <w:lang w:eastAsia="lt-LT"/>
                        </w:rPr>
                        <w:t>t</w:t>
                      </w:r>
                      <w:r>
                        <w:rPr>
                          <w:szCs w:val="24"/>
                          <w:lang w:eastAsia="lt-LT"/>
                        </w:rPr>
                        <w:t xml:space="preserve"> metų nustatytą investicijų grąžos normą nuo reguliuojamos turto bazės metų pradžiai;</w:t>
                      </w:r>
                    </w:p>
                    <w:p>
                      <w:pPr>
                        <w:tabs>
                          <w:tab w:val="left" w:pos="1080"/>
                          <w:tab w:val="left" w:pos="1843"/>
                          <w:tab w:val="left" w:pos="2268"/>
                        </w:tabs>
                        <w:ind w:firstLine="720"/>
                        <w:jc w:val="both"/>
                        <w:rPr>
                          <w:szCs w:val="24"/>
                          <w:lang w:eastAsia="lt-LT"/>
                        </w:rPr>
                      </w:pPr>
                      <w:r>
                        <w:rPr>
                          <w:szCs w:val="24"/>
                          <w:lang w:eastAsia="lt-LT"/>
                        </w:rPr>
                        <w:t>S</w:t>
                      </w:r>
                      <w:r>
                        <w:rPr>
                          <w:szCs w:val="24"/>
                          <w:vertAlign w:val="subscript"/>
                          <w:lang w:eastAsia="lt-LT"/>
                        </w:rPr>
                        <w:t>110,t</w:t>
                      </w:r>
                      <w:r>
                        <w:rPr>
                          <w:szCs w:val="24"/>
                          <w:lang w:eastAsia="lt-LT"/>
                        </w:rPr>
                        <w:t xml:space="preserve"> – planuojamas </w:t>
                      </w:r>
                      <w:r>
                        <w:rPr>
                          <w:i/>
                          <w:szCs w:val="24"/>
                          <w:lang w:eastAsia="lt-LT"/>
                        </w:rPr>
                        <w:t>t</w:t>
                      </w:r>
                      <w:r>
                        <w:rPr>
                          <w:szCs w:val="24"/>
                          <w:lang w:eastAsia="lt-LT"/>
                        </w:rPr>
                        <w:t xml:space="preserve"> metų OPEX padidėjimas/sumažėjimas, sąlygotas teisės aktų pasikeitimų ir/ar kitų objektyvių (nuo PSO nepriklausančių) veiksnių;</w:t>
                      </w:r>
                    </w:p>
                    <w:p>
                      <w:pPr>
                        <w:tabs>
                          <w:tab w:val="left" w:pos="1080"/>
                          <w:tab w:val="left" w:pos="1843"/>
                          <w:tab w:val="left" w:pos="2268"/>
                        </w:tabs>
                        <w:ind w:firstLine="720"/>
                        <w:jc w:val="both"/>
                        <w:rPr>
                          <w:szCs w:val="24"/>
                          <w:lang w:eastAsia="lt-LT"/>
                        </w:rPr>
                      </w:pPr>
                      <w:r>
                        <w:rPr>
                          <w:szCs w:val="24"/>
                          <w:lang w:eastAsia="lt-LT"/>
                        </w:rPr>
                        <w:t>OI</w:t>
                      </w:r>
                      <w:r>
                        <w:rPr>
                          <w:szCs w:val="24"/>
                          <w:vertAlign w:val="subscript"/>
                          <w:lang w:eastAsia="lt-LT"/>
                        </w:rPr>
                        <w:t>110,t</w:t>
                      </w:r>
                      <w:r>
                        <w:rPr>
                          <w:szCs w:val="24"/>
                          <w:lang w:eastAsia="lt-LT"/>
                        </w:rPr>
                        <w:t xml:space="preserve"> – planuojamos </w:t>
                      </w:r>
                      <w:r>
                        <w:rPr>
                          <w:i/>
                          <w:szCs w:val="24"/>
                          <w:lang w:eastAsia="lt-LT"/>
                        </w:rPr>
                        <w:t>t</w:t>
                      </w:r>
                      <w:r>
                        <w:rPr>
                          <w:szCs w:val="24"/>
                          <w:lang w:eastAsia="lt-LT"/>
                        </w:rPr>
                        <w:t xml:space="preserve"> metų kitos pajamos;</w:t>
                      </w:r>
                    </w:p>
                    <w:p>
                      <w:pPr>
                        <w:ind w:left="720"/>
                        <w:rPr>
                          <w:szCs w:val="24"/>
                        </w:rPr>
                      </w:pPr>
                      <w:r>
                        <w:rPr>
                          <w:szCs w:val="24"/>
                          <w:lang w:eastAsia="lt-LT"/>
                        </w:rPr>
                        <w:t>K</w:t>
                      </w:r>
                      <w:r>
                        <w:rPr>
                          <w:szCs w:val="24"/>
                          <w:vertAlign w:val="subscript"/>
                          <w:lang w:eastAsia="lt-LT"/>
                        </w:rPr>
                        <w:t xml:space="preserve">110,t </w:t>
                      </w:r>
                      <w:r>
                        <w:rPr>
                          <w:szCs w:val="24"/>
                          <w:lang w:eastAsia="lt-LT"/>
                        </w:rPr>
                        <w:t>– Komisijos nustatyta praėjusių laikotarpių investicijų grąžos korekcija.</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sdtContent>
                </w:sdt>
                <w:sdt>
                  <w:sdtPr>
                    <w:alias w:val="45 p."/>
                    <w:tag w:val="part_f1bcca591126468d84018623972c9729"/>
                    <w:lock w:val="sdtLocked"/>
                    <w:richText/>
                  </w:sdtPr>
                  <w:sdtContent>
                    <w:p>
                      <w:pPr>
                        <w:tabs>
                          <w:tab w:val="left" w:pos="1134"/>
                        </w:tabs>
                        <w:ind w:firstLine="709"/>
                        <w:jc w:val="both"/>
                        <w:rPr>
                          <w:szCs w:val="24"/>
                        </w:rPr>
                      </w:pPr>
                      <w:sdt>
                        <w:sdtPr>
                          <w:alias w:val="Numeris"/>
                          <w:tag w:val="nr_f1bcca591126468d84018623972c9729"/>
                          <w:lock w:val="sdtLocked"/>
                          <w:richText/>
                        </w:sdtPr>
                        <w:sdtContent>
                          <w:r>
                            <w:rPr>
                              <w:szCs w:val="24"/>
                            </w:rPr>
                            <w:t>45</w:t>
                          </w:r>
                        </w:sdtContent>
                      </w:sdt>
                      <w:r>
                        <w:rPr>
                          <w:szCs w:val="24"/>
                        </w:rPr>
                        <w:t xml:space="preserve">. </w:t>
                      </w:r>
                      <w:r>
                        <w:rPr>
                          <w:szCs w:val="24"/>
                          <w:lang w:eastAsia="lt-LT"/>
                        </w:rPr>
                        <w:t xml:space="preserve">Koreguoti </w:t>
                      </w:r>
                      <w:r>
                        <w:rPr>
                          <w:i/>
                          <w:szCs w:val="24"/>
                          <w:lang w:eastAsia="lt-LT"/>
                        </w:rPr>
                        <w:t xml:space="preserve">t </w:t>
                      </w:r>
                      <w:r>
                        <w:rPr>
                          <w:szCs w:val="24"/>
                          <w:lang w:eastAsia="lt-LT"/>
                        </w:rPr>
                        <w:t>metų OPEX (be DU) kaštai</w:t>
                      </w:r>
                      <w:r>
                        <w:rPr>
                          <w:szCs w:val="24"/>
                        </w:rPr>
                        <w:t xml:space="preserve"> apskaičiuojami pagal formulę:</w:t>
                      </w:r>
                    </w:p>
                    <w:p>
                      <w:pPr>
                        <w:tabs>
                          <w:tab w:val="left" w:pos="1134"/>
                        </w:tabs>
                        <w:ind w:firstLine="709"/>
                        <w:jc w:val="both"/>
                        <w:rPr>
                          <w:szCs w:val="24"/>
                        </w:rPr>
                      </w:pPr>
                    </w:p>
                    <w:p>
                      <w:pPr>
                        <w:tabs>
                          <w:tab w:val="left" w:pos="1134"/>
                        </w:tabs>
                        <w:ind w:firstLine="2880"/>
                        <w:jc w:val="both"/>
                        <w:rPr>
                          <w:szCs w:val="24"/>
                        </w:rPr>
                      </w:pPr>
                      <m:oMath>
                        <m:sSub>
                          <m:sSubPr>
                            <m:ctrlPr>
                              <w:rPr>
                                <w:rFonts w:ascii="Cambria Math" w:hAnsi="Cambria Math"/>
                                <w:i/>
                                <w:szCs w:val="24"/>
                              </w:rPr>
                            </m:ctrlPr>
                          </m:sSubPr>
                          <m:e>
                            <m:r>
                              <w:rPr>
                                <w:rFonts w:ascii="Cambria Math" w:hAnsi="Cambria Math"/>
                                <w:szCs w:val="24"/>
                              </w:rPr>
                              <m:t>OPEX</m:t>
                            </m:r>
                            <m:r>
                              <w:rPr>
                                <w:rFonts w:ascii="Cambria Math" w:hAnsi="Cambria Math"/>
                                <w:szCs w:val="24"/>
                              </w:rPr>
                              <m:t>'</m:t>
                            </m:r>
                          </m:e>
                          <m:sub>
                            <m:d>
                              <m:dPr>
                                <m:ctrlPr>
                                  <w:rPr>
                                    <w:rFonts w:ascii="Cambria Math" w:hAnsi="Cambria Math"/>
                                    <w:i/>
                                    <w:szCs w:val="24"/>
                                  </w:rPr>
                                </m:ctrlPr>
                              </m:dPr>
                              <m:e>
                                <m:r>
                                  <w:rPr>
                                    <w:rFonts w:ascii="Cambria Math" w:hAnsi="Cambria Math"/>
                                    <w:szCs w:val="24"/>
                                  </w:rPr>
                                  <m:t>be</m:t>
                                </m:r>
                                <m:r>
                                  <w:rPr>
                                    <w:rFonts w:ascii="Cambria Math" w:hAnsi="Cambria Math"/>
                                    <w:szCs w:val="24"/>
                                  </w:rPr>
                                  <m:t xml:space="preserve"> </m:t>
                                </m:r>
                                <m:r>
                                  <w:rPr>
                                    <w:rFonts w:ascii="Cambria Math" w:hAnsi="Cambria Math"/>
                                    <w:szCs w:val="24"/>
                                  </w:rPr>
                                  <m:t>DU</m:t>
                                </m:r>
                              </m:e>
                            </m:d>
                            <m:r>
                              <w:rPr>
                                <w:rFonts w:ascii="Cambria Math" w:hAnsi="Cambria Math"/>
                                <w:szCs w:val="24"/>
                              </w:rPr>
                              <m:t>110,</m:t>
                            </m:r>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OPEX</m:t>
                            </m:r>
                          </m:e>
                          <m:sub>
                            <m:d>
                              <m:dPr>
                                <m:ctrlPr>
                                  <w:rPr>
                                    <w:rFonts w:ascii="Cambria Math" w:hAnsi="Cambria Math"/>
                                    <w:i/>
                                    <w:szCs w:val="24"/>
                                  </w:rPr>
                                </m:ctrlPr>
                              </m:dPr>
                              <m:e>
                                <m:r>
                                  <w:rPr>
                                    <w:rFonts w:ascii="Cambria Math" w:hAnsi="Cambria Math"/>
                                    <w:szCs w:val="24"/>
                                  </w:rPr>
                                  <m:t>be</m:t>
                                </m:r>
                                <m:r>
                                  <w:rPr>
                                    <w:rFonts w:ascii="Cambria Math" w:hAnsi="Cambria Math"/>
                                    <w:szCs w:val="24"/>
                                  </w:rPr>
                                  <m:t xml:space="preserve"> </m:t>
                                </m:r>
                                <m:r>
                                  <w:rPr>
                                    <w:rFonts w:ascii="Cambria Math" w:hAnsi="Cambria Math"/>
                                    <w:szCs w:val="24"/>
                                  </w:rPr>
                                  <m:t>DU</m:t>
                                </m:r>
                              </m:e>
                            </m:d>
                            <m:r>
                              <w:rPr>
                                <w:rFonts w:ascii="Cambria Math" w:hAnsi="Cambria Math"/>
                                <w:szCs w:val="24"/>
                              </w:rPr>
                              <m:t>110</m:t>
                            </m:r>
                          </m:sub>
                        </m:sSub>
                        <m:r>
                          <w:rPr>
                            <w:rFonts w:ascii="Cambria Math" w:hAnsi="Cambria Math"/>
                            <w:szCs w:val="24"/>
                          </w:rPr>
                          <m:t xml:space="preserve"> ×</m:t>
                        </m:r>
                        <m:sSub>
                          <m:sSubPr>
                            <m:ctrlPr>
                              <w:rPr>
                                <w:rFonts w:ascii="Cambria Math" w:hAnsi="Cambria Math"/>
                                <w:i/>
                                <w:szCs w:val="24"/>
                              </w:rPr>
                            </m:ctrlPr>
                          </m:sSubPr>
                          <m:e>
                            <m:r>
                              <w:rPr>
                                <w:rFonts w:ascii="Cambria Math" w:hAnsi="Cambria Math"/>
                                <w:szCs w:val="24"/>
                              </w:rPr>
                              <m:t>IK</m:t>
                            </m:r>
                          </m:e>
                          <m:sub>
                            <m:r>
                              <w:rPr>
                                <w:rFonts w:ascii="Cambria Math" w:hAnsi="Cambria Math"/>
                                <w:szCs w:val="24"/>
                              </w:rPr>
                              <m:t xml:space="preserve"> </m:t>
                            </m:r>
                            <m:r>
                              <w:rPr>
                                <w:rFonts w:ascii="Cambria Math" w:hAnsi="Cambria Math"/>
                                <w:szCs w:val="24"/>
                              </w:rPr>
                              <m:t>t</m:t>
                            </m:r>
                          </m:sub>
                        </m:sSub>
                      </m:oMath>
                      <w:r>
                        <w:rPr>
                          <w:szCs w:val="24"/>
                        </w:rPr>
                        <w:tab/>
                        <w:t>(18</w:t>
                      </w:r>
                      <w:r>
                        <w:rPr>
                          <w:szCs w:val="24"/>
                          <w:vertAlign w:val="superscript"/>
                        </w:rPr>
                        <w:t>1</w:t>
                      </w:r>
                      <w:r>
                        <w:rPr>
                          <w:szCs w:val="24"/>
                        </w:rPr>
                        <w:t>)</w:t>
                      </w:r>
                    </w:p>
                    <w:p>
                      <w:pPr>
                        <w:tabs>
                          <w:tab w:val="left" w:pos="1134"/>
                        </w:tabs>
                        <w:ind w:firstLine="709"/>
                        <w:jc w:val="both"/>
                        <w:rPr>
                          <w:szCs w:val="24"/>
                        </w:rPr>
                      </w:pPr>
                    </w:p>
                    <w:p>
                      <w:pPr>
                        <w:tabs>
                          <w:tab w:val="left" w:pos="1134"/>
                          <w:tab w:val="left" w:pos="1843"/>
                          <w:tab w:val="left" w:pos="2268"/>
                        </w:tabs>
                        <w:ind w:left="709"/>
                        <w:jc w:val="both"/>
                        <w:rPr>
                          <w:i/>
                          <w:szCs w:val="24"/>
                        </w:rPr>
                      </w:pPr>
                      <w:r>
                        <w:rPr>
                          <w:i/>
                          <w:szCs w:val="24"/>
                        </w:rPr>
                        <w:t>čia:</w:t>
                      </w:r>
                    </w:p>
                    <w:p>
                      <w:pPr>
                        <w:tabs>
                          <w:tab w:val="left" w:pos="1134"/>
                          <w:tab w:val="left" w:pos="1843"/>
                          <w:tab w:val="left" w:pos="2268"/>
                        </w:tabs>
                        <w:ind w:left="709"/>
                        <w:jc w:val="both"/>
                        <w:rPr>
                          <w:szCs w:val="24"/>
                          <w:lang w:eastAsia="lt-LT"/>
                        </w:rPr>
                      </w:pPr>
                      <w:r>
                        <w:rPr>
                          <w:szCs w:val="24"/>
                          <w:lang w:eastAsia="lt-LT"/>
                        </w:rPr>
                        <w:t>OPEX‘</w:t>
                      </w:r>
                      <w:r>
                        <w:rPr>
                          <w:szCs w:val="24"/>
                          <w:vertAlign w:val="subscript"/>
                          <w:lang w:eastAsia="lt-LT"/>
                        </w:rPr>
                        <w:t xml:space="preserve"> (be DU)110,t </w:t>
                      </w:r>
                      <w:r>
                        <w:rPr>
                          <w:szCs w:val="24"/>
                          <w:lang w:eastAsia="lt-LT"/>
                        </w:rPr>
                        <w:t xml:space="preserve">– koreguoti </w:t>
                      </w:r>
                      <w:r>
                        <w:rPr>
                          <w:i/>
                          <w:szCs w:val="24"/>
                          <w:lang w:eastAsia="lt-LT"/>
                        </w:rPr>
                        <w:t>t</w:t>
                      </w:r>
                      <w:r>
                        <w:rPr>
                          <w:szCs w:val="24"/>
                          <w:lang w:eastAsia="lt-LT"/>
                        </w:rPr>
                        <w:t xml:space="preserve"> metų OPEX(be DU) kaštai;</w:t>
                      </w:r>
                    </w:p>
                    <w:p>
                      <w:pPr>
                        <w:tabs>
                          <w:tab w:val="left" w:pos="1134"/>
                          <w:tab w:val="left" w:pos="1843"/>
                          <w:tab w:val="left" w:pos="2268"/>
                        </w:tabs>
                        <w:ind w:left="709"/>
                        <w:jc w:val="both"/>
                        <w:rPr>
                          <w:szCs w:val="24"/>
                          <w:lang w:eastAsia="lt-LT"/>
                        </w:rPr>
                      </w:pPr>
                      <w:r>
                        <w:rPr>
                          <w:szCs w:val="24"/>
                          <w:lang w:eastAsia="lt-LT"/>
                        </w:rPr>
                        <w:t>OPEX</w:t>
                      </w:r>
                      <w:r>
                        <w:rPr>
                          <w:szCs w:val="24"/>
                          <w:vertAlign w:val="subscript"/>
                          <w:lang w:eastAsia="lt-LT"/>
                        </w:rPr>
                        <w:t xml:space="preserve"> (be DU)110 </w:t>
                      </w:r>
                      <w:r>
                        <w:rPr>
                          <w:szCs w:val="24"/>
                          <w:lang w:eastAsia="lt-LT"/>
                        </w:rPr>
                        <w:t>– reguliavimo periodo baziniai OPEX(be DU) kaštai;</w:t>
                      </w:r>
                    </w:p>
                    <w:p>
                      <w:pPr>
                        <w:tabs>
                          <w:tab w:val="left" w:pos="1134"/>
                          <w:tab w:val="left" w:pos="1843"/>
                          <w:tab w:val="left" w:pos="2268"/>
                        </w:tabs>
                        <w:ind w:left="709"/>
                        <w:jc w:val="both"/>
                        <w:rPr>
                          <w:szCs w:val="24"/>
                          <w:lang w:eastAsia="lt-LT"/>
                        </w:rPr>
                      </w:pPr>
                      <w:r>
                        <w:rPr>
                          <w:szCs w:val="24"/>
                          <w:lang w:eastAsia="lt-LT"/>
                        </w:rPr>
                        <w:t>IK</w:t>
                      </w:r>
                      <w:r>
                        <w:rPr>
                          <w:szCs w:val="24"/>
                          <w:vertAlign w:val="subscript"/>
                          <w:lang w:eastAsia="lt-LT"/>
                        </w:rPr>
                        <w:t>t</w:t>
                      </w:r>
                      <w:r>
                        <w:rPr>
                          <w:szCs w:val="24"/>
                          <w:lang w:eastAsia="lt-LT"/>
                        </w:rPr>
                        <w:t xml:space="preserve"> –  </w:t>
                      </w:r>
                      <w:r>
                        <w:rPr>
                          <w:i/>
                          <w:szCs w:val="24"/>
                          <w:lang w:eastAsia="lt-LT"/>
                        </w:rPr>
                        <w:t>t</w:t>
                      </w:r>
                      <w:r>
                        <w:rPr>
                          <w:szCs w:val="24"/>
                          <w:lang w:eastAsia="lt-LT"/>
                        </w:rPr>
                        <w:t xml:space="preserve"> metų infliacijos koeficientas, kuris apskaičiuojamas pagal formulę:</w:t>
                      </w:r>
                    </w:p>
                    <w:p>
                      <w:pPr>
                        <w:tabs>
                          <w:tab w:val="left" w:pos="1134"/>
                          <w:tab w:val="left" w:pos="1843"/>
                          <w:tab w:val="left" w:pos="2268"/>
                        </w:tabs>
                        <w:jc w:val="both"/>
                        <w:rPr>
                          <w:szCs w:val="24"/>
                          <w:lang w:eastAsia="lt-LT"/>
                        </w:rPr>
                      </w:pPr>
                    </w:p>
                    <w:p>
                      <w:pPr>
                        <w:tabs>
                          <w:tab w:val="left" w:pos="1134"/>
                          <w:tab w:val="left" w:pos="1843"/>
                          <w:tab w:val="left" w:pos="2268"/>
                        </w:tabs>
                        <w:ind w:firstLine="3600"/>
                        <w:jc w:val="both"/>
                        <w:rPr>
                          <w:szCs w:val="24"/>
                          <w:lang w:eastAsia="lt-LT"/>
                        </w:rPr>
                      </w:pPr>
                      <m:oMath>
                        <m:sSub>
                          <m:sSubPr>
                            <m:ctrlPr>
                              <w:rPr>
                                <w:rFonts w:ascii="Cambria Math" w:hAnsi="Cambria Math"/>
                                <w:i/>
                                <w:szCs w:val="24"/>
                              </w:rPr>
                            </m:ctrlPr>
                          </m:sSubPr>
                          <m:e>
                            <m:r>
                              <w:rPr>
                                <w:rFonts w:ascii="Cambria Math" w:hAnsi="Cambria Math"/>
                                <w:szCs w:val="24"/>
                              </w:rPr>
                              <m:t xml:space="preserve"> </m:t>
                            </m:r>
                            <m:r>
                              <w:rPr>
                                <w:rFonts w:ascii="Cambria Math" w:hAnsi="Cambria Math"/>
                                <w:szCs w:val="24"/>
                              </w:rPr>
                              <m:t>IK</m:t>
                            </m:r>
                          </m:e>
                          <m:sub>
                            <m:r>
                              <w:rPr>
                                <w:rFonts w:ascii="Cambria Math" w:hAnsi="Cambria Math"/>
                                <w:szCs w:val="24"/>
                              </w:rPr>
                              <m:t xml:space="preserve"> </m:t>
                            </m:r>
                            <m:r>
                              <w:rPr>
                                <w:rFonts w:ascii="Cambria Math" w:hAnsi="Cambria Math"/>
                                <w:szCs w:val="24"/>
                              </w:rPr>
                              <m:t>t</m:t>
                            </m:r>
                          </m:sub>
                        </m:sSub>
                        <m:r>
                          <w:rPr>
                            <w:rFonts w:ascii="Cambria Math" w:hAnsi="Cambria Math"/>
                            <w:szCs w:val="24"/>
                          </w:rPr>
                          <m:t>= (1+</m:t>
                        </m:r>
                        <m:f>
                          <m:fPr>
                            <m:ctrlPr>
                              <w:rPr>
                                <w:rFonts w:ascii="Cambria Math" w:hAnsi="Cambria Math"/>
                                <w:i/>
                                <w:szCs w:val="24"/>
                              </w:rPr>
                            </m:ctrlPr>
                          </m:fPr>
                          <m:num>
                            <m:r>
                              <w:rPr>
                                <w:rFonts w:ascii="Cambria Math" w:hAnsi="Cambria Math"/>
                                <w:szCs w:val="24"/>
                              </w:rPr>
                              <m:t xml:space="preserve"> </m:t>
                            </m:r>
                            <m:sSub>
                              <m:sSubPr>
                                <m:ctrlPr>
                                  <w:rPr>
                                    <w:rFonts w:ascii="Cambria Math" w:hAnsi="Cambria Math"/>
                                    <w:i/>
                                    <w:szCs w:val="24"/>
                                  </w:rPr>
                                </m:ctrlPr>
                              </m:sSubPr>
                              <m:e>
                                <m:r>
                                  <w:rPr>
                                    <w:rFonts w:ascii="Cambria Math" w:hAnsi="Cambria Math"/>
                                    <w:szCs w:val="24"/>
                                  </w:rPr>
                                  <m:t>i</m:t>
                                </m:r>
                              </m:e>
                              <m:sub>
                                <m:r>
                                  <w:rPr>
                                    <w:rFonts w:ascii="Cambria Math" w:hAnsi="Cambria Math"/>
                                    <w:szCs w:val="24"/>
                                  </w:rPr>
                                  <m:t xml:space="preserve"> </m:t>
                                </m:r>
                                <m:r>
                                  <w:rPr>
                                    <w:rFonts w:ascii="Cambria Math" w:hAnsi="Cambria Math"/>
                                    <w:szCs w:val="24"/>
                                  </w:rPr>
                                  <m:t>t</m:t>
                                </m:r>
                              </m:sub>
                            </m:sSub>
                            <m:r>
                              <w:rPr>
                                <w:rFonts w:ascii="Cambria Math" w:hAnsi="Cambria Math"/>
                                <w:szCs w:val="24"/>
                              </w:rPr>
                              <m:t>-</m:t>
                            </m:r>
                            <m:r>
                              <w:rPr>
                                <w:rFonts w:ascii="Cambria Math" w:hAnsi="Cambria Math"/>
                                <w:szCs w:val="24"/>
                              </w:rPr>
                              <m:t>e</m:t>
                            </m:r>
                          </m:num>
                          <m:den>
                            <m:r>
                              <w:rPr>
                                <w:rFonts w:ascii="Cambria Math" w:hAnsi="Cambria Math"/>
                                <w:szCs w:val="24"/>
                              </w:rPr>
                              <m:t>100</m:t>
                            </m:r>
                          </m:den>
                        </m:f>
                        <m:r>
                          <w:rPr>
                            <w:rFonts w:ascii="Cambria Math" w:hAnsi="Cambria Math"/>
                            <w:szCs w:val="24"/>
                          </w:rPr>
                          <m:t>)×</m:t>
                        </m:r>
                        <m:sSub>
                          <m:sSubPr>
                            <m:ctrlPr>
                              <w:rPr>
                                <w:rFonts w:ascii="Cambria Math" w:hAnsi="Cambria Math"/>
                                <w:i/>
                                <w:szCs w:val="24"/>
                              </w:rPr>
                            </m:ctrlPr>
                          </m:sSubPr>
                          <m:e>
                            <m:r>
                              <w:rPr>
                                <w:rFonts w:ascii="Cambria Math" w:hAnsi="Cambria Math"/>
                                <w:szCs w:val="24"/>
                              </w:rPr>
                              <m:t>IK</m:t>
                            </m:r>
                          </m:e>
                          <m:sub>
                            <m:r>
                              <w:rPr>
                                <w:rFonts w:ascii="Cambria Math" w:hAnsi="Cambria Math"/>
                                <w:szCs w:val="24"/>
                              </w:rPr>
                              <m:t xml:space="preserve"> </m:t>
                            </m:r>
                            <m:r>
                              <w:rPr>
                                <w:rFonts w:ascii="Cambria Math" w:hAnsi="Cambria Math"/>
                                <w:szCs w:val="24"/>
                              </w:rPr>
                              <m:t>t</m:t>
                            </m:r>
                            <m:r>
                              <w:rPr>
                                <w:rFonts w:ascii="Cambria Math" w:hAnsi="Cambria Math"/>
                                <w:szCs w:val="24"/>
                              </w:rPr>
                              <m:t>-1</m:t>
                            </m:r>
                          </m:sub>
                        </m:sSub>
                      </m:oMath>
                      <w:r>
                        <w:rPr>
                          <w:szCs w:val="24"/>
                        </w:rPr>
                        <w:tab/>
                        <w:tab/>
                        <w:t>(18</w:t>
                      </w:r>
                      <w:r>
                        <w:rPr>
                          <w:szCs w:val="24"/>
                          <w:vertAlign w:val="superscript"/>
                        </w:rPr>
                        <w:t>2</w:t>
                      </w:r>
                      <w:r>
                        <w:rPr>
                          <w:szCs w:val="24"/>
                        </w:rPr>
                        <w:t>)</w:t>
                      </w:r>
                    </w:p>
                    <w:p>
                      <w:pPr>
                        <w:tabs>
                          <w:tab w:val="left" w:pos="1134"/>
                          <w:tab w:val="left" w:pos="1843"/>
                          <w:tab w:val="left" w:pos="2268"/>
                        </w:tabs>
                        <w:jc w:val="both"/>
                        <w:rPr>
                          <w:szCs w:val="24"/>
                          <w:lang w:eastAsia="lt-LT"/>
                        </w:rPr>
                      </w:pPr>
                    </w:p>
                    <w:p>
                      <w:pPr>
                        <w:tabs>
                          <w:tab w:val="left" w:pos="1134"/>
                          <w:tab w:val="left" w:pos="1843"/>
                          <w:tab w:val="left" w:pos="2268"/>
                        </w:tabs>
                        <w:ind w:left="709"/>
                        <w:jc w:val="both"/>
                        <w:rPr>
                          <w:i/>
                          <w:szCs w:val="24"/>
                          <w:lang w:eastAsia="lt-LT"/>
                        </w:rPr>
                      </w:pPr>
                      <w:r>
                        <w:rPr>
                          <w:i/>
                          <w:szCs w:val="24"/>
                          <w:lang w:eastAsia="lt-LT"/>
                        </w:rPr>
                        <w:t>čia:</w:t>
                      </w:r>
                    </w:p>
                    <w:p>
                      <w:pPr>
                        <w:tabs>
                          <w:tab w:val="left" w:pos="1080"/>
                          <w:tab w:val="left" w:pos="1843"/>
                          <w:tab w:val="left" w:pos="2268"/>
                        </w:tabs>
                        <w:ind w:firstLine="720"/>
                        <w:jc w:val="both"/>
                        <w:rPr>
                          <w:szCs w:val="24"/>
                          <w:lang w:eastAsia="lt-LT"/>
                        </w:rPr>
                      </w:pPr>
                      <w:r>
                        <w:rPr>
                          <w:szCs w:val="24"/>
                          <w:lang w:eastAsia="lt-LT"/>
                        </w:rPr>
                        <w:t>i</w:t>
                      </w:r>
                      <w:r>
                        <w:rPr>
                          <w:szCs w:val="24"/>
                          <w:vertAlign w:val="subscript"/>
                          <w:lang w:eastAsia="lt-LT"/>
                        </w:rPr>
                        <w:t>t</w:t>
                      </w:r>
                      <w:r>
                        <w:rPr>
                          <w:szCs w:val="24"/>
                          <w:lang w:eastAsia="lt-LT"/>
                        </w:rPr>
                        <w:t xml:space="preserve"> – vidutinio metinio vartotojų kainų indekso pokytis metais t lyginant su atitinkamu indeksu metais </w:t>
                      </w:r>
                      <w:r>
                        <w:rPr>
                          <w:i/>
                          <w:szCs w:val="24"/>
                          <w:lang w:eastAsia="lt-LT"/>
                        </w:rPr>
                        <w:t>t-1</w:t>
                      </w:r>
                      <w:r>
                        <w:rPr>
                          <w:szCs w:val="24"/>
                          <w:lang w:eastAsia="lt-LT"/>
                        </w:rPr>
                        <w:t xml:space="preserve">, %. Jis nustatomas pagal Finansų ministerijos skelbiamus naujausius duomenis. Nesant Finansų ministerijos duomenų, nustatoma pagal Lietuvos banko duomenis; </w:t>
                      </w:r>
                    </w:p>
                    <w:p>
                      <w:pPr>
                        <w:tabs>
                          <w:tab w:val="left" w:pos="1080"/>
                          <w:tab w:val="left" w:pos="1843"/>
                          <w:tab w:val="left" w:pos="2268"/>
                        </w:tabs>
                        <w:ind w:firstLine="720"/>
                        <w:jc w:val="both"/>
                        <w:rPr>
                          <w:szCs w:val="24"/>
                          <w:lang w:eastAsia="lt-LT"/>
                        </w:rPr>
                      </w:pPr>
                      <w:r>
                        <w:rPr>
                          <w:szCs w:val="24"/>
                          <w:lang w:eastAsia="lt-LT"/>
                        </w:rPr>
                        <w:t>e – efektyvumo koeficientas, %;</w:t>
                      </w:r>
                    </w:p>
                    <w:p>
                      <w:pPr>
                        <w:ind w:firstLine="720"/>
                        <w:jc w:val="both"/>
                        <w:rPr>
                          <w:szCs w:val="24"/>
                        </w:rPr>
                      </w:pPr>
                      <w:r>
                        <w:rPr>
                          <w:szCs w:val="24"/>
                          <w:lang w:eastAsia="lt-LT"/>
                        </w:rPr>
                        <w:t>IK</w:t>
                      </w:r>
                      <w:r>
                        <w:rPr>
                          <w:szCs w:val="24"/>
                          <w:vertAlign w:val="subscript"/>
                          <w:lang w:eastAsia="lt-LT"/>
                        </w:rPr>
                        <w:t>t-1</w:t>
                      </w:r>
                      <w:r>
                        <w:rPr>
                          <w:szCs w:val="24"/>
                          <w:lang w:eastAsia="lt-LT"/>
                        </w:rPr>
                        <w:t xml:space="preserve"> – </w:t>
                      </w:r>
                      <w:r>
                        <w:rPr>
                          <w:i/>
                          <w:szCs w:val="24"/>
                          <w:lang w:eastAsia="lt-LT"/>
                        </w:rPr>
                        <w:t>t-1</w:t>
                      </w:r>
                      <w:r>
                        <w:rPr>
                          <w:szCs w:val="24"/>
                          <w:lang w:eastAsia="lt-LT"/>
                        </w:rPr>
                        <w:t xml:space="preserve"> metų infliacijos koeficientas. Pirmųjų naujojo reguliavimo periodo metų infliacijos koeficientas lygus vienetui.</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sdtContent>
                </w:sdt>
                <w:sdt>
                  <w:sdtPr>
                    <w:alias w:val="46 p."/>
                    <w:tag w:val="part_29744737fffe4f8f9f862c850e6aa0b6"/>
                    <w:lock w:val="sdtLocked"/>
                    <w:richText/>
                  </w:sdtPr>
                  <w:sdtContent>
                    <w:p>
                      <w:pPr>
                        <w:tabs>
                          <w:tab w:val="left" w:pos="1134"/>
                        </w:tabs>
                        <w:ind w:firstLine="709"/>
                        <w:jc w:val="both"/>
                        <w:rPr>
                          <w:szCs w:val="24"/>
                        </w:rPr>
                      </w:pPr>
                      <w:sdt>
                        <w:sdtPr>
                          <w:alias w:val="Numeris"/>
                          <w:tag w:val="nr_29744737fffe4f8f9f862c850e6aa0b6"/>
                          <w:lock w:val="sdtLocked"/>
                          <w:richText/>
                        </w:sdtPr>
                        <w:sdtContent>
                          <w:r>
                            <w:rPr>
                              <w:szCs w:val="24"/>
                            </w:rPr>
                            <w:t>46</w:t>
                          </w:r>
                        </w:sdtContent>
                      </w:sdt>
                      <w:r>
                        <w:rPr>
                          <w:szCs w:val="24"/>
                        </w:rPr>
                        <w:t xml:space="preserve">. Koreguoti </w:t>
                      </w:r>
                      <w:r>
                        <w:rPr>
                          <w:i/>
                          <w:szCs w:val="24"/>
                          <w:lang w:eastAsia="lt-LT"/>
                        </w:rPr>
                        <w:t xml:space="preserve">t </w:t>
                      </w:r>
                      <w:r>
                        <w:rPr>
                          <w:szCs w:val="24"/>
                          <w:lang w:eastAsia="lt-LT"/>
                        </w:rPr>
                        <w:t>metų</w:t>
                      </w:r>
                      <w:r>
                        <w:rPr>
                          <w:szCs w:val="24"/>
                        </w:rPr>
                        <w:t xml:space="preserve"> OPEX(DU) kaštai yra apskaičiuojami pagal formulę:</w:t>
                      </w:r>
                    </w:p>
                    <w:p>
                      <w:pPr>
                        <w:tabs>
                          <w:tab w:val="left" w:pos="1134"/>
                        </w:tabs>
                        <w:ind w:firstLine="709"/>
                        <w:jc w:val="both"/>
                        <w:rPr>
                          <w:szCs w:val="24"/>
                        </w:rPr>
                      </w:pPr>
                    </w:p>
                    <w:p>
                      <w:pPr>
                        <w:tabs>
                          <w:tab w:val="left" w:pos="567"/>
                          <w:tab w:val="left" w:pos="1843"/>
                          <w:tab w:val="left" w:pos="2268"/>
                        </w:tabs>
                        <w:ind w:firstLine="3600"/>
                        <w:jc w:val="both"/>
                        <w:rPr>
                          <w:szCs w:val="24"/>
                        </w:rPr>
                      </w:pPr>
                      <m:oMath>
                        <m:sSub>
                          <m:sSubPr>
                            <m:ctrlPr>
                              <w:rPr>
                                <w:rFonts w:ascii="Cambria Math" w:hAnsi="Cambria Math"/>
                                <w:i/>
                                <w:szCs w:val="24"/>
                              </w:rPr>
                            </m:ctrlPr>
                          </m:sSubPr>
                          <m:e>
                            <m:r>
                              <w:rPr>
                                <w:rFonts w:ascii="Cambria Math" w:hAnsi="Cambria Math"/>
                                <w:szCs w:val="24"/>
                              </w:rPr>
                              <m:t>OPEX</m:t>
                            </m:r>
                            <m:r>
                              <w:rPr>
                                <w:rFonts w:ascii="Cambria Math" w:hAnsi="Cambria Math"/>
                                <w:szCs w:val="24"/>
                              </w:rPr>
                              <m:t>'</m:t>
                            </m:r>
                          </m:e>
                          <m:sub>
                            <m:d>
                              <m:dPr>
                                <m:ctrlPr>
                                  <w:rPr>
                                    <w:rFonts w:ascii="Cambria Math" w:hAnsi="Cambria Math"/>
                                    <w:i/>
                                    <w:szCs w:val="24"/>
                                  </w:rPr>
                                </m:ctrlPr>
                              </m:dPr>
                              <m:e>
                                <m:r>
                                  <w:rPr>
                                    <w:rFonts w:ascii="Cambria Math" w:hAnsi="Cambria Math"/>
                                    <w:szCs w:val="24"/>
                                  </w:rPr>
                                  <m:t>DU</m:t>
                                </m:r>
                              </m:e>
                            </m:d>
                            <m:r>
                              <w:rPr>
                                <w:rFonts w:ascii="Cambria Math" w:hAnsi="Cambria Math"/>
                                <w:szCs w:val="24"/>
                              </w:rPr>
                              <m:t>110,</m:t>
                            </m:r>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OPEX</m:t>
                            </m:r>
                          </m:e>
                          <m:sub>
                            <m:d>
                              <m:dPr>
                                <m:ctrlPr>
                                  <w:rPr>
                                    <w:rFonts w:ascii="Cambria Math" w:hAnsi="Cambria Math"/>
                                    <w:i/>
                                    <w:szCs w:val="24"/>
                                  </w:rPr>
                                </m:ctrlPr>
                              </m:dPr>
                              <m:e>
                                <m:r>
                                  <w:rPr>
                                    <w:rFonts w:ascii="Cambria Math" w:hAnsi="Cambria Math"/>
                                    <w:szCs w:val="24"/>
                                  </w:rPr>
                                  <m:t>DU</m:t>
                                </m:r>
                              </m:e>
                            </m:d>
                            <m:r>
                              <w:rPr>
                                <w:rFonts w:ascii="Cambria Math" w:hAnsi="Cambria Math"/>
                                <w:szCs w:val="24"/>
                              </w:rPr>
                              <m:t>110</m:t>
                            </m:r>
                          </m:sub>
                        </m:sSub>
                        <m:r>
                          <w:rPr>
                            <w:rFonts w:ascii="Cambria Math" w:hAnsi="Cambria Math"/>
                            <w:szCs w:val="24"/>
                          </w:rPr>
                          <m:t xml:space="preserve"> ×</m:t>
                        </m:r>
                        <m:sSub>
                          <m:sSubPr>
                            <m:ctrlPr>
                              <w:rPr>
                                <w:rFonts w:ascii="Cambria Math" w:hAnsi="Cambria Math"/>
                                <w:i/>
                                <w:szCs w:val="24"/>
                              </w:rPr>
                            </m:ctrlPr>
                          </m:sSubPr>
                          <m:e>
                            <m:r>
                              <w:rPr>
                                <w:rFonts w:ascii="Cambria Math" w:hAnsi="Cambria Math"/>
                                <w:szCs w:val="24"/>
                              </w:rPr>
                              <m:t>DK</m:t>
                            </m:r>
                          </m:e>
                          <m:sub>
                            <m:r>
                              <w:rPr>
                                <w:rFonts w:ascii="Cambria Math" w:hAnsi="Cambria Math"/>
                                <w:szCs w:val="24"/>
                              </w:rPr>
                              <m:t xml:space="preserve"> </m:t>
                            </m:r>
                            <m:r>
                              <w:rPr>
                                <w:rFonts w:ascii="Cambria Math" w:hAnsi="Cambria Math"/>
                                <w:szCs w:val="24"/>
                              </w:rPr>
                              <m:t>t</m:t>
                            </m:r>
                          </m:sub>
                        </m:sSub>
                      </m:oMath>
                      <w:r>
                        <w:rPr>
                          <w:szCs w:val="24"/>
                        </w:rPr>
                        <w:tab/>
                        <w:t>(18</w:t>
                      </w:r>
                      <w:r>
                        <w:rPr>
                          <w:szCs w:val="24"/>
                          <w:vertAlign w:val="superscript"/>
                        </w:rPr>
                        <w:t>3</w:t>
                      </w:r>
                      <w:r>
                        <w:rPr>
                          <w:szCs w:val="24"/>
                        </w:rPr>
                        <w:t>)</w:t>
                      </w:r>
                    </w:p>
                    <w:p>
                      <w:pPr>
                        <w:tabs>
                          <w:tab w:val="left" w:pos="1134"/>
                        </w:tabs>
                        <w:ind w:firstLine="709"/>
                        <w:jc w:val="both"/>
                        <w:rPr>
                          <w:szCs w:val="24"/>
                        </w:rPr>
                      </w:pPr>
                    </w:p>
                    <w:p>
                      <w:pPr>
                        <w:tabs>
                          <w:tab w:val="left" w:pos="1134"/>
                          <w:tab w:val="left" w:pos="1843"/>
                          <w:tab w:val="left" w:pos="2268"/>
                        </w:tabs>
                        <w:ind w:firstLine="709"/>
                        <w:jc w:val="both"/>
                        <w:rPr>
                          <w:i/>
                          <w:szCs w:val="24"/>
                          <w:lang w:eastAsia="lt-LT"/>
                        </w:rPr>
                      </w:pPr>
                      <w:r>
                        <w:rPr>
                          <w:i/>
                          <w:szCs w:val="24"/>
                          <w:lang w:eastAsia="lt-LT"/>
                        </w:rPr>
                        <w:t>čia:</w:t>
                      </w:r>
                    </w:p>
                    <w:p>
                      <w:pPr>
                        <w:tabs>
                          <w:tab w:val="left" w:pos="1134"/>
                          <w:tab w:val="left" w:pos="1843"/>
                          <w:tab w:val="left" w:pos="2268"/>
                        </w:tabs>
                        <w:ind w:firstLine="709"/>
                        <w:jc w:val="both"/>
                        <w:rPr>
                          <w:szCs w:val="24"/>
                          <w:lang w:eastAsia="lt-LT"/>
                        </w:rPr>
                      </w:pPr>
                      <w:r>
                        <w:rPr>
                          <w:szCs w:val="24"/>
                          <w:lang w:eastAsia="lt-LT"/>
                        </w:rPr>
                        <w:t>OPEX‘</w:t>
                      </w:r>
                      <w:r>
                        <w:rPr>
                          <w:szCs w:val="24"/>
                          <w:vertAlign w:val="subscript"/>
                          <w:lang w:eastAsia="lt-LT"/>
                        </w:rPr>
                        <w:t xml:space="preserve"> (DU)110,t </w:t>
                      </w:r>
                      <w:r>
                        <w:rPr>
                          <w:szCs w:val="24"/>
                          <w:lang w:eastAsia="lt-LT"/>
                        </w:rPr>
                        <w:t>– koreguoti darbo užmokesčio kaštai;</w:t>
                      </w:r>
                    </w:p>
                    <w:p>
                      <w:pPr>
                        <w:tabs>
                          <w:tab w:val="left" w:pos="1134"/>
                          <w:tab w:val="left" w:pos="1843"/>
                          <w:tab w:val="left" w:pos="2268"/>
                        </w:tabs>
                        <w:ind w:firstLine="709"/>
                        <w:jc w:val="both"/>
                        <w:rPr>
                          <w:szCs w:val="24"/>
                          <w:lang w:eastAsia="lt-LT"/>
                        </w:rPr>
                      </w:pPr>
                      <w:r>
                        <w:rPr>
                          <w:szCs w:val="24"/>
                          <w:lang w:eastAsia="lt-LT"/>
                        </w:rPr>
                        <w:t>OPEX</w:t>
                      </w:r>
                      <w:r>
                        <w:rPr>
                          <w:szCs w:val="24"/>
                          <w:vertAlign w:val="subscript"/>
                          <w:lang w:eastAsia="lt-LT"/>
                        </w:rPr>
                        <w:t xml:space="preserve"> (DU)110 </w:t>
                      </w:r>
                      <w:r>
                        <w:rPr>
                          <w:szCs w:val="24"/>
                          <w:lang w:eastAsia="lt-LT"/>
                        </w:rPr>
                        <w:t>– reguliavimo periodo baziniai darbo užmokesčio kaštai;</w:t>
                      </w:r>
                    </w:p>
                    <w:p>
                      <w:pPr>
                        <w:tabs>
                          <w:tab w:val="left" w:pos="1134"/>
                          <w:tab w:val="left" w:pos="1843"/>
                          <w:tab w:val="left" w:pos="2268"/>
                        </w:tabs>
                        <w:ind w:firstLine="709"/>
                        <w:jc w:val="both"/>
                        <w:rPr>
                          <w:szCs w:val="24"/>
                          <w:lang w:eastAsia="lt-LT"/>
                        </w:rPr>
                      </w:pPr>
                      <w:r>
                        <w:rPr>
                          <w:szCs w:val="24"/>
                          <w:lang w:eastAsia="lt-LT"/>
                        </w:rPr>
                        <w:t>DK</w:t>
                      </w:r>
                      <w:r>
                        <w:rPr>
                          <w:szCs w:val="24"/>
                          <w:vertAlign w:val="subscript"/>
                          <w:lang w:eastAsia="lt-LT"/>
                        </w:rPr>
                        <w:t>t</w:t>
                      </w:r>
                      <w:r>
                        <w:rPr>
                          <w:szCs w:val="24"/>
                          <w:lang w:eastAsia="lt-LT"/>
                        </w:rPr>
                        <w:t xml:space="preserve"> – </w:t>
                      </w:r>
                      <w:r>
                        <w:rPr>
                          <w:i/>
                          <w:szCs w:val="24"/>
                        </w:rPr>
                        <w:t xml:space="preserve">t </w:t>
                      </w:r>
                      <w:r>
                        <w:rPr>
                          <w:szCs w:val="24"/>
                        </w:rPr>
                        <w:t xml:space="preserve">metų darbo užmokesčio koregavimo koeficientas, kuris </w:t>
                      </w:r>
                      <w:r>
                        <w:rPr>
                          <w:szCs w:val="24"/>
                          <w:lang w:eastAsia="lt-LT"/>
                        </w:rPr>
                        <w:t>apskaičiuojamas pagal formulę:</w:t>
                      </w:r>
                    </w:p>
                    <w:p>
                      <w:pPr>
                        <w:tabs>
                          <w:tab w:val="left" w:pos="1134"/>
                          <w:tab w:val="left" w:pos="1843"/>
                          <w:tab w:val="left" w:pos="2268"/>
                        </w:tabs>
                        <w:jc w:val="both"/>
                        <w:rPr>
                          <w:szCs w:val="24"/>
                          <w:lang w:eastAsia="lt-LT"/>
                        </w:rPr>
                      </w:pPr>
                    </w:p>
                    <w:p>
                      <w:pPr>
                        <w:tabs>
                          <w:tab w:val="left" w:pos="1134"/>
                          <w:tab w:val="left" w:pos="1843"/>
                          <w:tab w:val="left" w:pos="2268"/>
                        </w:tabs>
                        <w:ind w:firstLine="3600"/>
                        <w:jc w:val="both"/>
                        <w:rPr>
                          <w:szCs w:val="24"/>
                          <w:lang w:eastAsia="lt-LT"/>
                        </w:rPr>
                      </w:pPr>
                      <m:oMath>
                        <m:sSub>
                          <m:sSubPr>
                            <m:ctrlPr>
                              <w:rPr>
                                <w:rFonts w:ascii="Cambria Math" w:hAnsi="Cambria Math"/>
                                <w:i/>
                                <w:szCs w:val="24"/>
                              </w:rPr>
                            </m:ctrlPr>
                          </m:sSubPr>
                          <m:e>
                            <m:r>
                              <w:rPr>
                                <w:rFonts w:ascii="Cambria Math" w:hAnsi="Cambria Math"/>
                                <w:szCs w:val="24"/>
                              </w:rPr>
                              <m:t>DK</m:t>
                            </m:r>
                          </m:e>
                          <m:sub>
                            <m:r>
                              <w:rPr>
                                <w:rFonts w:ascii="Cambria Math" w:hAnsi="Cambria Math"/>
                                <w:szCs w:val="24"/>
                              </w:rPr>
                              <m:t xml:space="preserve"> </m:t>
                            </m:r>
                            <m:r>
                              <w:rPr>
                                <w:rFonts w:ascii="Cambria Math" w:hAnsi="Cambria Math"/>
                                <w:szCs w:val="24"/>
                              </w:rPr>
                              <m:t>t</m:t>
                            </m:r>
                          </m:sub>
                        </m:sSub>
                        <m:r>
                          <w:rPr>
                            <w:rFonts w:ascii="Cambria Math" w:hAnsi="Cambria Math"/>
                            <w:szCs w:val="24"/>
                          </w:rPr>
                          <m:t>=(1+</m:t>
                        </m:r>
                        <m:f>
                          <m:fPr>
                            <m:ctrlPr>
                              <w:rPr>
                                <w:rFonts w:ascii="Cambria Math" w:hAnsi="Cambria Math"/>
                                <w:i/>
                                <w:szCs w:val="24"/>
                              </w:rPr>
                            </m:ctrlPr>
                          </m:fPr>
                          <m:num>
                            <m:r>
                              <w:rPr>
                                <w:rFonts w:ascii="Cambria Math" w:hAnsi="Cambria Math"/>
                                <w:szCs w:val="24"/>
                              </w:rPr>
                              <m:t xml:space="preserve"> </m:t>
                            </m:r>
                            <m:sSub>
                              <m:sSubPr>
                                <m:ctrlPr>
                                  <w:rPr>
                                    <w:rFonts w:ascii="Cambria Math" w:hAnsi="Cambria Math"/>
                                    <w:i/>
                                    <w:szCs w:val="24"/>
                                  </w:rPr>
                                </m:ctrlPr>
                              </m:sSubPr>
                              <m:e>
                                <m:r>
                                  <w:rPr>
                                    <w:rFonts w:ascii="Cambria Math" w:hAnsi="Cambria Math"/>
                                    <w:szCs w:val="24"/>
                                  </w:rPr>
                                  <m:t>∆</m:t>
                                </m:r>
                                <m:r>
                                  <w:rPr>
                                    <w:rFonts w:ascii="Cambria Math" w:hAnsi="Cambria Math"/>
                                    <w:szCs w:val="24"/>
                                  </w:rPr>
                                  <m:t>DU</m:t>
                                </m:r>
                              </m:e>
                              <m:sub>
                                <m:r>
                                  <w:rPr>
                                    <w:rFonts w:ascii="Cambria Math" w:hAnsi="Cambria Math"/>
                                    <w:szCs w:val="24"/>
                                  </w:rPr>
                                  <m:t xml:space="preserve"> </m:t>
                                </m:r>
                                <m:r>
                                  <w:rPr>
                                    <w:rFonts w:ascii="Cambria Math" w:hAnsi="Cambria Math"/>
                                    <w:szCs w:val="24"/>
                                  </w:rPr>
                                  <m:t>t</m:t>
                                </m:r>
                              </m:sub>
                            </m:sSub>
                            <m:r>
                              <w:rPr>
                                <w:rFonts w:ascii="Cambria Math" w:hAnsi="Cambria Math"/>
                                <w:szCs w:val="24"/>
                              </w:rPr>
                              <m:t>-</m:t>
                            </m:r>
                            <m:r>
                              <w:rPr>
                                <w:rFonts w:ascii="Cambria Math" w:hAnsi="Cambria Math"/>
                                <w:szCs w:val="24"/>
                              </w:rPr>
                              <m:t>e</m:t>
                            </m:r>
                          </m:num>
                          <m:den>
                            <m:r>
                              <w:rPr>
                                <w:rFonts w:ascii="Cambria Math" w:hAnsi="Cambria Math"/>
                                <w:szCs w:val="24"/>
                              </w:rPr>
                              <m:t>100</m:t>
                            </m:r>
                          </m:den>
                        </m:f>
                        <m:r>
                          <w:rPr>
                            <w:rFonts w:ascii="Cambria Math" w:hAnsi="Cambria Math"/>
                            <w:szCs w:val="24"/>
                          </w:rPr>
                          <m:t>)×</m:t>
                        </m:r>
                        <m:sSub>
                          <m:sSubPr>
                            <m:ctrlPr>
                              <w:rPr>
                                <w:rFonts w:ascii="Cambria Math" w:hAnsi="Cambria Math"/>
                                <w:i/>
                                <w:szCs w:val="24"/>
                              </w:rPr>
                            </m:ctrlPr>
                          </m:sSubPr>
                          <m:e>
                            <m:r>
                              <w:rPr>
                                <w:rFonts w:ascii="Cambria Math" w:hAnsi="Cambria Math"/>
                                <w:szCs w:val="24"/>
                              </w:rPr>
                              <m:t>DK</m:t>
                            </m:r>
                          </m:e>
                          <m:sub>
                            <m:r>
                              <w:rPr>
                                <w:rFonts w:ascii="Cambria Math" w:hAnsi="Cambria Math"/>
                                <w:szCs w:val="24"/>
                              </w:rPr>
                              <m:t xml:space="preserve"> </m:t>
                            </m:r>
                            <m:r>
                              <w:rPr>
                                <w:rFonts w:ascii="Cambria Math" w:hAnsi="Cambria Math"/>
                                <w:szCs w:val="24"/>
                              </w:rPr>
                              <m:t>t</m:t>
                            </m:r>
                            <m:r>
                              <w:rPr>
                                <w:rFonts w:ascii="Cambria Math" w:hAnsi="Cambria Math"/>
                                <w:szCs w:val="24"/>
                              </w:rPr>
                              <m:t>-1</m:t>
                            </m:r>
                          </m:sub>
                        </m:sSub>
                      </m:oMath>
                      <w:r>
                        <w:rPr>
                          <w:szCs w:val="24"/>
                        </w:rPr>
                        <w:tab/>
                        <w:t>(18</w:t>
                      </w:r>
                      <w:r>
                        <w:rPr>
                          <w:szCs w:val="24"/>
                          <w:vertAlign w:val="superscript"/>
                        </w:rPr>
                        <w:t>4</w:t>
                      </w:r>
                      <w:r>
                        <w:rPr>
                          <w:szCs w:val="24"/>
                        </w:rPr>
                        <w:t>)</w:t>
                      </w:r>
                    </w:p>
                    <w:p>
                      <w:pPr>
                        <w:tabs>
                          <w:tab w:val="left" w:pos="1134"/>
                          <w:tab w:val="left" w:pos="1843"/>
                          <w:tab w:val="left" w:pos="2268"/>
                        </w:tabs>
                        <w:jc w:val="both"/>
                        <w:rPr>
                          <w:szCs w:val="24"/>
                          <w:lang w:eastAsia="lt-LT"/>
                        </w:rPr>
                      </w:pPr>
                    </w:p>
                    <w:p>
                      <w:pPr>
                        <w:tabs>
                          <w:tab w:val="left" w:pos="1134"/>
                          <w:tab w:val="left" w:pos="1843"/>
                          <w:tab w:val="left" w:pos="2268"/>
                        </w:tabs>
                        <w:ind w:firstLine="709"/>
                        <w:jc w:val="both"/>
                        <w:rPr>
                          <w:i/>
                          <w:szCs w:val="24"/>
                          <w:lang w:eastAsia="lt-LT"/>
                        </w:rPr>
                      </w:pPr>
                      <w:r>
                        <w:rPr>
                          <w:i/>
                          <w:szCs w:val="24"/>
                          <w:lang w:eastAsia="lt-LT"/>
                        </w:rPr>
                        <w:t>čia:</w:t>
                      </w:r>
                    </w:p>
                    <w:p>
                      <w:pPr>
                        <w:ind w:firstLine="709"/>
                        <w:jc w:val="both"/>
                        <w:rPr>
                          <w:szCs w:val="24"/>
                          <w:lang w:eastAsia="lt-LT"/>
                        </w:rPr>
                      </w:pPr>
                      <w:r>
                        <w:rPr>
                          <w:szCs w:val="24"/>
                          <w:lang w:eastAsia="lt-LT"/>
                        </w:rPr>
                        <w:t>ΔDU</w:t>
                      </w:r>
                      <w:r>
                        <w:rPr>
                          <w:szCs w:val="24"/>
                          <w:vertAlign w:val="subscript"/>
                          <w:lang w:eastAsia="lt-LT"/>
                        </w:rPr>
                        <w:t>t</w:t>
                      </w:r>
                      <w:r>
                        <w:rPr>
                          <w:szCs w:val="24"/>
                          <w:lang w:eastAsia="lt-LT"/>
                        </w:rPr>
                        <w:t xml:space="preserve"> –vidutinio mėnesio bruto darbo užmokesčio pokytis metais </w:t>
                      </w:r>
                      <w:r>
                        <w:rPr>
                          <w:i/>
                          <w:szCs w:val="24"/>
                          <w:lang w:eastAsia="lt-LT"/>
                        </w:rPr>
                        <w:t>t</w:t>
                      </w:r>
                      <w:r>
                        <w:rPr>
                          <w:szCs w:val="24"/>
                          <w:lang w:eastAsia="lt-LT"/>
                        </w:rPr>
                        <w:t xml:space="preserve"> lyginant su atitinkamu indeksu metais </w:t>
                      </w:r>
                      <w:r>
                        <w:rPr>
                          <w:i/>
                          <w:szCs w:val="24"/>
                          <w:lang w:eastAsia="lt-LT"/>
                        </w:rPr>
                        <w:t>t-1</w:t>
                      </w:r>
                      <w:r>
                        <w:rPr>
                          <w:szCs w:val="24"/>
                          <w:lang w:eastAsia="lt-LT"/>
                        </w:rPr>
                        <w:t xml:space="preserve">, %. Jis nustatomas pagal  Finansų ministerijos skelbiamus naujausius duomenis; </w:t>
                      </w:r>
                    </w:p>
                    <w:p>
                      <w:pPr>
                        <w:tabs>
                          <w:tab w:val="left" w:pos="1134"/>
                        </w:tabs>
                        <w:ind w:firstLine="709"/>
                        <w:jc w:val="both"/>
                      </w:pPr>
                      <w:r>
                        <w:rPr>
                          <w:szCs w:val="24"/>
                          <w:lang w:eastAsia="lt-LT"/>
                        </w:rPr>
                        <w:t>e – efektyvumo koeficientas, %;</w:t>
                      </w:r>
                    </w:p>
                    <w:p>
                      <w:pPr>
                        <w:ind w:firstLine="720"/>
                        <w:jc w:val="both"/>
                        <w:rPr>
                          <w:szCs w:val="24"/>
                        </w:rPr>
                      </w:pPr>
                      <w:r>
                        <w:rPr>
                          <w:szCs w:val="24"/>
                        </w:rPr>
                        <w:t>DK</w:t>
                      </w:r>
                      <w:r>
                        <w:rPr>
                          <w:szCs w:val="24"/>
                          <w:vertAlign w:val="subscript"/>
                        </w:rPr>
                        <w:t>t-1</w:t>
                      </w:r>
                      <w:r>
                        <w:rPr>
                          <w:szCs w:val="24"/>
                        </w:rPr>
                        <w:t xml:space="preserve"> – </w:t>
                      </w:r>
                      <w:r>
                        <w:rPr>
                          <w:i/>
                          <w:szCs w:val="24"/>
                        </w:rPr>
                        <w:t>t-1</w:t>
                      </w:r>
                      <w:r>
                        <w:rPr>
                          <w:szCs w:val="24"/>
                        </w:rPr>
                        <w:t xml:space="preserve"> metų darbo užmokesčio koregavimo koeficientas. Pirmųjų naujojo reguliavimo periodo metų darbo užmokesčio koregavimo koeficientas lygus vienetui.</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sdtContent>
                </w:sdt>
                <w:sdt>
                  <w:sdtPr>
                    <w:alias w:val="47 p."/>
                    <w:tag w:val="part_34664b46065748b8bd3daf9c400fa41e"/>
                    <w:lock w:val="sdtLocked"/>
                    <w:richText/>
                  </w:sdtPr>
                  <w:sdtContent>
                    <w:p>
                      <w:pPr>
                        <w:tabs>
                          <w:tab w:val="left" w:pos="1080"/>
                          <w:tab w:val="left" w:pos="1843"/>
                          <w:tab w:val="left" w:pos="2268"/>
                        </w:tabs>
                        <w:ind w:firstLine="720"/>
                        <w:jc w:val="both"/>
                        <w:rPr>
                          <w:szCs w:val="24"/>
                        </w:rPr>
                      </w:pPr>
                      <w:sdt>
                        <w:sdtPr>
                          <w:alias w:val="Numeris"/>
                          <w:tag w:val="nr_34664b46065748b8bd3daf9c400fa41e"/>
                          <w:lock w:val="sdtLocked"/>
                          <w:richText/>
                        </w:sdtPr>
                        <w:sdtContent>
                          <w:r>
                            <w:rPr>
                              <w:szCs w:val="24"/>
                            </w:rPr>
                            <w:t>47</w:t>
                          </w:r>
                        </w:sdtContent>
                      </w:sdt>
                      <w:r>
                        <w:rPr>
                          <w:szCs w:val="24"/>
                        </w:rPr>
                        <w:t xml:space="preserve">. Koreguota </w:t>
                      </w:r>
                      <w:r>
                        <w:rPr>
                          <w:i/>
                          <w:szCs w:val="24"/>
                        </w:rPr>
                        <w:t>t</w:t>
                      </w:r>
                      <w:r>
                        <w:rPr>
                          <w:szCs w:val="24"/>
                        </w:rPr>
                        <w:t xml:space="preserve"> metų elektros energijos perdavimo paslaugos kainos viršutinė riba apskaičiuojama pagal formulę:</w:t>
                      </w:r>
                    </w:p>
                    <w:p/>
                    <w:p>
                      <w:pPr>
                        <w:tabs>
                          <w:tab w:val="left" w:pos="1134"/>
                        </w:tabs>
                        <w:ind w:firstLine="4320"/>
                        <w:jc w:val="both"/>
                        <w:rPr>
                          <w:szCs w:val="24"/>
                        </w:rPr>
                      </w:pPr>
                      <m:oMath>
                        <m:sSubSup>
                          <m:sSubSupPr>
                            <m:ctrlPr>
                              <w:rPr>
                                <w:rFonts w:ascii="Cambria Math" w:hAnsi="Cambria Math"/>
                                <w:i/>
                              </w:rPr>
                            </m:ctrlPr>
                          </m:sSubSupPr>
                          <m:e>
                            <m:r>
                              <w:rPr>
                                <w:rFonts w:ascii="Cambria Math" w:hAnsi="Cambria Math"/>
                              </w:rPr>
                              <m:t>T</m:t>
                            </m:r>
                          </m:e>
                          <m:sub>
                            <m:r>
                              <w:rPr>
                                <w:rFonts w:ascii="Cambria Math" w:hAnsi="Cambria Math"/>
                              </w:rPr>
                              <m:t>110,</m:t>
                            </m:r>
                            <m:r>
                              <w:rPr>
                                <w:rFonts w:ascii="Cambria Math" w:hAnsi="Cambria Math"/>
                              </w:rPr>
                              <m:t>t</m:t>
                            </m:r>
                          </m:sub>
                          <m:sup>
                            <m:r>
                              <w:rPr>
                                <w:rFonts w:ascii="Cambria Math" w:hAnsi="Cambria Math"/>
                              </w:rPr>
                              <m:t>'</m:t>
                            </m:r>
                          </m:sup>
                        </m:sSubSup>
                        <m:r>
                          <w:rPr>
                            <w:rFonts w:ascii="Cambria Math" w:hAnsi="Cambria Math"/>
                          </w:rPr>
                          <m:t>=</m:t>
                        </m:r>
                        <m:f>
                          <m:fPr>
                            <m:ctrlPr>
                              <w:rPr>
                                <w:rFonts w:ascii="Cambria Math" w:hAnsi="Cambria Math"/>
                                <w:i/>
                              </w:rPr>
                            </m:ctrlPr>
                          </m:fPr>
                          <m:num>
                            <m:sSub>
                              <m:sSubPr>
                                <m:ctrlPr>
                                  <w:rPr>
                                    <w:rFonts w:ascii="Cambria Math" w:hAnsi="Cambria Math"/>
                                    <w:i/>
                                  </w:rPr>
                                </m:ctrlPr>
                              </m:sSubPr>
                              <m:e>
                                <m:r>
                                  <w:rPr>
                                    <w:rFonts w:ascii="Cambria Math" w:hAnsi="Cambria Math"/>
                                  </w:rPr>
                                  <m:t>P</m:t>
                                </m:r>
                                <m:r>
                                  <w:rPr>
                                    <w:rFonts w:ascii="Cambria Math" w:hAnsi="Cambria Math"/>
                                  </w:rPr>
                                  <m:t>'</m:t>
                                </m:r>
                              </m:e>
                              <m:sub>
                                <m:r>
                                  <w:rPr>
                                    <w:rFonts w:ascii="Cambria Math" w:hAnsi="Cambria Math"/>
                                  </w:rPr>
                                  <m:t>110,</m:t>
                                </m:r>
                                <m:r>
                                  <w:rPr>
                                    <w:rFonts w:ascii="Cambria Math" w:hAnsi="Cambria Math"/>
                                  </w:rPr>
                                  <m:t>t</m:t>
                                </m:r>
                              </m:sub>
                            </m:sSub>
                          </m:num>
                          <m:den>
                            <m:sSub>
                              <m:sSubPr>
                                <m:ctrlPr>
                                  <w:rPr>
                                    <w:rFonts w:ascii="Cambria Math" w:hAnsi="Cambria Math"/>
                                    <w:i/>
                                  </w:rPr>
                                </m:ctrlPr>
                              </m:sSubPr>
                              <m:e>
                                <m:r>
                                  <w:rPr>
                                    <w:rFonts w:ascii="Cambria Math" w:hAnsi="Cambria Math"/>
                                  </w:rPr>
                                  <m:t>E</m:t>
                                </m:r>
                              </m:e>
                              <m:sub>
                                <m:r>
                                  <w:rPr>
                                    <w:rFonts w:ascii="Cambria Math" w:hAnsi="Cambria Math"/>
                                  </w:rPr>
                                  <m:t>110,</m:t>
                                </m:r>
                                <m:r>
                                  <w:rPr>
                                    <w:rFonts w:ascii="Cambria Math" w:hAnsi="Cambria Math"/>
                                  </w:rPr>
                                  <m:t>t</m:t>
                                </m:r>
                              </m:sub>
                            </m:sSub>
                          </m:den>
                        </m:f>
                        <m:r>
                          <w:rPr>
                            <w:rFonts w:ascii="Cambria Math" w:hAnsi="Cambria Math"/>
                          </w:rPr>
                          <m:t>×100</m:t>
                        </m:r>
                      </m:oMath>
                      <w:r>
                        <w:tab/>
                        <w:tab/>
                        <w:t>(19)</w:t>
                      </w:r>
                    </w:p>
                    <w:p/>
                    <w:p>
                      <w:pPr>
                        <w:tabs>
                          <w:tab w:val="left" w:pos="1134"/>
                          <w:tab w:val="left" w:pos="1843"/>
                          <w:tab w:val="left" w:pos="2268"/>
                        </w:tabs>
                        <w:ind w:firstLine="709"/>
                        <w:jc w:val="both"/>
                        <w:rPr>
                          <w:i/>
                          <w:szCs w:val="24"/>
                        </w:rPr>
                      </w:pPr>
                      <w:r>
                        <w:rPr>
                          <w:i/>
                          <w:szCs w:val="24"/>
                        </w:rPr>
                        <w:t>čia:</w:t>
                      </w:r>
                    </w:p>
                    <w:p>
                      <w:pPr>
                        <w:tabs>
                          <w:tab w:val="left" w:pos="1134"/>
                          <w:tab w:val="left" w:pos="1843"/>
                          <w:tab w:val="left" w:pos="2268"/>
                        </w:tabs>
                        <w:ind w:firstLine="709"/>
                        <w:jc w:val="both"/>
                        <w:rPr>
                          <w:szCs w:val="24"/>
                        </w:rPr>
                      </w:pPr>
                      <w:r>
                        <w:rPr>
                          <w:szCs w:val="24"/>
                        </w:rPr>
                        <w:t>T‘</w:t>
                      </w:r>
                      <w:r>
                        <w:rPr>
                          <w:szCs w:val="24"/>
                          <w:vertAlign w:val="subscript"/>
                        </w:rPr>
                        <w:t>110,t</w:t>
                      </w:r>
                      <w:r>
                        <w:rPr>
                          <w:szCs w:val="24"/>
                        </w:rPr>
                        <w:t xml:space="preserve"> – koreguota </w:t>
                      </w:r>
                      <w:r>
                        <w:rPr>
                          <w:i/>
                          <w:szCs w:val="24"/>
                        </w:rPr>
                        <w:t xml:space="preserve">t </w:t>
                      </w:r>
                      <w:r>
                        <w:rPr>
                          <w:szCs w:val="24"/>
                        </w:rPr>
                        <w:t>metų elektros energijos perdavimo paslaugos kainos viršutinė riba, ct/kWh;</w:t>
                      </w:r>
                    </w:p>
                    <w:p>
                      <w:pPr>
                        <w:tabs>
                          <w:tab w:val="left" w:pos="1134"/>
                          <w:tab w:val="left" w:pos="1843"/>
                          <w:tab w:val="left" w:pos="2268"/>
                        </w:tabs>
                        <w:ind w:firstLine="709"/>
                        <w:jc w:val="both"/>
                        <w:rPr>
                          <w:szCs w:val="24"/>
                        </w:rPr>
                      </w:pPr>
                      <w:r>
                        <w:rPr>
                          <w:szCs w:val="24"/>
                        </w:rPr>
                        <w:t>P‘</w:t>
                      </w:r>
                      <w:r>
                        <w:rPr>
                          <w:szCs w:val="24"/>
                          <w:vertAlign w:val="subscript"/>
                        </w:rPr>
                        <w:t>110,t</w:t>
                      </w:r>
                      <w:r>
                        <w:rPr>
                          <w:szCs w:val="24"/>
                        </w:rPr>
                        <w:t xml:space="preserve"> – koreguotos </w:t>
                      </w:r>
                      <w:r>
                        <w:rPr>
                          <w:i/>
                          <w:szCs w:val="24"/>
                        </w:rPr>
                        <w:t>t</w:t>
                      </w:r>
                      <w:r>
                        <w:rPr>
                          <w:szCs w:val="24"/>
                        </w:rPr>
                        <w:t xml:space="preserve"> metų PSO leidžiamos pajamos, EUR;</w:t>
                      </w:r>
                    </w:p>
                    <w:p>
                      <w:pPr>
                        <w:ind w:firstLine="720"/>
                        <w:jc w:val="both"/>
                        <w:rPr>
                          <w:szCs w:val="24"/>
                        </w:rPr>
                      </w:pPr>
                      <w:r>
                        <w:rPr>
                          <w:szCs w:val="24"/>
                        </w:rPr>
                        <w:t>E</w:t>
                      </w:r>
                      <w:r>
                        <w:rPr>
                          <w:szCs w:val="24"/>
                          <w:vertAlign w:val="subscript"/>
                        </w:rPr>
                        <w:t xml:space="preserve">110,t </w:t>
                      </w:r>
                      <w:r>
                        <w:rPr>
                          <w:szCs w:val="24"/>
                        </w:rPr>
                        <w:t xml:space="preserve">– PSO prognozuojamas perduoti elektros energijos kiekis AĮ tinklais šalies poreikiams </w:t>
                      </w:r>
                      <w:r>
                        <w:rPr>
                          <w:i/>
                          <w:szCs w:val="24"/>
                        </w:rPr>
                        <w:t xml:space="preserve">t </w:t>
                      </w:r>
                      <w:r>
                        <w:rPr>
                          <w:szCs w:val="24"/>
                        </w:rPr>
                        <w:t>metais, kWh.</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sdtContent>
                </w:sdt>
                <w:sdt>
                  <w:sdtPr>
                    <w:alias w:val="47-1 p."/>
                    <w:tag w:val="part_8c35e16dca8b41cb9f83dcdb385cd1f2"/>
                    <w:lock w:val="sdtLocked"/>
                    <w:richText/>
                  </w:sdtPr>
                  <w:sdtContent>
                    <w:p>
                      <w:pPr>
                        <w:pStyle w:val="PlainText"/>
                        <w:ind w:firstLine="567"/>
                        <w:jc w:val="both"/>
                        <w:rPr>
                          <w:rFonts w:ascii="Times New Roman" w:hAnsi="Times New Roman"/>
                          <w:b/>
                          <w:bCs/>
                          <w:sz w:val="22"/>
                        </w:rPr>
                      </w:pPr>
                      <w:r>
                        <w:rPr>
                          <w:rFonts w:ascii="Times New Roman" w:hAnsi="Times New Roman"/>
                          <w:sz w:val="22"/>
                        </w:rPr>
                        <w:t>47</w:t>
                      </w:r>
                      <w:r>
                        <w:rPr>
                          <w:rFonts w:ascii="Times New Roman" w:hAnsi="Times New Roman"/>
                          <w:vertAlign w:val="superscript"/>
                          <w:sz w:val="22"/>
                        </w:rPr>
                        <w:t>1</w:t>
                      </w:r>
                      <w:r>
                        <w:rPr>
                          <w:rFonts w:ascii="Times New Roman" w:hAnsi="Times New Roman"/>
                          <w:sz w:val="22"/>
                        </w:rPr>
                        <w:t>.</w:t>
                      </w:r>
                      <w:r>
                        <w:rPr>
                          <w:rFonts w:ascii="Times New Roman" w:eastAsia="MS Mincho" w:hAnsi="Times New Roman"/>
                          <w:sz w:val="20"/>
                          <w:i/>
                          <w:iCs/>
                        </w:rPr>
                        <w:t xml:space="preserve"> Neteko galios nuo 2017-09-16</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48 p."/>
                    <w:tag w:val="part_57eb349d03194ad3ae57942343605479"/>
                    <w:lock w:val="sdtLocked"/>
                    <w:richText/>
                  </w:sdtPr>
                  <w:sdtContent>
                    <w:p>
                      <w:pPr>
                        <w:pStyle w:val="PlainText"/>
                        <w:ind w:firstLine="567"/>
                        <w:jc w:val="both"/>
                        <w:rPr>
                          <w:rFonts w:ascii="Times New Roman" w:hAnsi="Times New Roman"/>
                          <w:b/>
                          <w:bCs/>
                          <w:sz w:val="22"/>
                        </w:rPr>
                      </w:pPr>
                      <w:r>
                        <w:rPr>
                          <w:rFonts w:ascii="Times New Roman" w:hAnsi="Times New Roman"/>
                          <w:sz w:val="22"/>
                        </w:rPr>
                        <w:t>48</w:t>
                      </w:r>
                      <w:r>
                        <w:rPr>
                          <w:rFonts w:ascii="Times New Roman" w:hAnsi="Times New Roman"/>
                          <w:sz w:val="22"/>
                        </w:rPr>
                        <w:t>.</w:t>
                      </w:r>
                      <w:r>
                        <w:rPr>
                          <w:rFonts w:ascii="Times New Roman" w:eastAsia="MS Mincho" w:hAnsi="Times New Roman"/>
                          <w:sz w:val="20"/>
                          <w:i/>
                          <w:iCs/>
                        </w:rPr>
                        <w:t xml:space="preserve"> Neteko galios nuo 2017-09-16</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49 p."/>
                    <w:tag w:val="part_9274f37809a949e887539fbf882b13dd"/>
                    <w:lock w:val="sdtLocked"/>
                    <w:richText/>
                  </w:sdtPr>
                  <w:sdtContent>
                    <w:p>
                      <w:pPr>
                        <w:pStyle w:val="PlainText"/>
                        <w:ind w:firstLine="567"/>
                        <w:jc w:val="both"/>
                        <w:rPr>
                          <w:rFonts w:ascii="Times New Roman" w:hAnsi="Times New Roman"/>
                          <w:b/>
                          <w:bCs/>
                          <w:sz w:val="22"/>
                        </w:rPr>
                      </w:pPr>
                      <w:r>
                        <w:rPr>
                          <w:rFonts w:ascii="Times New Roman" w:hAnsi="Times New Roman"/>
                          <w:sz w:val="22"/>
                        </w:rPr>
                        <w:t>49</w:t>
                      </w:r>
                      <w:r>
                        <w:rPr>
                          <w:rFonts w:ascii="Times New Roman" w:hAnsi="Times New Roman"/>
                          <w:sz w:val="22"/>
                        </w:rPr>
                        <w:t>.</w:t>
                      </w:r>
                      <w:r>
                        <w:rPr>
                          <w:rFonts w:ascii="Times New Roman" w:eastAsia="MS Mincho" w:hAnsi="Times New Roman"/>
                          <w:sz w:val="20"/>
                          <w:i/>
                          <w:iCs/>
                        </w:rPr>
                        <w:t xml:space="preserve"> Neteko galios nuo 2017-09-16</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sdtContent>
                </w:sdt>
                <w:sdt>
                  <w:sdtPr>
                    <w:alias w:val="50 p."/>
                    <w:tag w:val="part_a790959cac8342fdb17a306578b7e572"/>
                    <w:lock w:val="sdtLocked"/>
                    <w:richText/>
                  </w:sdtPr>
                  <w:sdtContent>
                    <w:p>
                      <w:pPr>
                        <w:pStyle w:val="PlainText"/>
                        <w:ind w:firstLine="567"/>
                        <w:jc w:val="both"/>
                        <w:rPr>
                          <w:rFonts w:ascii="Times New Roman" w:hAnsi="Times New Roman"/>
                          <w:b/>
                          <w:bCs/>
                          <w:sz w:val="22"/>
                        </w:rPr>
                      </w:pPr>
                      <w:r>
                        <w:rPr>
                          <w:rFonts w:ascii="Times New Roman" w:hAnsi="Times New Roman"/>
                          <w:sz w:val="22"/>
                        </w:rPr>
                        <w:t>50</w:t>
                      </w:r>
                      <w:r>
                        <w:rPr>
                          <w:rFonts w:ascii="Times New Roman" w:hAnsi="Times New Roman"/>
                          <w:sz w:val="22"/>
                        </w:rPr>
                        <w:t>.</w:t>
                      </w:r>
                      <w:r>
                        <w:rPr>
                          <w:rFonts w:ascii="Times New Roman" w:eastAsia="MS Mincho" w:hAnsi="Times New Roman"/>
                          <w:sz w:val="20"/>
                          <w:i/>
                          <w:iCs/>
                        </w:rPr>
                        <w:t xml:space="preserve"> Neteko galios nuo 2017-09-16</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sdtContent>
                </w:sdt>
                <w:sdt>
                  <w:sdtPr>
                    <w:alias w:val="51 p."/>
                    <w:tag w:val="part_c4ead16cd4db4574b6b19d13d6228c25"/>
                    <w:lock w:val="sdtLocked"/>
                    <w:richText/>
                  </w:sdtPr>
                  <w:sdtContent>
                    <w:p>
                      <w:pPr>
                        <w:pStyle w:val="PlainText"/>
                        <w:ind w:firstLine="567"/>
                        <w:jc w:val="both"/>
                        <w:rPr>
                          <w:rFonts w:ascii="Times New Roman" w:hAnsi="Times New Roman"/>
                          <w:b/>
                          <w:bCs/>
                          <w:sz w:val="22"/>
                        </w:rPr>
                      </w:pPr>
                      <w:r>
                        <w:rPr>
                          <w:rFonts w:ascii="Times New Roman" w:hAnsi="Times New Roman"/>
                          <w:sz w:val="22"/>
                        </w:rPr>
                        <w:t>51</w:t>
                      </w:r>
                      <w:r>
                        <w:rPr>
                          <w:rFonts w:ascii="Times New Roman" w:hAnsi="Times New Roman"/>
                          <w:sz w:val="22"/>
                        </w:rPr>
                        <w:t>.</w:t>
                      </w:r>
                      <w:r>
                        <w:rPr>
                          <w:rFonts w:ascii="Times New Roman" w:eastAsia="MS Mincho" w:hAnsi="Times New Roman"/>
                          <w:sz w:val="20"/>
                          <w:i/>
                          <w:iCs/>
                        </w:rPr>
                        <w:t xml:space="preserve"> Neteko galios nuo 2017-09-16</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sdtContent>
                </w:sdt>
                <w:sdt>
                  <w:sdtPr>
                    <w:alias w:val="52 p."/>
                    <w:tag w:val="part_7b93a8d7787d4b52bfdbcb75db2047c3"/>
                    <w:lock w:val="sdtLocked"/>
                    <w:richText/>
                  </w:sdtPr>
                  <w:sdtContent>
                    <w:p>
                      <w:pPr>
                        <w:pStyle w:val="PlainText"/>
                        <w:ind w:firstLine="567"/>
                        <w:jc w:val="both"/>
                        <w:rPr>
                          <w:rFonts w:ascii="Times New Roman" w:hAnsi="Times New Roman"/>
                          <w:b/>
                          <w:bCs/>
                          <w:sz w:val="22"/>
                        </w:rPr>
                      </w:pPr>
                      <w:r>
                        <w:rPr>
                          <w:rFonts w:ascii="Times New Roman" w:hAnsi="Times New Roman"/>
                          <w:sz w:val="22"/>
                        </w:rPr>
                        <w:t>52</w:t>
                      </w:r>
                      <w:r>
                        <w:rPr>
                          <w:rFonts w:ascii="Times New Roman" w:hAnsi="Times New Roman"/>
                          <w:sz w:val="22"/>
                        </w:rPr>
                        <w:t>.</w:t>
                      </w:r>
                      <w:r>
                        <w:rPr>
                          <w:rFonts w:ascii="Times New Roman" w:eastAsia="MS Mincho" w:hAnsi="Times New Roman"/>
                          <w:sz w:val="20"/>
                          <w:i/>
                          <w:iCs/>
                        </w:rPr>
                        <w:t xml:space="preserve"> Neteko galios nuo 2017-09-16</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Content>
            </w:sdt>
            <w:sdt>
              <w:sdtPr>
                <w:alias w:val="skirsnis"/>
                <w:tag w:val="part_8ddc6e6e3226417fa60b63cbb82a157f"/>
                <w:lock w:val="sdtLocked"/>
                <w:richText/>
              </w:sdtPr>
              <w:sdtContent>
                <w:p>
                  <w:pPr>
                    <w:pStyle w:val="PlainText"/>
                    <w:ind w:firstLine="567"/>
                    <w:jc w:val="both"/>
                    <w:rPr>
                      <w:rFonts w:ascii="Times New Roman" w:hAnsi="Times New Roman"/>
                      <w:b/>
                      <w:bCs/>
                      <w:sz w:val="22"/>
                    </w:rPr>
                  </w:pPr>
                  <w:r>
                    <w:rPr>
                      <w:rFonts w:ascii="Times New Roman" w:hAnsi="Times New Roman"/>
                      <w:b/>
                      <w:sz w:val="22"/>
                    </w:rPr>
                    <w:t>4</w:t>
                  </w:r>
                  <w:r>
                    <w:rPr>
                      <w:rFonts w:ascii="Times New Roman" w:hAnsi="Times New Roman"/>
                      <w:b/>
                      <w:sz w:val="22"/>
                    </w:rPr>
                    <w:t xml:space="preserve"> skirsnis.</w:t>
                  </w:r>
                  <w:r>
                    <w:rPr>
                      <w:rFonts w:ascii="Times New Roman" w:eastAsia="MS Mincho" w:hAnsi="Times New Roman"/>
                      <w:sz w:val="20"/>
                      <w:i/>
                      <w:iCs/>
                    </w:rPr>
                    <w:t xml:space="preserve"> Neteko galios nuo 2015-09-23</w:t>
                  </w:r>
                </w:p>
                <w:p>
                  <w:pPr>
                    <w:pStyle w:val="PlainText"/>
                    <w:rPr>
                      <w:rFonts w:ascii="Times New Roman" w:eastAsia="MS Mincho" w:hAnsi="Times New Roman"/>
                      <w:sz w:val="20"/>
                      <w:i/>
                      <w:iCs/>
                    </w:rPr>
                  </w:pPr>
                  <w:r>
                    <w:rPr>
                      <w:rFonts w:ascii="Times New Roman" w:eastAsia="MS Mincho" w:hAnsi="Times New Roman"/>
                      <w:sz w:val="20"/>
                      <w:i/>
                      <w:iCs/>
                    </w:rPr>
                    <w:t>Skirsnio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skirsnis"/>
                <w:tag w:val="part_f88184b4e75f4a1aad1941e4c5a268c5"/>
                <w:lock w:val="sdtLocked"/>
                <w:richText/>
              </w:sdtPr>
              <w:sdtContent>
                <w:p>
                  <w:pPr>
                    <w:tabs>
                      <w:tab w:val="left" w:pos="1134"/>
                      <w:tab w:val="left" w:pos="1843"/>
                      <w:tab w:val="left" w:pos="2268"/>
                    </w:tabs>
                    <w:jc w:val="center"/>
                    <w:rPr>
                      <w:b/>
                      <w:szCs w:val="24"/>
                    </w:rPr>
                  </w:pPr>
                  <w:sdt>
                    <w:sdtPr>
                      <w:alias w:val="Numeris"/>
                      <w:tag w:val="nr_f88184b4e75f4a1aad1941e4c5a268c5"/>
                      <w:lock w:val="sdtLocked"/>
                      <w:richText/>
                    </w:sdtPr>
                    <w:sdtContent>
                      <w:r>
                        <w:rPr>
                          <w:b/>
                          <w:szCs w:val="24"/>
                        </w:rPr>
                        <w:t>PENKTASIS</w:t>
                      </w:r>
                    </w:sdtContent>
                  </w:sdt>
                  <w:r>
                    <w:rPr>
                      <w:b/>
                      <w:szCs w:val="24"/>
                    </w:rPr>
                    <w:t xml:space="preserve"> SKIRSNIS</w:t>
                  </w:r>
                </w:p>
                <w:p>
                  <w:pPr>
                    <w:tabs>
                      <w:tab w:val="left" w:pos="1134"/>
                      <w:tab w:val="left" w:pos="1843"/>
                      <w:tab w:val="left" w:pos="2268"/>
                    </w:tabs>
                    <w:jc w:val="center"/>
                    <w:rPr>
                      <w:b/>
                      <w:szCs w:val="24"/>
                    </w:rPr>
                  </w:pPr>
                  <w:sdt>
                    <w:sdtPr>
                      <w:alias w:val="Pavadinimas"/>
                      <w:tag w:val="title_f88184b4e75f4a1aad1941e4c5a268c5"/>
                      <w:lock w:val="sdtLocked"/>
                      <w:richText/>
                    </w:sdtPr>
                    <w:sdtContent>
                      <w:r>
                        <w:rPr>
                          <w:b/>
                          <w:szCs w:val="24"/>
                        </w:rPr>
                        <w:t>SKIRSTYMO PASLAUGOS VIDUTINĖS IR ŽEMOS ĮTAMPOS TINKLAIS KAINODARA</w:t>
                      </w:r>
                    </w:sdtContent>
                  </w:sdt>
                </w:p>
                <w:p>
                  <w:pPr>
                    <w:tabs>
                      <w:tab w:val="left" w:pos="1134"/>
                      <w:tab w:val="left" w:pos="1843"/>
                      <w:tab w:val="left" w:pos="2268"/>
                    </w:tabs>
                    <w:ind w:firstLine="567"/>
                    <w:jc w:val="both"/>
                    <w:rPr>
                      <w:b/>
                      <w:szCs w:val="24"/>
                    </w:rPr>
                  </w:pPr>
                </w:p>
                <w:p>
                  <w:pPr>
                    <w:tabs>
                      <w:tab w:val="left" w:pos="1134"/>
                      <w:tab w:val="left" w:pos="1843"/>
                      <w:tab w:val="left" w:pos="2268"/>
                    </w:tabs>
                    <w:ind w:firstLine="567"/>
                    <w:jc w:val="both"/>
                    <w:rPr>
                      <w:b/>
                      <w:szCs w:val="24"/>
                    </w:rPr>
                  </w:pPr>
                </w:p>
                <w:sdt>
                  <w:sdtPr>
                    <w:alias w:val="59 p."/>
                    <w:tag w:val="part_f88cb8284b3c493890cfa56a15d40959"/>
                    <w:lock w:val="sdtLocked"/>
                    <w:richText/>
                  </w:sdtPr>
                  <w:sdtContent>
                    <w:p>
                      <w:pPr>
                        <w:tabs>
                          <w:tab w:val="left" w:pos="1080"/>
                          <w:tab w:val="left" w:pos="1843"/>
                          <w:tab w:val="left" w:pos="2268"/>
                        </w:tabs>
                        <w:ind w:firstLine="720"/>
                        <w:jc w:val="both"/>
                        <w:rPr>
                          <w:szCs w:val="24"/>
                        </w:rPr>
                      </w:pPr>
                      <w:sdt>
                        <w:sdtPr>
                          <w:alias w:val="Numeris"/>
                          <w:tag w:val="nr_f88cb8284b3c493890cfa56a15d40959"/>
                          <w:lock w:val="sdtLocked"/>
                          <w:richText/>
                        </w:sdtPr>
                        <w:sdtContent>
                          <w:r>
                            <w:rPr>
                              <w:szCs w:val="24"/>
                            </w:rPr>
                            <w:t>59</w:t>
                          </w:r>
                        </w:sdtContent>
                      </w:sdt>
                      <w:r>
                        <w:rPr>
                          <w:szCs w:val="24"/>
                        </w:rPr>
                        <w:t xml:space="preserve">. Prieš apskaičiuojant skirstymo paslaugos žemos įtampos (toliau – ŽĮ) ir vidutinės įtampos (toliau – VĮ) tinklais viršutinę kainos ribą turi būti apskaičiuotos nekoreguotos leidžiamos pajamos, o po jų – galutinės STO leidžiamos pajamos, apskaičiuojamos naudojant Modelį, kuris sumodeliuoja tinklą, atsižvelgiant į būsimą elektros energijos paklausą bei įvertinus Metodikos </w:t>
                        <w:br/>
                        <w:t>33 punkte nustatytus leidžiamų pajamų padidinimo ar sumažinimo kriterijus.</w:t>
                      </w:r>
                    </w:p>
                  </w:sdtContent>
                </w:sdt>
                <w:sdt>
                  <w:sdtPr>
                    <w:alias w:val="60 p."/>
                    <w:tag w:val="part_926f0ee2b3a543dca6cd7554c8def79b"/>
                    <w:lock w:val="sdtLocked"/>
                    <w:richText/>
                  </w:sdtPr>
                  <w:sdtContent>
                    <w:p>
                      <w:pPr>
                        <w:tabs>
                          <w:tab w:val="left" w:pos="1080"/>
                          <w:tab w:val="left" w:pos="1843"/>
                          <w:tab w:val="left" w:pos="2268"/>
                        </w:tabs>
                        <w:ind w:firstLine="720"/>
                        <w:jc w:val="both"/>
                        <w:rPr>
                          <w:szCs w:val="24"/>
                        </w:rPr>
                      </w:pPr>
                      <w:sdt>
                        <w:sdtPr>
                          <w:alias w:val="Numeris"/>
                          <w:tag w:val="nr_926f0ee2b3a543dca6cd7554c8def79b"/>
                          <w:lock w:val="sdtLocked"/>
                          <w:richText/>
                        </w:sdtPr>
                        <w:sdtContent>
                          <w:r>
                            <w:rPr>
                              <w:szCs w:val="24"/>
                            </w:rPr>
                            <w:t>60</w:t>
                          </w:r>
                        </w:sdtContent>
                      </w:sdt>
                      <w:r>
                        <w:rPr>
                          <w:szCs w:val="24"/>
                        </w:rPr>
                        <w:t>. Modelis STO leidžiamas pajamas tiesiogiai priskiria pagrindiniams tinklo elementams tarp ŽĮ ir VĮ tinklų. Kitiems tinklo elementams ir kitam turtui priskiriamos leidžiamos pajamos padauginamos iš santykinio dydžio, kuris apskaičiuojamas pagal Metodikos 61 punkte įvertintą principą.</w:t>
                      </w:r>
                    </w:p>
                  </w:sdtContent>
                </w:sdt>
                <w:sdt>
                  <w:sdtPr>
                    <w:alias w:val="61 p."/>
                    <w:tag w:val="part_3454d2ab2f1b4580b9d15221e453e257"/>
                    <w:lock w:val="sdtLocked"/>
                    <w:richText/>
                  </w:sdtPr>
                  <w:sdtContent>
                    <w:p>
                      <w:pPr>
                        <w:tabs>
                          <w:tab w:val="left" w:pos="1080"/>
                          <w:tab w:val="left" w:pos="1843"/>
                          <w:tab w:val="left" w:pos="2268"/>
                        </w:tabs>
                        <w:ind w:firstLine="720"/>
                        <w:jc w:val="both"/>
                        <w:rPr>
                          <w:szCs w:val="24"/>
                        </w:rPr>
                      </w:pPr>
                      <w:sdt>
                        <w:sdtPr>
                          <w:alias w:val="Numeris"/>
                          <w:tag w:val="nr_3454d2ab2f1b4580b9d15221e453e257"/>
                          <w:lock w:val="sdtLocked"/>
                          <w:richText/>
                        </w:sdtPr>
                        <w:sdtContent>
                          <w:r>
                            <w:rPr>
                              <w:szCs w:val="24"/>
                            </w:rPr>
                            <w:t>61</w:t>
                          </w:r>
                        </w:sdtContent>
                      </w:sdt>
                      <w:r>
                        <w:rPr>
                          <w:szCs w:val="24"/>
                        </w:rPr>
                        <w:t>. Santykinis dydis, pagal kurį paskirstomos kitų tinklo elementų ir kito turto leidžiamos pajamos tarp įtampų lygių, nustatomas pagal Modelio apskaičiuotą kitų tinklo elementų Kapitalo kaštų proporciją tarp ŽĮ ir VĮ tinklo.</w:t>
                      </w:r>
                    </w:p>
                  </w:sdtContent>
                </w:sdt>
                <w:sdt>
                  <w:sdtPr>
                    <w:alias w:val="62 p."/>
                    <w:tag w:val="part_20052088cb704200b39b7f01b3132366"/>
                    <w:lock w:val="sdtLocked"/>
                    <w:richText/>
                  </w:sdtPr>
                  <w:sdtContent>
                    <w:p>
                      <w:pPr>
                        <w:tabs>
                          <w:tab w:val="left" w:pos="1080"/>
                          <w:tab w:val="left" w:pos="1843"/>
                          <w:tab w:val="left" w:pos="2268"/>
                        </w:tabs>
                        <w:ind w:firstLine="720"/>
                        <w:jc w:val="both"/>
                        <w:rPr>
                          <w:szCs w:val="24"/>
                        </w:rPr>
                      </w:pPr>
                      <w:sdt>
                        <w:sdtPr>
                          <w:alias w:val="Numeris"/>
                          <w:tag w:val="nr_20052088cb704200b39b7f01b3132366"/>
                          <w:lock w:val="sdtLocked"/>
                          <w:richText/>
                        </w:sdtPr>
                        <w:sdtContent>
                          <w:r>
                            <w:rPr>
                              <w:szCs w:val="24"/>
                            </w:rPr>
                            <w:t>62</w:t>
                          </w:r>
                        </w:sdtContent>
                      </w:sdt>
                      <w:r>
                        <w:rPr>
                          <w:szCs w:val="24"/>
                        </w:rPr>
                        <w:t>. Modelis apskaičiuoja santykinį dydį pagal formulę:</w:t>
                      </w:r>
                    </w:p>
                    <w:p>
                      <w:pPr>
                        <w:tabs>
                          <w:tab w:val="left" w:pos="1080"/>
                          <w:tab w:val="left" w:pos="1134"/>
                          <w:tab w:val="left" w:pos="1843"/>
                          <w:tab w:val="left" w:pos="2268"/>
                        </w:tabs>
                        <w:jc w:val="both"/>
                        <w:rPr>
                          <w:szCs w:val="24"/>
                        </w:rPr>
                      </w:pPr>
                    </w:p>
                    <w:p>
                      <w:pPr>
                        <w:tabs>
                          <w:tab w:val="left" w:pos="1080"/>
                          <w:tab w:val="left" w:pos="9214"/>
                        </w:tabs>
                        <w:ind w:firstLine="1080"/>
                        <w:jc w:val="both"/>
                        <w:rPr>
                          <w:szCs w:val="24"/>
                        </w:rPr>
                      </w:pPr>
                      <m:oMath>
                        <m:sSub>
                          <m:sSubPr>
                            <m:ctrlPr>
                              <w:rPr>
                                <w:rFonts w:ascii="Cambria Math" w:hAnsi="Cambria Math"/>
                                <w:i/>
                                <w:lang w:val="en-US"/>
                              </w:rPr>
                            </m:ctrlPr>
                          </m:sSubPr>
                          <m:e>
                            <m:r>
                              <w:rPr>
                                <w:rFonts w:ascii="Cambria Math" w:hAnsi="Cambria Math"/>
                              </w:rPr>
                              <m:t>C</m:t>
                            </m:r>
                          </m:e>
                          <m:sub>
                            <m:r>
                              <w:rPr>
                                <w:rFonts w:ascii="Cambria Math" w:hAnsi="Cambria Math"/>
                              </w:rPr>
                              <m:t>LVMV</m:t>
                            </m:r>
                          </m:sub>
                        </m:sSub>
                        <m:r>
                          <w:rPr>
                            <w:rFonts w:ascii="Cambria Math" w:hAnsi="Cambria Math"/>
                          </w:rPr>
                          <m:t>=</m:t>
                        </m:r>
                        <m:f>
                          <m:fPr>
                            <m:ctrlPr>
                              <w:rPr>
                                <w:rFonts w:ascii="Cambria Math" w:hAnsi="Cambria Math"/>
                                <w:i/>
                                <w:lang w:val="en-US"/>
                              </w:rPr>
                            </m:ctrlPr>
                          </m:fPr>
                          <m:num>
                            <m:sSub>
                              <m:sSubPr>
                                <m:ctrlPr>
                                  <w:rPr>
                                    <w:rFonts w:ascii="Cambria Math" w:hAnsi="Cambria Math"/>
                                    <w:i/>
                                    <w:lang w:val="en-US"/>
                                  </w:rPr>
                                </m:ctrlPr>
                              </m:sSubPr>
                              <m:e>
                                <m:r>
                                  <w:rPr>
                                    <w:rFonts w:ascii="Cambria Math" w:hAnsi="Cambria Math"/>
                                  </w:rPr>
                                  <m:t>LRAIC</m:t>
                                </m:r>
                              </m:e>
                              <m:sub>
                                <m:r>
                                  <w:rPr>
                                    <w:rFonts w:ascii="Cambria Math" w:hAnsi="Cambria Math"/>
                                  </w:rPr>
                                  <m:t>DSOLVONWCX</m:t>
                                </m:r>
                              </m:sub>
                            </m:sSub>
                            <m:r>
                              <w:rPr>
                                <w:rFonts w:ascii="Cambria Math" w:hAnsi="Cambria Math"/>
                              </w:rPr>
                              <m:t xml:space="preserve"> </m:t>
                            </m:r>
                            <m:r>
                              <w:rPr>
                                <w:rFonts w:ascii="Cambria Math" w:hAnsi="Cambria Math"/>
                              </w:rPr>
                              <m:t>arb</m:t>
                            </m:r>
                            <m:r>
                              <w:rPr>
                                <w:rFonts w:ascii="Cambria Math" w:hAnsi="Cambria Math"/>
                              </w:rPr>
                              <m:t>a</m:t>
                            </m:r>
                            <m:r>
                              <w:rPr>
                                <w:rFonts w:ascii="Cambria Math" w:hAnsi="Cambria Math"/>
                              </w:rPr>
                              <m:t xml:space="preserve"> </m:t>
                            </m:r>
                            <m:sSub>
                              <m:sSubPr>
                                <m:ctrlPr>
                                  <w:rPr>
                                    <w:rFonts w:ascii="Cambria Math" w:hAnsi="Cambria Math"/>
                                    <w:i/>
                                    <w:lang w:val="en-US"/>
                                  </w:rPr>
                                </m:ctrlPr>
                              </m:sSubPr>
                              <m:e>
                                <m:r>
                                  <w:rPr>
                                    <w:rFonts w:ascii="Cambria Math" w:hAnsi="Cambria Math"/>
                                  </w:rPr>
                                  <m:t>LRAIC</m:t>
                                </m:r>
                              </m:e>
                              <m:sub>
                                <m:r>
                                  <w:rPr>
                                    <w:rFonts w:ascii="Cambria Math" w:hAnsi="Cambria Math"/>
                                  </w:rPr>
                                  <m:t>DSOMVONWCX</m:t>
                                </m:r>
                              </m:sub>
                            </m:sSub>
                            <m:r>
                              <w:rPr>
                                <w:rFonts w:ascii="Cambria Math" w:hAnsi="Cambria Math"/>
                              </w:rPr>
                              <m:t xml:space="preserve"> </m:t>
                            </m:r>
                          </m:num>
                          <m:den>
                            <m:sSub>
                              <m:sSubPr>
                                <m:ctrlPr>
                                  <w:rPr>
                                    <w:rFonts w:ascii="Cambria Math" w:hAnsi="Cambria Math"/>
                                    <w:i/>
                                    <w:lang w:val="en-US"/>
                                  </w:rPr>
                                </m:ctrlPr>
                              </m:sSubPr>
                              <m:e>
                                <m:r>
                                  <w:rPr>
                                    <w:rFonts w:ascii="Cambria Math" w:hAnsi="Cambria Math"/>
                                  </w:rPr>
                                  <m:t>LRAIC</m:t>
                                </m:r>
                              </m:e>
                              <m:sub>
                                <m:r>
                                  <w:rPr>
                                    <w:rFonts w:ascii="Cambria Math" w:hAnsi="Cambria Math"/>
                                  </w:rPr>
                                  <m:t>DSOLVONWCX</m:t>
                                </m:r>
                              </m:sub>
                            </m:sSub>
                            <m:r>
                              <w:rPr>
                                <w:rFonts w:ascii="Cambria Math" w:hAnsi="Cambria Math"/>
                              </w:rPr>
                              <m:t>+</m:t>
                            </m:r>
                            <m:sSub>
                              <m:sSubPr>
                                <m:ctrlPr>
                                  <w:rPr>
                                    <w:rFonts w:ascii="Cambria Math" w:hAnsi="Cambria Math"/>
                                    <w:i/>
                                    <w:lang w:val="en-US"/>
                                  </w:rPr>
                                </m:ctrlPr>
                              </m:sSubPr>
                              <m:e>
                                <m:r>
                                  <w:rPr>
                                    <w:rFonts w:ascii="Cambria Math" w:hAnsi="Cambria Math"/>
                                  </w:rPr>
                                  <m:t>LRAIC</m:t>
                                </m:r>
                              </m:e>
                              <m:sub>
                                <m:r>
                                  <w:rPr>
                                    <w:rFonts w:ascii="Cambria Math" w:hAnsi="Cambria Math"/>
                                  </w:rPr>
                                  <m:t>DSOMVONWCX</m:t>
                                </m:r>
                              </m:sub>
                            </m:sSub>
                          </m:den>
                        </m:f>
                      </m:oMath>
                      <w:r>
                        <w:rPr>
                          <w:lang w:val="en-US"/>
                        </w:rPr>
                        <w:tab/>
                      </w:r>
                      <w:r>
                        <w:rPr>
                          <w:szCs w:val="24"/>
                        </w:rPr>
                        <w:t>(27)</w:t>
                      </w:r>
                    </w:p>
                    <w:p>
                      <w:pPr>
                        <w:tabs>
                          <w:tab w:val="left" w:pos="1080"/>
                          <w:tab w:val="left" w:pos="9214"/>
                        </w:tabs>
                        <w:jc w:val="both"/>
                        <w:rPr>
                          <w:szCs w:val="24"/>
                        </w:rPr>
                      </w:pPr>
                    </w:p>
                    <w:p>
                      <w:pPr>
                        <w:tabs>
                          <w:tab w:val="left" w:pos="1080"/>
                          <w:tab w:val="left" w:pos="1134"/>
                          <w:tab w:val="left" w:pos="1843"/>
                          <w:tab w:val="left" w:pos="2268"/>
                        </w:tabs>
                        <w:jc w:val="both"/>
                        <w:rPr>
                          <w:i/>
                          <w:szCs w:val="24"/>
                        </w:rPr>
                      </w:pPr>
                      <w:r>
                        <w:rPr>
                          <w:i/>
                          <w:szCs w:val="24"/>
                        </w:rPr>
                        <w:t>čia:</w:t>
                      </w:r>
                    </w:p>
                    <w:p>
                      <w:pPr>
                        <w:tabs>
                          <w:tab w:val="left" w:pos="1080"/>
                          <w:tab w:val="left" w:pos="1134"/>
                          <w:tab w:val="left" w:pos="1843"/>
                          <w:tab w:val="left" w:pos="2268"/>
                        </w:tabs>
                        <w:jc w:val="both"/>
                        <w:rPr>
                          <w:szCs w:val="24"/>
                        </w:rPr>
                      </w:pPr>
                      <w:r>
                        <w:rPr>
                          <w:szCs w:val="24"/>
                        </w:rPr>
                        <w:t>C</w:t>
                      </w:r>
                      <w:r>
                        <w:rPr>
                          <w:szCs w:val="24"/>
                          <w:vertAlign w:val="subscript"/>
                        </w:rPr>
                        <w:t>LVMV</w:t>
                      </w:r>
                      <w:r>
                        <w:rPr>
                          <w:szCs w:val="24"/>
                        </w:rPr>
                        <w:t xml:space="preserve"> – ŽĮ ir VĮ santykis, pagal kurį paskirstomos kitų tinklo elementų ir kito turto leistinos pajamos pagal įtampas;</w:t>
                      </w:r>
                    </w:p>
                    <w:p>
                      <w:pPr>
                        <w:tabs>
                          <w:tab w:val="left" w:pos="1080"/>
                          <w:tab w:val="left" w:pos="1134"/>
                          <w:tab w:val="left" w:pos="1843"/>
                          <w:tab w:val="left" w:pos="2268"/>
                        </w:tabs>
                        <w:jc w:val="both"/>
                        <w:rPr>
                          <w:szCs w:val="24"/>
                        </w:rPr>
                      </w:pPr>
                      <w:r>
                        <w:rPr>
                          <w:szCs w:val="24"/>
                        </w:rPr>
                        <w:t>LRAIC</w:t>
                      </w:r>
                      <w:r>
                        <w:rPr>
                          <w:szCs w:val="24"/>
                          <w:vertAlign w:val="subscript"/>
                        </w:rPr>
                        <w:t>DSOLVONWCX</w:t>
                      </w:r>
                      <w:r>
                        <w:rPr>
                          <w:szCs w:val="24"/>
                        </w:rPr>
                        <w:t xml:space="preserve"> –Modelio sumodeliuoti Kapitalo kaštai ŽĮ kitiems tinklo elementams;</w:t>
                      </w:r>
                    </w:p>
                    <w:p>
                      <w:pPr>
                        <w:tabs>
                          <w:tab w:val="left" w:pos="1080"/>
                          <w:tab w:val="left" w:pos="1134"/>
                          <w:tab w:val="left" w:pos="1843"/>
                          <w:tab w:val="left" w:pos="2268"/>
                        </w:tabs>
                        <w:jc w:val="both"/>
                        <w:rPr>
                          <w:szCs w:val="24"/>
                        </w:rPr>
                      </w:pPr>
                      <w:r>
                        <w:rPr>
                          <w:szCs w:val="24"/>
                        </w:rPr>
                        <w:t>LRAIC</w:t>
                      </w:r>
                      <w:r>
                        <w:rPr>
                          <w:szCs w:val="24"/>
                          <w:vertAlign w:val="subscript"/>
                        </w:rPr>
                        <w:t>DSOMVONWCX</w:t>
                      </w:r>
                      <w:r>
                        <w:rPr>
                          <w:szCs w:val="24"/>
                        </w:rPr>
                        <w:t xml:space="preserve"> –Modelio sumodeliuoti Kapitalo kaštai VĮ kitiems tinklo elementams.</w:t>
                      </w:r>
                    </w:p>
                  </w:sdtContent>
                </w:sdt>
                <w:sdt>
                  <w:sdtPr>
                    <w:alias w:val="63 p."/>
                    <w:tag w:val="part_d7dae9dd67c147c5a381c51ec83318a6"/>
                    <w:lock w:val="sdtLocked"/>
                    <w:richText/>
                  </w:sdtPr>
                  <w:sdtContent>
                    <w:p>
                      <w:pPr>
                        <w:tabs>
                          <w:tab w:val="left" w:pos="1080"/>
                          <w:tab w:val="left" w:pos="1134"/>
                          <w:tab w:val="left" w:pos="1843"/>
                          <w:tab w:val="left" w:pos="2268"/>
                        </w:tabs>
                        <w:ind w:firstLine="720"/>
                        <w:jc w:val="both"/>
                        <w:rPr>
                          <w:szCs w:val="24"/>
                        </w:rPr>
                      </w:pPr>
                      <w:sdt>
                        <w:sdtPr>
                          <w:alias w:val="Numeris"/>
                          <w:tag w:val="nr_d7dae9dd67c147c5a381c51ec83318a6"/>
                          <w:lock w:val="sdtLocked"/>
                          <w:richText/>
                        </w:sdtPr>
                        <w:sdtContent>
                          <w:r>
                            <w:rPr>
                              <w:szCs w:val="24"/>
                            </w:rPr>
                            <w:t>63</w:t>
                          </w:r>
                        </w:sdtContent>
                      </w:sdt>
                      <w:r>
                        <w:rPr>
                          <w:szCs w:val="24"/>
                        </w:rPr>
                        <w:t>. ŽĮ ir VĮ kitų tinklo elementų ir kito turto sumodeliuotos leidžiamos pajamos apskaičiuojamos nuo bendrų STO kitų tinklo elementų ir kito turto sumodeliuotų leidžiamų pajamų, pritaikant nešiklį pagal formules:</w:t>
                      </w:r>
                    </w:p>
                    <w:sdt>
                      <w:sdtPr>
                        <w:alias w:val="63.1 p."/>
                        <w:tag w:val="part_b03bd65cd26f40b8b1715de59d9f6cd1"/>
                        <w:lock w:val="sdtLocked"/>
                        <w:richText/>
                      </w:sdtPr>
                      <w:sdtContent>
                        <w:p>
                          <w:pPr>
                            <w:tabs>
                              <w:tab w:val="left" w:pos="1260"/>
                              <w:tab w:val="left" w:pos="1843"/>
                              <w:tab w:val="left" w:pos="2268"/>
                            </w:tabs>
                            <w:ind w:firstLine="720"/>
                            <w:jc w:val="both"/>
                            <w:rPr>
                              <w:szCs w:val="24"/>
                            </w:rPr>
                          </w:pPr>
                          <w:sdt>
                            <w:sdtPr>
                              <w:alias w:val="Numeris"/>
                              <w:tag w:val="nr_b03bd65cd26f40b8b1715de59d9f6cd1"/>
                              <w:lock w:val="sdtLocked"/>
                              <w:richText/>
                            </w:sdtPr>
                            <w:sdtContent>
                              <w:r>
                                <w:rPr>
                                  <w:szCs w:val="24"/>
                                </w:rPr>
                                <w:t>63.1</w:t>
                              </w:r>
                            </w:sdtContent>
                          </w:sdt>
                          <w:r>
                            <w:rPr>
                              <w:szCs w:val="24"/>
                            </w:rPr>
                            <w:t>. ŽĮ kitų tinklo elementų ir kito turto metiniai Kapitalo kaštai:</w:t>
                          </w:r>
                        </w:p>
                        <w:p>
                          <w:pPr>
                            <w:tabs>
                              <w:tab w:val="left" w:pos="1260"/>
                              <w:tab w:val="left" w:pos="1843"/>
                              <w:tab w:val="left" w:pos="2268"/>
                            </w:tabs>
                            <w:jc w:val="both"/>
                            <w:rPr>
                              <w:szCs w:val="24"/>
                            </w:rPr>
                          </w:pPr>
                        </w:p>
                        <w:p>
                          <w:pPr>
                            <w:tabs>
                              <w:tab w:val="left" w:pos="1260"/>
                              <w:tab w:val="left" w:pos="9214"/>
                            </w:tabs>
                            <w:ind w:firstLine="1260"/>
                            <w:jc w:val="both"/>
                            <w:rPr>
                              <w:szCs w:val="24"/>
                            </w:rPr>
                          </w:pPr>
                          <m:oMath>
                            <m:sSub>
                              <m:sSubPr>
                                <m:ctrlPr>
                                  <w:rPr>
                                    <w:rFonts w:ascii="Cambria Math" w:hAnsi="Cambria Math"/>
                                    <w:i/>
                                  </w:rPr>
                                </m:ctrlPr>
                              </m:sSubPr>
                              <m:e>
                                <m:r>
                                  <w:rPr>
                                    <w:rFonts w:ascii="Cambria Math" w:hAnsi="Cambria Math"/>
                                  </w:rPr>
                                  <m:t>LRAIC</m:t>
                                </m:r>
                              </m:e>
                              <m:sub>
                                <m:r>
                                  <w:rPr>
                                    <w:rFonts w:ascii="Cambria Math" w:hAnsi="Cambria Math"/>
                                  </w:rPr>
                                  <m:t>DSOLVONWAACX</m:t>
                                </m:r>
                              </m:sub>
                            </m:sSub>
                            <m:r>
                              <w:rPr>
                                <w:rFonts w:ascii="Cambria Math" w:hAnsi="Cambria Math"/>
                              </w:rPr>
                              <m:t>=</m:t>
                            </m:r>
                            <m:sSub>
                              <m:sSubPr>
                                <m:ctrlPr>
                                  <w:rPr>
                                    <w:rFonts w:ascii="Cambria Math" w:hAnsi="Cambria Math"/>
                                    <w:i/>
                                  </w:rPr>
                                </m:ctrlPr>
                              </m:sSubPr>
                              <m:e>
                                <m:r>
                                  <w:rPr>
                                    <w:rFonts w:ascii="Cambria Math" w:hAnsi="Cambria Math"/>
                                  </w:rPr>
                                  <m:t>C</m:t>
                                </m:r>
                              </m:e>
                              <m:sub>
                                <m:r>
                                  <w:rPr>
                                    <w:rFonts w:ascii="Cambria Math" w:hAnsi="Cambria Math"/>
                                  </w:rPr>
                                  <m:t>LVMV</m:t>
                                </m:r>
                              </m:sub>
                            </m:sSub>
                            <m:r>
                              <w:rPr>
                                <w:rFonts w:ascii="Cambria Math" w:hAnsi="Cambria Math"/>
                              </w:rPr>
                              <m:t>×</m:t>
                            </m:r>
                            <m:sSub>
                              <m:sSubPr>
                                <m:ctrlPr>
                                  <w:rPr>
                                    <w:rFonts w:ascii="Cambria Math" w:hAnsi="Cambria Math"/>
                                    <w:i/>
                                  </w:rPr>
                                </m:ctrlPr>
                              </m:sSubPr>
                              <m:e>
                                <m:r>
                                  <w:rPr>
                                    <w:rFonts w:ascii="Cambria Math" w:hAnsi="Cambria Math"/>
                                  </w:rPr>
                                  <m:t>LRAIC</m:t>
                                </m:r>
                              </m:e>
                              <m:sub>
                                <m:r>
                                  <w:rPr>
                                    <w:rFonts w:ascii="Cambria Math" w:hAnsi="Cambria Math"/>
                                  </w:rPr>
                                  <m:t>DSOONWAACX</m:t>
                                </m:r>
                              </m:sub>
                            </m:sSub>
                          </m:oMath>
                          <w:r>
                            <w:tab/>
                          </w:r>
                          <w:r>
                            <w:rPr>
                              <w:szCs w:val="24"/>
                            </w:rPr>
                            <w:t>(28)</w:t>
                          </w:r>
                        </w:p>
                        <w:p>
                          <w:pPr>
                            <w:tabs>
                              <w:tab w:val="left" w:pos="1260"/>
                              <w:tab w:val="left" w:pos="1843"/>
                              <w:tab w:val="left" w:pos="2268"/>
                            </w:tabs>
                            <w:jc w:val="both"/>
                            <w:rPr>
                              <w:szCs w:val="24"/>
                            </w:rPr>
                          </w:pPr>
                        </w:p>
                      </w:sdtContent>
                    </w:sdt>
                    <w:sdt>
                      <w:sdtPr>
                        <w:alias w:val="63.2 p."/>
                        <w:tag w:val="part_2b3e8a0bd5554d869bcfc66ee0b98a65"/>
                        <w:lock w:val="sdtLocked"/>
                        <w:richText/>
                      </w:sdtPr>
                      <w:sdtContent>
                        <w:p>
                          <w:pPr>
                            <w:tabs>
                              <w:tab w:val="left" w:pos="1260"/>
                              <w:tab w:val="left" w:pos="1843"/>
                              <w:tab w:val="left" w:pos="2268"/>
                            </w:tabs>
                            <w:ind w:firstLine="720"/>
                            <w:jc w:val="both"/>
                            <w:rPr>
                              <w:szCs w:val="24"/>
                            </w:rPr>
                          </w:pPr>
                          <w:sdt>
                            <w:sdtPr>
                              <w:alias w:val="Numeris"/>
                              <w:tag w:val="nr_2b3e8a0bd5554d869bcfc66ee0b98a65"/>
                              <w:lock w:val="sdtLocked"/>
                              <w:richText/>
                            </w:sdtPr>
                            <w:sdtContent>
                              <w:r>
                                <w:rPr>
                                  <w:szCs w:val="24"/>
                                </w:rPr>
                                <w:t>63.2</w:t>
                              </w:r>
                            </w:sdtContent>
                          </w:sdt>
                          <w:r>
                            <w:rPr>
                              <w:szCs w:val="24"/>
                            </w:rPr>
                            <w:t>. VĮ kitų tinklo elementų ir kito turto metiniai Kapitalo kaštai:</w:t>
                          </w:r>
                        </w:p>
                        <w:p>
                          <w:pPr>
                            <w:tabs>
                              <w:tab w:val="left" w:pos="1260"/>
                              <w:tab w:val="left" w:pos="1843"/>
                              <w:tab w:val="left" w:pos="2268"/>
                            </w:tabs>
                            <w:jc w:val="both"/>
                            <w:rPr>
                              <w:szCs w:val="24"/>
                            </w:rPr>
                          </w:pPr>
                        </w:p>
                        <w:p>
                          <w:pPr>
                            <w:tabs>
                              <w:tab w:val="left" w:pos="1260"/>
                              <w:tab w:val="left" w:pos="9214"/>
                            </w:tabs>
                            <w:ind w:firstLine="1260"/>
                            <w:jc w:val="both"/>
                            <w:rPr>
                              <w:szCs w:val="24"/>
                            </w:rPr>
                          </w:pPr>
                          <m:oMath>
                            <m:sSub>
                              <m:sSubPr>
                                <m:ctrlPr>
                                  <w:rPr>
                                    <w:rFonts w:ascii="Cambria Math" w:hAnsi="Cambria Math"/>
                                    <w:i/>
                                  </w:rPr>
                                </m:ctrlPr>
                              </m:sSubPr>
                              <m:e>
                                <m:r>
                                  <w:rPr>
                                    <w:rFonts w:ascii="Cambria Math" w:hAnsi="Cambria Math"/>
                                  </w:rPr>
                                  <m:t>LRAIC</m:t>
                                </m:r>
                              </m:e>
                              <m:sub>
                                <m:r>
                                  <w:rPr>
                                    <w:rFonts w:ascii="Cambria Math" w:hAnsi="Cambria Math"/>
                                  </w:rPr>
                                  <m:t>DSOMVONWAACX</m:t>
                                </m:r>
                              </m:sub>
                            </m:sSub>
                            <m:r>
                              <w:rPr>
                                <w:rFonts w:ascii="Cambria Math" w:hAnsi="Cambria Math"/>
                              </w:rPr>
                              <m:t>=(1-</m:t>
                            </m:r>
                            <m:sSub>
                              <m:sSubPr>
                                <m:ctrlPr>
                                  <w:rPr>
                                    <w:rFonts w:ascii="Cambria Math" w:hAnsi="Cambria Math"/>
                                    <w:i/>
                                  </w:rPr>
                                </m:ctrlPr>
                              </m:sSubPr>
                              <m:e>
                                <m:r>
                                  <w:rPr>
                                    <w:rFonts w:ascii="Cambria Math" w:hAnsi="Cambria Math"/>
                                  </w:rPr>
                                  <m:t>C</m:t>
                                </m:r>
                              </m:e>
                              <m:sub>
                                <m:r>
                                  <w:rPr>
                                    <w:rFonts w:ascii="Cambria Math" w:hAnsi="Cambria Math"/>
                                  </w:rPr>
                                  <m:t>LVMV</m:t>
                                </m:r>
                              </m:sub>
                            </m:sSub>
                            <m:r>
                              <w:rPr>
                                <w:rFonts w:ascii="Cambria Math" w:hAnsi="Cambria Math"/>
                              </w:rPr>
                              <m:t>)×</m:t>
                            </m:r>
                            <m:sSub>
                              <m:sSubPr>
                                <m:ctrlPr>
                                  <w:rPr>
                                    <w:rFonts w:ascii="Cambria Math" w:hAnsi="Cambria Math"/>
                                    <w:i/>
                                  </w:rPr>
                                </m:ctrlPr>
                              </m:sSubPr>
                              <m:e>
                                <m:r>
                                  <w:rPr>
                                    <w:rFonts w:ascii="Cambria Math" w:hAnsi="Cambria Math"/>
                                  </w:rPr>
                                  <m:t>LRAIC</m:t>
                                </m:r>
                              </m:e>
                              <m:sub>
                                <m:r>
                                  <w:rPr>
                                    <w:rFonts w:ascii="Cambria Math" w:hAnsi="Cambria Math"/>
                                  </w:rPr>
                                  <m:t>DSOONWAACX</m:t>
                                </m:r>
                              </m:sub>
                            </m:sSub>
                          </m:oMath>
                          <w:r>
                            <w:tab/>
                          </w:r>
                          <w:r>
                            <w:rPr>
                              <w:szCs w:val="24"/>
                            </w:rPr>
                            <w:t>(29)</w:t>
                          </w:r>
                        </w:p>
                        <w:p>
                          <w:pPr>
                            <w:tabs>
                              <w:tab w:val="left" w:pos="1260"/>
                              <w:tab w:val="left" w:pos="1843"/>
                              <w:tab w:val="left" w:pos="2268"/>
                            </w:tabs>
                            <w:jc w:val="both"/>
                            <w:rPr>
                              <w:szCs w:val="24"/>
                            </w:rPr>
                          </w:pPr>
                        </w:p>
                      </w:sdtContent>
                    </w:sdt>
                    <w:sdt>
                      <w:sdtPr>
                        <w:alias w:val="63.3 p."/>
                        <w:tag w:val="part_7b4fe49815774337a2fe0b64179f56c7"/>
                        <w:lock w:val="sdtLocked"/>
                        <w:richText/>
                      </w:sdtPr>
                      <w:sdtContent>
                        <w:p>
                          <w:pPr>
                            <w:tabs>
                              <w:tab w:val="left" w:pos="1260"/>
                              <w:tab w:val="left" w:pos="1843"/>
                              <w:tab w:val="left" w:pos="2268"/>
                            </w:tabs>
                            <w:ind w:firstLine="720"/>
                            <w:jc w:val="both"/>
                            <w:rPr>
                              <w:szCs w:val="24"/>
                            </w:rPr>
                          </w:pPr>
                          <w:sdt>
                            <w:sdtPr>
                              <w:alias w:val="Numeris"/>
                              <w:tag w:val="nr_7b4fe49815774337a2fe0b64179f56c7"/>
                              <w:lock w:val="sdtLocked"/>
                              <w:richText/>
                            </w:sdtPr>
                            <w:sdtContent>
                              <w:r>
                                <w:rPr>
                                  <w:szCs w:val="24"/>
                                </w:rPr>
                                <w:t>63.3</w:t>
                              </w:r>
                            </w:sdtContent>
                          </w:sdt>
                          <w:r>
                            <w:rPr>
                              <w:szCs w:val="24"/>
                            </w:rPr>
                            <w:t>. ŽĮ kitų tinklo elementų ir kito turto metinis OPEX:</w:t>
                          </w:r>
                        </w:p>
                        <w:p>
                          <w:pPr>
                            <w:tabs>
                              <w:tab w:val="left" w:pos="1260"/>
                              <w:tab w:val="left" w:pos="1843"/>
                              <w:tab w:val="left" w:pos="2268"/>
                            </w:tabs>
                            <w:jc w:val="both"/>
                            <w:rPr>
                              <w:szCs w:val="24"/>
                            </w:rPr>
                          </w:pPr>
                        </w:p>
                        <w:p>
                          <w:pPr>
                            <w:tabs>
                              <w:tab w:val="left" w:pos="1260"/>
                              <w:tab w:val="left" w:pos="9214"/>
                            </w:tabs>
                            <w:ind w:firstLine="1260"/>
                            <w:jc w:val="both"/>
                            <w:rPr>
                              <w:szCs w:val="24"/>
                            </w:rPr>
                          </w:pPr>
                          <m:oMath>
                            <m:sSub>
                              <m:sSubPr>
                                <m:ctrlPr>
                                  <w:rPr>
                                    <w:rFonts w:ascii="Cambria Math" w:hAnsi="Cambria Math"/>
                                    <w:i/>
                                  </w:rPr>
                                </m:ctrlPr>
                              </m:sSubPr>
                              <m:e>
                                <m:r>
                                  <w:rPr>
                                    <w:rFonts w:ascii="Cambria Math" w:hAnsi="Cambria Math"/>
                                  </w:rPr>
                                  <m:t>LRAIC</m:t>
                                </m:r>
                              </m:e>
                              <m:sub>
                                <m:r>
                                  <w:rPr>
                                    <w:rFonts w:ascii="Cambria Math" w:hAnsi="Cambria Math"/>
                                  </w:rPr>
                                  <m:t>DSOLVONWAOX</m:t>
                                </m:r>
                              </m:sub>
                            </m:sSub>
                            <m:r>
                              <w:rPr>
                                <w:rFonts w:ascii="Cambria Math" w:hAnsi="Cambria Math"/>
                              </w:rPr>
                              <m:t>=</m:t>
                            </m:r>
                            <m:sSub>
                              <m:sSubPr>
                                <m:ctrlPr>
                                  <w:rPr>
                                    <w:rFonts w:ascii="Cambria Math" w:hAnsi="Cambria Math"/>
                                    <w:i/>
                                  </w:rPr>
                                </m:ctrlPr>
                              </m:sSubPr>
                              <m:e>
                                <m:r>
                                  <w:rPr>
                                    <w:rFonts w:ascii="Cambria Math" w:hAnsi="Cambria Math"/>
                                  </w:rPr>
                                  <m:t>C</m:t>
                                </m:r>
                              </m:e>
                              <m:sub>
                                <m:r>
                                  <w:rPr>
                                    <w:rFonts w:ascii="Cambria Math" w:hAnsi="Cambria Math"/>
                                  </w:rPr>
                                  <m:t>LVMV</m:t>
                                </m:r>
                              </m:sub>
                            </m:sSub>
                            <m:r>
                              <w:rPr>
                                <w:rFonts w:ascii="Cambria Math" w:hAnsi="Cambria Math"/>
                              </w:rPr>
                              <m:t>×</m:t>
                            </m:r>
                            <m:sSub>
                              <m:sSubPr>
                                <m:ctrlPr>
                                  <w:rPr>
                                    <w:rFonts w:ascii="Cambria Math" w:hAnsi="Cambria Math"/>
                                    <w:i/>
                                  </w:rPr>
                                </m:ctrlPr>
                              </m:sSubPr>
                              <m:e>
                                <m:r>
                                  <w:rPr>
                                    <w:rFonts w:ascii="Cambria Math" w:hAnsi="Cambria Math"/>
                                  </w:rPr>
                                  <m:t>LRAIC</m:t>
                                </m:r>
                              </m:e>
                              <m:sub>
                                <m:r>
                                  <w:rPr>
                                    <w:rFonts w:ascii="Cambria Math" w:hAnsi="Cambria Math"/>
                                  </w:rPr>
                                  <m:t>DSOONWAOX</m:t>
                                </m:r>
                              </m:sub>
                            </m:sSub>
                          </m:oMath>
                          <w:r>
                            <w:tab/>
                          </w:r>
                          <w:r>
                            <w:rPr>
                              <w:szCs w:val="24"/>
                            </w:rPr>
                            <w:t>(30)</w:t>
                          </w:r>
                        </w:p>
                        <w:p>
                          <w:pPr>
                            <w:tabs>
                              <w:tab w:val="left" w:pos="1134"/>
                              <w:tab w:val="left" w:pos="1843"/>
                              <w:tab w:val="left" w:pos="2268"/>
                            </w:tabs>
                            <w:jc w:val="both"/>
                            <w:rPr>
                              <w:szCs w:val="24"/>
                            </w:rPr>
                          </w:pPr>
                        </w:p>
                      </w:sdtContent>
                    </w:sdt>
                    <w:sdt>
                      <w:sdtPr>
                        <w:alias w:val="63.4 p."/>
                        <w:tag w:val="part_35ce636404b6471ca9d476b866e0a01e"/>
                        <w:lock w:val="sdtLocked"/>
                        <w:richText/>
                      </w:sdtPr>
                      <w:sdtContent>
                        <w:p>
                          <w:pPr>
                            <w:tabs>
                              <w:tab w:val="left" w:pos="1260"/>
                              <w:tab w:val="left" w:pos="1843"/>
                              <w:tab w:val="left" w:pos="2268"/>
                            </w:tabs>
                            <w:ind w:firstLine="720"/>
                            <w:jc w:val="both"/>
                            <w:rPr>
                              <w:szCs w:val="24"/>
                            </w:rPr>
                          </w:pPr>
                          <w:sdt>
                            <w:sdtPr>
                              <w:alias w:val="Numeris"/>
                              <w:tag w:val="nr_35ce636404b6471ca9d476b866e0a01e"/>
                              <w:lock w:val="sdtLocked"/>
                              <w:richText/>
                            </w:sdtPr>
                            <w:sdtContent>
                              <w:r>
                                <w:rPr>
                                  <w:szCs w:val="24"/>
                                </w:rPr>
                                <w:t>63.4</w:t>
                              </w:r>
                            </w:sdtContent>
                          </w:sdt>
                          <w:r>
                            <w:rPr>
                              <w:szCs w:val="24"/>
                            </w:rPr>
                            <w:t>. VĮ kitų tinklo elementų ir kito turto metinis OPEX:</w:t>
                          </w:r>
                        </w:p>
                        <w:p>
                          <w:pPr>
                            <w:tabs>
                              <w:tab w:val="left" w:pos="1134"/>
                              <w:tab w:val="left" w:pos="1843"/>
                              <w:tab w:val="left" w:pos="2268"/>
                            </w:tabs>
                            <w:jc w:val="both"/>
                            <w:rPr>
                              <w:szCs w:val="24"/>
                            </w:rPr>
                          </w:pPr>
                        </w:p>
                        <w:p>
                          <w:pPr>
                            <w:tabs>
                              <w:tab w:val="left" w:pos="1134"/>
                              <w:tab w:val="left" w:pos="9214"/>
                            </w:tabs>
                            <w:ind w:firstLine="1134"/>
                            <w:jc w:val="both"/>
                            <w:rPr>
                              <w:szCs w:val="24"/>
                            </w:rPr>
                          </w:pPr>
                          <m:oMath>
                            <m:sSub>
                              <m:sSubPr>
                                <m:ctrlPr>
                                  <w:rPr>
                                    <w:rFonts w:ascii="Cambria Math" w:hAnsi="Cambria Math"/>
                                    <w:i/>
                                  </w:rPr>
                                </m:ctrlPr>
                              </m:sSubPr>
                              <m:e>
                                <m:r>
                                  <w:rPr>
                                    <w:rFonts w:ascii="Cambria Math" w:hAnsi="Cambria Math"/>
                                  </w:rPr>
                                  <m:t>LRAIC</m:t>
                                </m:r>
                              </m:e>
                              <m:sub>
                                <m:r>
                                  <w:rPr>
                                    <w:rFonts w:ascii="Cambria Math" w:hAnsi="Cambria Math"/>
                                  </w:rPr>
                                  <m:t>DSOMVONWAOX</m:t>
                                </m:r>
                              </m:sub>
                            </m:sSub>
                            <m:r>
                              <w:rPr>
                                <w:rFonts w:ascii="Cambria Math" w:hAnsi="Cambria Math"/>
                              </w:rPr>
                              <m:t>=(1-</m:t>
                            </m:r>
                            <m:sSub>
                              <m:sSubPr>
                                <m:ctrlPr>
                                  <w:rPr>
                                    <w:rFonts w:ascii="Cambria Math" w:hAnsi="Cambria Math"/>
                                    <w:i/>
                                  </w:rPr>
                                </m:ctrlPr>
                              </m:sSubPr>
                              <m:e>
                                <m:r>
                                  <w:rPr>
                                    <w:rFonts w:ascii="Cambria Math" w:hAnsi="Cambria Math"/>
                                  </w:rPr>
                                  <m:t>C</m:t>
                                </m:r>
                              </m:e>
                              <m:sub>
                                <m:r>
                                  <w:rPr>
                                    <w:rFonts w:ascii="Cambria Math" w:hAnsi="Cambria Math"/>
                                  </w:rPr>
                                  <m:t>LVMV</m:t>
                                </m:r>
                              </m:sub>
                            </m:sSub>
                            <m:r>
                              <w:rPr>
                                <w:rFonts w:ascii="Cambria Math" w:hAnsi="Cambria Math"/>
                              </w:rPr>
                              <m:t>)×</m:t>
                            </m:r>
                            <m:sSub>
                              <m:sSubPr>
                                <m:ctrlPr>
                                  <w:rPr>
                                    <w:rFonts w:ascii="Cambria Math" w:hAnsi="Cambria Math"/>
                                    <w:i/>
                                  </w:rPr>
                                </m:ctrlPr>
                              </m:sSubPr>
                              <m:e>
                                <m:r>
                                  <w:rPr>
                                    <w:rFonts w:ascii="Cambria Math" w:hAnsi="Cambria Math"/>
                                  </w:rPr>
                                  <m:t>LRAIC</m:t>
                                </m:r>
                              </m:e>
                              <m:sub>
                                <m:r>
                                  <w:rPr>
                                    <w:rFonts w:ascii="Cambria Math" w:hAnsi="Cambria Math"/>
                                  </w:rPr>
                                  <m:t>DSOONWAOX</m:t>
                                </m:r>
                              </m:sub>
                            </m:sSub>
                          </m:oMath>
                          <w:r>
                            <w:tab/>
                          </w:r>
                          <w:r>
                            <w:rPr>
                              <w:szCs w:val="24"/>
                            </w:rPr>
                            <w:t>(31)</w:t>
                          </w:r>
                        </w:p>
                        <w:p>
                          <w:pPr>
                            <w:tabs>
                              <w:tab w:val="left" w:pos="1134"/>
                              <w:tab w:val="left" w:pos="1843"/>
                              <w:tab w:val="left" w:pos="2268"/>
                            </w:tabs>
                            <w:jc w:val="both"/>
                            <w:rPr>
                              <w:szCs w:val="24"/>
                            </w:rPr>
                          </w:pPr>
                        </w:p>
                        <w:p>
                          <w:pPr>
                            <w:tabs>
                              <w:tab w:val="left" w:pos="1134"/>
                              <w:tab w:val="left" w:pos="1843"/>
                              <w:tab w:val="left" w:pos="2268"/>
                            </w:tabs>
                            <w:jc w:val="both"/>
                            <w:rPr>
                              <w:i/>
                              <w:szCs w:val="24"/>
                            </w:rPr>
                          </w:pPr>
                          <w:r>
                            <w:rPr>
                              <w:i/>
                              <w:szCs w:val="24"/>
                            </w:rPr>
                            <w:t>čia:</w:t>
                          </w:r>
                        </w:p>
                        <w:p>
                          <w:pPr>
                            <w:tabs>
                              <w:tab w:val="left" w:pos="1134"/>
                              <w:tab w:val="left" w:pos="1843"/>
                              <w:tab w:val="left" w:pos="2268"/>
                            </w:tabs>
                            <w:jc w:val="both"/>
                            <w:rPr>
                              <w:szCs w:val="24"/>
                            </w:rPr>
                          </w:pPr>
                          <w:r>
                            <w:rPr>
                              <w:szCs w:val="24"/>
                            </w:rPr>
                            <w:t>LRAIC</w:t>
                          </w:r>
                          <w:r>
                            <w:rPr>
                              <w:szCs w:val="24"/>
                              <w:vertAlign w:val="subscript"/>
                            </w:rPr>
                            <w:t>DSOLVONWAACX</w:t>
                          </w:r>
                          <w:r>
                            <w:rPr>
                              <w:szCs w:val="24"/>
                            </w:rPr>
                            <w:t xml:space="preserve"> – Modelio sumodeliuotas STO ŽĮ kitų tinklo elementų ir kito turto metiniai Kapitalo kaštai;</w:t>
                          </w:r>
                        </w:p>
                        <w:p>
                          <w:pPr>
                            <w:tabs>
                              <w:tab w:val="left" w:pos="1134"/>
                              <w:tab w:val="left" w:pos="1843"/>
                              <w:tab w:val="left" w:pos="2268"/>
                            </w:tabs>
                            <w:jc w:val="both"/>
                            <w:rPr>
                              <w:szCs w:val="24"/>
                            </w:rPr>
                          </w:pPr>
                          <w:r>
                            <w:rPr>
                              <w:szCs w:val="24"/>
                            </w:rPr>
                            <w:t>LRAIC</w:t>
                          </w:r>
                          <w:r>
                            <w:rPr>
                              <w:szCs w:val="24"/>
                              <w:vertAlign w:val="subscript"/>
                            </w:rPr>
                            <w:t>DSOMVONWAACX</w:t>
                          </w:r>
                          <w:r>
                            <w:rPr>
                              <w:szCs w:val="24"/>
                            </w:rPr>
                            <w:t xml:space="preserve"> – Modelio sumodeliuotas STO VĮ kitų tinklo elementų ir kito turto metiniai Kapitalo kaštai;</w:t>
                          </w:r>
                        </w:p>
                        <w:p>
                          <w:pPr>
                            <w:tabs>
                              <w:tab w:val="left" w:pos="1134"/>
                              <w:tab w:val="left" w:pos="1843"/>
                              <w:tab w:val="left" w:pos="2268"/>
                            </w:tabs>
                            <w:jc w:val="both"/>
                            <w:rPr>
                              <w:szCs w:val="24"/>
                            </w:rPr>
                          </w:pPr>
                          <w:r>
                            <w:rPr>
                              <w:szCs w:val="24"/>
                            </w:rPr>
                            <w:t>LRAIC</w:t>
                          </w:r>
                          <w:r>
                            <w:rPr>
                              <w:szCs w:val="24"/>
                              <w:vertAlign w:val="subscript"/>
                            </w:rPr>
                            <w:t>DSOLVONWAOX</w:t>
                          </w:r>
                          <w:r>
                            <w:rPr>
                              <w:szCs w:val="24"/>
                            </w:rPr>
                            <w:t xml:space="preserve"> – Modelio sumodeliuotas STO ŽĮ kitų tinklo elementų ir kito turto metinis OPEX;</w:t>
                          </w:r>
                        </w:p>
                        <w:p>
                          <w:pPr>
                            <w:tabs>
                              <w:tab w:val="left" w:pos="1134"/>
                              <w:tab w:val="left" w:pos="1843"/>
                              <w:tab w:val="left" w:pos="2268"/>
                            </w:tabs>
                            <w:jc w:val="both"/>
                            <w:rPr>
                              <w:szCs w:val="24"/>
                            </w:rPr>
                          </w:pPr>
                          <w:r>
                            <w:rPr>
                              <w:szCs w:val="24"/>
                            </w:rPr>
                            <w:t>LRAIC</w:t>
                          </w:r>
                          <w:r>
                            <w:rPr>
                              <w:szCs w:val="24"/>
                              <w:vertAlign w:val="subscript"/>
                            </w:rPr>
                            <w:t>DSOMVONWAOX</w:t>
                          </w:r>
                          <w:r>
                            <w:rPr>
                              <w:szCs w:val="24"/>
                            </w:rPr>
                            <w:t xml:space="preserve"> – Modelio sumodeliuotas STO VĮ kitų tinklo elementų ir kito turto metinis OPEX;</w:t>
                          </w:r>
                        </w:p>
                        <w:p>
                          <w:pPr>
                            <w:tabs>
                              <w:tab w:val="left" w:pos="1134"/>
                              <w:tab w:val="left" w:pos="1843"/>
                              <w:tab w:val="left" w:pos="2268"/>
                            </w:tabs>
                            <w:jc w:val="both"/>
                            <w:rPr>
                              <w:szCs w:val="24"/>
                            </w:rPr>
                          </w:pPr>
                          <w:r>
                            <w:rPr>
                              <w:szCs w:val="24"/>
                            </w:rPr>
                            <w:t>C</w:t>
                          </w:r>
                          <w:r>
                            <w:rPr>
                              <w:szCs w:val="24"/>
                              <w:vertAlign w:val="subscript"/>
                            </w:rPr>
                            <w:t>LVMV</w:t>
                          </w:r>
                          <w:r>
                            <w:rPr>
                              <w:szCs w:val="24"/>
                            </w:rPr>
                            <w:t xml:space="preserve"> – ŽĮ ir VĮ santykis kitų tinklo elementų ir kito turto leidžiamoms pajamoms priskirti;</w:t>
                          </w:r>
                        </w:p>
                        <w:p>
                          <w:pPr>
                            <w:tabs>
                              <w:tab w:val="left" w:pos="1134"/>
                              <w:tab w:val="left" w:pos="1843"/>
                              <w:tab w:val="left" w:pos="2268"/>
                            </w:tabs>
                            <w:jc w:val="both"/>
                            <w:rPr>
                              <w:szCs w:val="24"/>
                            </w:rPr>
                          </w:pPr>
                          <w:r>
                            <w:rPr>
                              <w:szCs w:val="24"/>
                            </w:rPr>
                            <w:t>LRAIC</w:t>
                          </w:r>
                          <w:r>
                            <w:rPr>
                              <w:szCs w:val="24"/>
                              <w:vertAlign w:val="subscript"/>
                            </w:rPr>
                            <w:t>DSOONWAACX</w:t>
                          </w:r>
                          <w:r>
                            <w:rPr>
                              <w:szCs w:val="24"/>
                            </w:rPr>
                            <w:t xml:space="preserve"> – Modelio sumodeliuotas STO bendras kitų tinklo elementų ir kito turto metiniai Kapitalo kaštai;</w:t>
                          </w:r>
                        </w:p>
                        <w:p>
                          <w:pPr>
                            <w:tabs>
                              <w:tab w:val="left" w:pos="1134"/>
                              <w:tab w:val="left" w:pos="1843"/>
                              <w:tab w:val="left" w:pos="2268"/>
                            </w:tabs>
                            <w:jc w:val="both"/>
                            <w:rPr>
                              <w:szCs w:val="24"/>
                            </w:rPr>
                          </w:pPr>
                          <w:r>
                            <w:rPr>
                              <w:szCs w:val="24"/>
                            </w:rPr>
                            <w:t>LRAIC</w:t>
                          </w:r>
                          <w:r>
                            <w:rPr>
                              <w:szCs w:val="24"/>
                              <w:vertAlign w:val="subscript"/>
                            </w:rPr>
                            <w:t>DSOONWAOX</w:t>
                          </w:r>
                          <w:r>
                            <w:rPr>
                              <w:szCs w:val="24"/>
                            </w:rPr>
                            <w:t xml:space="preserve"> – Modelio sumodeliuotas STO bendras kitų tinklo elementų ir kito turto metinis OPEX.</w:t>
                          </w:r>
                        </w:p>
                      </w:sdtContent>
                    </w:sdt>
                  </w:sdtContent>
                </w:sdt>
                <w:sdt>
                  <w:sdtPr>
                    <w:alias w:val="64 p."/>
                    <w:tag w:val="part_80b590c5a4454101beb0ce1c6c40ec99"/>
                    <w:lock w:val="sdtLocked"/>
                    <w:richText/>
                  </w:sdtPr>
                  <w:sdtContent>
                    <w:p>
                      <w:pPr>
                        <w:tabs>
                          <w:tab w:val="left" w:pos="1134"/>
                          <w:tab w:val="left" w:pos="1843"/>
                          <w:tab w:val="left" w:pos="2268"/>
                        </w:tabs>
                        <w:ind w:firstLine="720"/>
                        <w:jc w:val="both"/>
                        <w:rPr>
                          <w:szCs w:val="24"/>
                        </w:rPr>
                      </w:pPr>
                      <w:sdt>
                        <w:sdtPr>
                          <w:alias w:val="Numeris"/>
                          <w:tag w:val="nr_80b590c5a4454101beb0ce1c6c40ec99"/>
                          <w:lock w:val="sdtLocked"/>
                          <w:richText/>
                        </w:sdtPr>
                        <w:sdtContent>
                          <w:r>
                            <w:rPr>
                              <w:szCs w:val="24"/>
                            </w:rPr>
                            <w:t>64</w:t>
                          </w:r>
                        </w:sdtContent>
                      </w:sdt>
                      <w:r>
                        <w:rPr>
                          <w:szCs w:val="24"/>
                        </w:rPr>
                        <w:t>. Paskirsčius visus Modelio sumodeliuotus kaštus tarp ŽĮ ir VĮ tinklų, Modelis apskaičiuoja STO bendras ŽĮ ir VĮ leidžiamas pajamas tiksliniams metams pagal formules:</w:t>
                      </w:r>
                    </w:p>
                    <w:sdt>
                      <w:sdtPr>
                        <w:alias w:val="64.1 p."/>
                        <w:tag w:val="part_ad25d39b81444a86a55b45be1e83d56b"/>
                        <w:lock w:val="sdtLocked"/>
                        <w:richText/>
                      </w:sdtPr>
                      <w:sdtContent>
                        <w:p>
                          <w:pPr>
                            <w:tabs>
                              <w:tab w:val="left" w:pos="1276"/>
                              <w:tab w:val="left" w:pos="1843"/>
                              <w:tab w:val="left" w:pos="2268"/>
                            </w:tabs>
                            <w:ind w:firstLine="709"/>
                            <w:jc w:val="both"/>
                            <w:rPr>
                              <w:szCs w:val="24"/>
                            </w:rPr>
                          </w:pPr>
                          <w:sdt>
                            <w:sdtPr>
                              <w:alias w:val="Numeris"/>
                              <w:tag w:val="nr_ad25d39b81444a86a55b45be1e83d56b"/>
                              <w:lock w:val="sdtLocked"/>
                              <w:richText/>
                            </w:sdtPr>
                            <w:sdtContent>
                              <w:r>
                                <w:rPr>
                                  <w:szCs w:val="24"/>
                                </w:rPr>
                                <w:t>64.1</w:t>
                              </w:r>
                            </w:sdtContent>
                          </w:sdt>
                          <w:r>
                            <w:rPr>
                              <w:szCs w:val="24"/>
                            </w:rPr>
                            <w:t>. STO bendros ŽĮ leidžiamos pajamos tiksliniams metams:</w:t>
                          </w:r>
                        </w:p>
                        <w:p>
                          <w:pPr>
                            <w:tabs>
                              <w:tab w:val="left" w:pos="1134"/>
                              <w:tab w:val="left" w:pos="1843"/>
                              <w:tab w:val="left" w:pos="2268"/>
                            </w:tabs>
                            <w:jc w:val="both"/>
                            <w:rPr>
                              <w:szCs w:val="24"/>
                            </w:rPr>
                          </w:pPr>
                        </w:p>
                        <w:p>
                          <w:pPr>
                            <w:tabs>
                              <w:tab w:val="left" w:pos="1134"/>
                              <w:tab w:val="left" w:pos="9214"/>
                            </w:tabs>
                            <w:ind w:firstLine="1134"/>
                            <w:jc w:val="both"/>
                            <w:rPr>
                              <w:szCs w:val="24"/>
                            </w:rPr>
                          </w:pPr>
                          <m:oMath>
                            <m:sSub>
                              <m:sSubPr>
                                <m:ctrlPr>
                                  <w:rPr>
                                    <w:rFonts w:ascii="Cambria Math" w:hAnsi="Cambria Math"/>
                                    <w:i/>
                                  </w:rPr>
                                </m:ctrlPr>
                              </m:sSubPr>
                              <m:e>
                                <m:r>
                                  <w:rPr>
                                    <w:rFonts w:ascii="Cambria Math" w:hAnsi="Cambria Math"/>
                                  </w:rPr>
                                  <m:t>LRAIC</m:t>
                                </m:r>
                              </m:e>
                              <m:sub>
                                <m:r>
                                  <w:rPr>
                                    <w:rFonts w:ascii="Cambria Math" w:hAnsi="Cambria Math"/>
                                  </w:rPr>
                                  <m:t>DSOLV</m:t>
                                </m:r>
                              </m:sub>
                            </m:sSub>
                            <m:r>
                              <w:rPr>
                                <w:rFonts w:ascii="Cambria Math" w:hAnsi="Cambria Math"/>
                              </w:rPr>
                              <m:t>=</m:t>
                            </m:r>
                            <m:sSub>
                              <m:sSubPr>
                                <m:ctrlPr>
                                  <w:rPr>
                                    <w:rFonts w:ascii="Cambria Math" w:hAnsi="Cambria Math"/>
                                    <w:i/>
                                  </w:rPr>
                                </m:ctrlPr>
                              </m:sSubPr>
                              <m:e>
                                <m:r>
                                  <w:rPr>
                                    <w:rFonts w:ascii="Cambria Math" w:hAnsi="Cambria Math"/>
                                  </w:rPr>
                                  <m:t>LRAIC</m:t>
                                </m:r>
                              </m:e>
                              <m:sub>
                                <m:r>
                                  <w:rPr>
                                    <w:rFonts w:ascii="Cambria Math" w:hAnsi="Cambria Math"/>
                                  </w:rPr>
                                  <m:t>DSOLVMEACX</m:t>
                                </m:r>
                              </m:sub>
                            </m:sSub>
                            <m:r>
                              <w:rPr>
                                <w:rFonts w:ascii="Cambria Math" w:hAnsi="Cambria Math"/>
                              </w:rPr>
                              <m:t>+</m:t>
                            </m:r>
                            <m:sSub>
                              <m:sSubPr>
                                <m:ctrlPr>
                                  <w:rPr>
                                    <w:rFonts w:ascii="Cambria Math" w:hAnsi="Cambria Math"/>
                                    <w:i/>
                                  </w:rPr>
                                </m:ctrlPr>
                              </m:sSubPr>
                              <m:e>
                                <m:r>
                                  <w:rPr>
                                    <w:rFonts w:ascii="Cambria Math" w:hAnsi="Cambria Math"/>
                                  </w:rPr>
                                  <m:t>LRAIC</m:t>
                                </m:r>
                              </m:e>
                              <m:sub>
                                <m:r>
                                  <w:rPr>
                                    <w:rFonts w:ascii="Cambria Math" w:hAnsi="Cambria Math"/>
                                  </w:rPr>
                                  <m:t>DSOLVON</m:t>
                                </m:r>
                                <m:r>
                                  <w:rPr>
                                    <w:rFonts w:ascii="Cambria Math" w:hAnsi="Cambria Math"/>
                                  </w:rPr>
                                  <m:t>WAACX</m:t>
                                </m:r>
                              </m:sub>
                            </m:sSub>
                            <m:r>
                              <w:rPr>
                                <w:rFonts w:ascii="Cambria Math" w:hAnsi="Cambria Math"/>
                              </w:rPr>
                              <m:t>+</m:t>
                            </m:r>
                            <m:sSub>
                              <m:sSubPr>
                                <m:ctrlPr>
                                  <w:rPr>
                                    <w:rFonts w:ascii="Cambria Math" w:hAnsi="Cambria Math"/>
                                    <w:i/>
                                  </w:rPr>
                                </m:ctrlPr>
                              </m:sSubPr>
                              <m:e>
                                <m:r>
                                  <w:rPr>
                                    <w:rFonts w:ascii="Cambria Math" w:hAnsi="Cambria Math"/>
                                  </w:rPr>
                                  <m:t>LRAIC</m:t>
                                </m:r>
                              </m:e>
                              <m:sub>
                                <m:r>
                                  <w:rPr>
                                    <w:rFonts w:ascii="Cambria Math" w:hAnsi="Cambria Math"/>
                                  </w:rPr>
                                  <m:t>DSOLVMEOX</m:t>
                                </m:r>
                              </m:sub>
                            </m:sSub>
                            <m:r>
                              <w:rPr>
                                <w:rFonts w:ascii="Cambria Math" w:hAnsi="Cambria Math"/>
                              </w:rPr>
                              <m:t>+</m:t>
                            </m:r>
                            <m:sSub>
                              <m:sSubPr>
                                <m:ctrlPr>
                                  <w:rPr>
                                    <w:rFonts w:ascii="Cambria Math" w:hAnsi="Cambria Math"/>
                                    <w:i/>
                                  </w:rPr>
                                </m:ctrlPr>
                              </m:sSubPr>
                              <m:e>
                                <m:r>
                                  <w:rPr>
                                    <w:rFonts w:ascii="Cambria Math" w:hAnsi="Cambria Math"/>
                                  </w:rPr>
                                  <m:t>LRAIC</m:t>
                                </m:r>
                              </m:e>
                              <m:sub>
                                <m:r>
                                  <w:rPr>
                                    <w:rFonts w:ascii="Cambria Math" w:hAnsi="Cambria Math"/>
                                  </w:rPr>
                                  <m:t>DSOLVONWAOX</m:t>
                                </m:r>
                              </m:sub>
                            </m:sSub>
                          </m:oMath>
                          <w:r>
                            <w:tab/>
                          </w:r>
                          <w:r>
                            <w:rPr>
                              <w:szCs w:val="24"/>
                            </w:rPr>
                            <w:t>(32)</w:t>
                          </w:r>
                        </w:p>
                        <w:p>
                          <w:pPr>
                            <w:tabs>
                              <w:tab w:val="left" w:pos="1134"/>
                              <w:tab w:val="left" w:pos="9214"/>
                            </w:tabs>
                            <w:ind w:firstLine="567"/>
                            <w:jc w:val="both"/>
                            <w:rPr>
                              <w:szCs w:val="24"/>
                            </w:rPr>
                          </w:pPr>
                        </w:p>
                      </w:sdtContent>
                    </w:sdt>
                    <w:sdt>
                      <w:sdtPr>
                        <w:alias w:val="64.2 p."/>
                        <w:tag w:val="part_1b1f28da55974e2789eac8ef1eff08eb"/>
                        <w:lock w:val="sdtLocked"/>
                        <w:richText/>
                      </w:sdtPr>
                      <w:sdtContent>
                        <w:p>
                          <w:pPr>
                            <w:tabs>
                              <w:tab w:val="left" w:pos="1134"/>
                              <w:tab w:val="left" w:pos="1276"/>
                              <w:tab w:val="left" w:pos="9214"/>
                            </w:tabs>
                            <w:ind w:firstLine="709"/>
                            <w:jc w:val="both"/>
                            <w:rPr>
                              <w:szCs w:val="24"/>
                            </w:rPr>
                          </w:pPr>
                          <w:sdt>
                            <w:sdtPr>
                              <w:alias w:val="Numeris"/>
                              <w:tag w:val="nr_1b1f28da55974e2789eac8ef1eff08eb"/>
                              <w:lock w:val="sdtLocked"/>
                              <w:richText/>
                            </w:sdtPr>
                            <w:sdtContent>
                              <w:r>
                                <w:rPr>
                                  <w:szCs w:val="24"/>
                                </w:rPr>
                                <w:t>64.2</w:t>
                              </w:r>
                            </w:sdtContent>
                          </w:sdt>
                          <w:r>
                            <w:rPr>
                              <w:szCs w:val="24"/>
                            </w:rPr>
                            <w:t>. STO bendros VĮ leidžiamos pajamos tiksliniams metams:</w:t>
                          </w:r>
                        </w:p>
                        <w:p>
                          <w:pPr>
                            <w:tabs>
                              <w:tab w:val="left" w:pos="1134"/>
                              <w:tab w:val="left" w:pos="1843"/>
                              <w:tab w:val="left" w:pos="2268"/>
                            </w:tabs>
                            <w:jc w:val="both"/>
                            <w:rPr>
                              <w:szCs w:val="24"/>
                            </w:rPr>
                          </w:pPr>
                        </w:p>
                        <w:p>
                          <w:pPr>
                            <w:tabs>
                              <w:tab w:val="left" w:pos="1134"/>
                              <w:tab w:val="left" w:pos="9214"/>
                            </w:tabs>
                            <w:ind w:firstLine="1134"/>
                            <w:jc w:val="both"/>
                            <w:rPr>
                              <w:szCs w:val="24"/>
                            </w:rPr>
                          </w:pPr>
                          <m:oMath>
                            <m:sSub>
                              <m:sSubPr>
                                <m:ctrlPr>
                                  <w:rPr>
                                    <w:rFonts w:ascii="Cambria Math" w:hAnsi="Cambria Math"/>
                                    <w:i/>
                                  </w:rPr>
                                </m:ctrlPr>
                              </m:sSubPr>
                              <m:e>
                                <m:r>
                                  <w:rPr>
                                    <w:rFonts w:ascii="Cambria Math" w:hAnsi="Cambria Math"/>
                                  </w:rPr>
                                  <m:t>LRAIC</m:t>
                                </m:r>
                              </m:e>
                              <m:sub>
                                <m:r>
                                  <w:rPr>
                                    <w:rFonts w:ascii="Cambria Math" w:hAnsi="Cambria Math"/>
                                  </w:rPr>
                                  <m:t>DSOMV</m:t>
                                </m:r>
                              </m:sub>
                            </m:sSub>
                            <m:r>
                              <w:rPr>
                                <w:rFonts w:ascii="Cambria Math" w:hAnsi="Cambria Math"/>
                              </w:rPr>
                              <m:t>=</m:t>
                            </m:r>
                            <m:sSub>
                              <m:sSubPr>
                                <m:ctrlPr>
                                  <w:rPr>
                                    <w:rFonts w:ascii="Cambria Math" w:hAnsi="Cambria Math"/>
                                    <w:i/>
                                  </w:rPr>
                                </m:ctrlPr>
                              </m:sSubPr>
                              <m:e>
                                <m:r>
                                  <w:rPr>
                                    <w:rFonts w:ascii="Cambria Math" w:hAnsi="Cambria Math"/>
                                  </w:rPr>
                                  <m:t>LRAIC</m:t>
                                </m:r>
                              </m:e>
                              <m:sub>
                                <m:r>
                                  <w:rPr>
                                    <w:rFonts w:ascii="Cambria Math" w:hAnsi="Cambria Math"/>
                                  </w:rPr>
                                  <m:t>DSOMVMEACX</m:t>
                                </m:r>
                              </m:sub>
                            </m:sSub>
                            <m:r>
                              <w:rPr>
                                <w:rFonts w:ascii="Cambria Math" w:hAnsi="Cambria Math"/>
                              </w:rPr>
                              <m:t>+</m:t>
                            </m:r>
                            <m:sSub>
                              <m:sSubPr>
                                <m:ctrlPr>
                                  <w:rPr>
                                    <w:rFonts w:ascii="Cambria Math" w:hAnsi="Cambria Math"/>
                                    <w:i/>
                                  </w:rPr>
                                </m:ctrlPr>
                              </m:sSubPr>
                              <m:e>
                                <m:r>
                                  <w:rPr>
                                    <w:rFonts w:ascii="Cambria Math" w:hAnsi="Cambria Math"/>
                                  </w:rPr>
                                  <m:t>LRAIC</m:t>
                                </m:r>
                              </m:e>
                              <m:sub>
                                <m:r>
                                  <w:rPr>
                                    <w:rFonts w:ascii="Cambria Math" w:hAnsi="Cambria Math"/>
                                  </w:rPr>
                                  <m:t>DSOMVONWAACX</m:t>
                                </m:r>
                              </m:sub>
                            </m:sSub>
                            <m:r>
                              <w:rPr>
                                <w:rFonts w:ascii="Cambria Math" w:hAnsi="Cambria Math"/>
                              </w:rPr>
                              <m:t>+</m:t>
                            </m:r>
                            <m:sSub>
                              <m:sSubPr>
                                <m:ctrlPr>
                                  <w:rPr>
                                    <w:rFonts w:ascii="Cambria Math" w:hAnsi="Cambria Math"/>
                                    <w:i/>
                                  </w:rPr>
                                </m:ctrlPr>
                              </m:sSubPr>
                              <m:e>
                                <m:r>
                                  <w:rPr>
                                    <w:rFonts w:ascii="Cambria Math" w:hAnsi="Cambria Math"/>
                                  </w:rPr>
                                  <m:t>LRAIC</m:t>
                                </m:r>
                              </m:e>
                              <m:sub>
                                <m:r>
                                  <w:rPr>
                                    <w:rFonts w:ascii="Cambria Math" w:hAnsi="Cambria Math"/>
                                  </w:rPr>
                                  <m:t>DSOMVME</m:t>
                                </m:r>
                                <m:r>
                                  <w:rPr>
                                    <w:rFonts w:ascii="Cambria Math" w:hAnsi="Cambria Math"/>
                                  </w:rPr>
                                  <m:t>O</m:t>
                                </m:r>
                                <m:r>
                                  <w:rPr>
                                    <w:rFonts w:ascii="Cambria Math" w:hAnsi="Cambria Math"/>
                                  </w:rPr>
                                  <m:t>X</m:t>
                                </m:r>
                              </m:sub>
                            </m:sSub>
                            <m:r>
                              <w:rPr>
                                <w:rFonts w:ascii="Cambria Math" w:hAnsi="Cambria Math"/>
                              </w:rPr>
                              <m:t>+</m:t>
                            </m:r>
                            <m:sSub>
                              <m:sSubPr>
                                <m:ctrlPr>
                                  <w:rPr>
                                    <w:rFonts w:ascii="Cambria Math" w:hAnsi="Cambria Math"/>
                                    <w:i/>
                                  </w:rPr>
                                </m:ctrlPr>
                              </m:sSubPr>
                              <m:e>
                                <m:r>
                                  <w:rPr>
                                    <w:rFonts w:ascii="Cambria Math" w:hAnsi="Cambria Math"/>
                                  </w:rPr>
                                  <m:t>LRAIC</m:t>
                                </m:r>
                              </m:e>
                              <m:sub>
                                <m:r>
                                  <w:rPr>
                                    <w:rFonts w:ascii="Cambria Math" w:hAnsi="Cambria Math"/>
                                  </w:rPr>
                                  <m:t>DSOMVONWAOX</m:t>
                                </m:r>
                              </m:sub>
                            </m:sSub>
                          </m:oMath>
                          <w:r>
                            <w:tab/>
                          </w:r>
                          <w:r>
                            <w:rPr>
                              <w:szCs w:val="24"/>
                            </w:rPr>
                            <w:t>(33)</w:t>
                          </w:r>
                        </w:p>
                        <w:p>
                          <w:pPr>
                            <w:tabs>
                              <w:tab w:val="left" w:pos="1134"/>
                              <w:tab w:val="left" w:pos="1843"/>
                              <w:tab w:val="left" w:pos="2268"/>
                            </w:tabs>
                            <w:jc w:val="both"/>
                            <w:rPr>
                              <w:szCs w:val="24"/>
                            </w:rPr>
                          </w:pPr>
                        </w:p>
                        <w:p>
                          <w:pPr>
                            <w:tabs>
                              <w:tab w:val="left" w:pos="1134"/>
                              <w:tab w:val="left" w:pos="1843"/>
                              <w:tab w:val="left" w:pos="2268"/>
                            </w:tabs>
                            <w:jc w:val="both"/>
                            <w:rPr>
                              <w:i/>
                              <w:szCs w:val="24"/>
                            </w:rPr>
                          </w:pPr>
                          <w:r>
                            <w:rPr>
                              <w:i/>
                              <w:szCs w:val="24"/>
                            </w:rPr>
                            <w:t>čia:</w:t>
                          </w:r>
                        </w:p>
                        <w:p>
                          <w:pPr>
                            <w:tabs>
                              <w:tab w:val="left" w:pos="1134"/>
                              <w:tab w:val="left" w:pos="1843"/>
                              <w:tab w:val="left" w:pos="2268"/>
                            </w:tabs>
                            <w:jc w:val="both"/>
                            <w:rPr>
                              <w:szCs w:val="24"/>
                            </w:rPr>
                          </w:pPr>
                          <w:r>
                            <w:rPr>
                              <w:szCs w:val="24"/>
                            </w:rPr>
                            <w:t>LRAIC</w:t>
                          </w:r>
                          <w:r>
                            <w:rPr>
                              <w:szCs w:val="24"/>
                              <w:vertAlign w:val="subscript"/>
                            </w:rPr>
                            <w:t>DSOLV</w:t>
                          </w:r>
                          <w:r>
                            <w:rPr>
                              <w:szCs w:val="24"/>
                            </w:rPr>
                            <w:t xml:space="preserve"> – Modelio apskaičiuotos bendros ŽĮ leidžiamos pajamos tiksliniams metams;</w:t>
                          </w:r>
                        </w:p>
                        <w:p>
                          <w:pPr>
                            <w:tabs>
                              <w:tab w:val="left" w:pos="1134"/>
                              <w:tab w:val="left" w:pos="1843"/>
                              <w:tab w:val="left" w:pos="2268"/>
                            </w:tabs>
                            <w:jc w:val="both"/>
                            <w:rPr>
                              <w:szCs w:val="24"/>
                            </w:rPr>
                          </w:pPr>
                          <w:r>
                            <w:rPr>
                              <w:szCs w:val="24"/>
                            </w:rPr>
                            <w:t>LRAIC</w:t>
                          </w:r>
                          <w:r>
                            <w:rPr>
                              <w:szCs w:val="24"/>
                              <w:vertAlign w:val="subscript"/>
                            </w:rPr>
                            <w:t>DSOMV</w:t>
                          </w:r>
                          <w:r>
                            <w:rPr>
                              <w:szCs w:val="24"/>
                            </w:rPr>
                            <w:t xml:space="preserve"> – Modelio apskaičiuotos bendros VĮ leidžiamos pajamos tiksliniams metams;</w:t>
                          </w:r>
                        </w:p>
                        <w:p>
                          <w:pPr>
                            <w:tabs>
                              <w:tab w:val="left" w:pos="1134"/>
                              <w:tab w:val="left" w:pos="1843"/>
                              <w:tab w:val="left" w:pos="2268"/>
                            </w:tabs>
                            <w:jc w:val="both"/>
                            <w:rPr>
                              <w:szCs w:val="24"/>
                            </w:rPr>
                          </w:pPr>
                          <w:r>
                            <w:rPr>
                              <w:szCs w:val="24"/>
                            </w:rPr>
                            <w:t>LRAIC</w:t>
                          </w:r>
                          <w:r>
                            <w:rPr>
                              <w:szCs w:val="24"/>
                              <w:vertAlign w:val="subscript"/>
                            </w:rPr>
                            <w:t>DSOLVMEACX</w:t>
                          </w:r>
                          <w:r>
                            <w:rPr>
                              <w:szCs w:val="24"/>
                            </w:rPr>
                            <w:t xml:space="preserve"> – Modelio apskaičiuotos ŽĮ tinklo pagrindinių elementų metiniai Kapitalo kaštai tiksliniams metams;</w:t>
                          </w:r>
                        </w:p>
                        <w:p>
                          <w:pPr>
                            <w:tabs>
                              <w:tab w:val="left" w:pos="1134"/>
                              <w:tab w:val="left" w:pos="1843"/>
                              <w:tab w:val="left" w:pos="2268"/>
                            </w:tabs>
                            <w:jc w:val="both"/>
                            <w:rPr>
                              <w:szCs w:val="24"/>
                            </w:rPr>
                          </w:pPr>
                          <w:r>
                            <w:rPr>
                              <w:szCs w:val="24"/>
                            </w:rPr>
                            <w:t>LRAIC</w:t>
                          </w:r>
                          <w:r>
                            <w:rPr>
                              <w:szCs w:val="24"/>
                              <w:vertAlign w:val="subscript"/>
                            </w:rPr>
                            <w:t>DSOLVONWAACX</w:t>
                          </w:r>
                          <w:r>
                            <w:rPr>
                              <w:szCs w:val="24"/>
                            </w:rPr>
                            <w:t xml:space="preserve"> – Modelio apskaičiuotos ŽĮ tinklo kitų tinklo elementų ir kito turto metiniai Kapitalo kaštai tiksliniams metams;</w:t>
                          </w:r>
                        </w:p>
                        <w:p>
                          <w:pPr>
                            <w:tabs>
                              <w:tab w:val="left" w:pos="1134"/>
                              <w:tab w:val="left" w:pos="1843"/>
                              <w:tab w:val="left" w:pos="2268"/>
                            </w:tabs>
                            <w:jc w:val="both"/>
                            <w:rPr>
                              <w:szCs w:val="24"/>
                            </w:rPr>
                          </w:pPr>
                          <w:r>
                            <w:rPr>
                              <w:szCs w:val="24"/>
                            </w:rPr>
                            <w:t>LRAIC</w:t>
                          </w:r>
                          <w:r>
                            <w:rPr>
                              <w:szCs w:val="24"/>
                              <w:vertAlign w:val="subscript"/>
                            </w:rPr>
                            <w:t>DSOLVMEOX</w:t>
                          </w:r>
                          <w:r>
                            <w:rPr>
                              <w:szCs w:val="24"/>
                            </w:rPr>
                            <w:t xml:space="preserve"> – Modelio apskaičiuotos ŽĮ tinklo pagrindinių tinklo elementų metinės OPEX tiksliniams metams;</w:t>
                          </w:r>
                        </w:p>
                        <w:p>
                          <w:pPr>
                            <w:tabs>
                              <w:tab w:val="left" w:pos="1134"/>
                              <w:tab w:val="left" w:pos="1843"/>
                              <w:tab w:val="left" w:pos="2268"/>
                            </w:tabs>
                            <w:jc w:val="both"/>
                            <w:rPr>
                              <w:szCs w:val="24"/>
                            </w:rPr>
                          </w:pPr>
                          <w:r>
                            <w:rPr>
                              <w:szCs w:val="24"/>
                            </w:rPr>
                            <w:t>LRAIC</w:t>
                          </w:r>
                          <w:r>
                            <w:rPr>
                              <w:szCs w:val="24"/>
                              <w:vertAlign w:val="subscript"/>
                            </w:rPr>
                            <w:t>DSOLVONWAOX</w:t>
                          </w:r>
                          <w:r>
                            <w:rPr>
                              <w:szCs w:val="24"/>
                            </w:rPr>
                            <w:t xml:space="preserve"> – Modelio apskaičiuotos ŽĮ tinklo kitų tinklo elementų ir kito turto metinės OPEX;</w:t>
                          </w:r>
                        </w:p>
                        <w:p>
                          <w:pPr>
                            <w:tabs>
                              <w:tab w:val="left" w:pos="1134"/>
                              <w:tab w:val="left" w:pos="1843"/>
                              <w:tab w:val="left" w:pos="2268"/>
                            </w:tabs>
                            <w:jc w:val="both"/>
                            <w:rPr>
                              <w:szCs w:val="24"/>
                            </w:rPr>
                          </w:pPr>
                          <w:r>
                            <w:rPr>
                              <w:szCs w:val="24"/>
                            </w:rPr>
                            <w:t>LRAIC</w:t>
                          </w:r>
                          <w:r>
                            <w:rPr>
                              <w:szCs w:val="24"/>
                              <w:vertAlign w:val="subscript"/>
                            </w:rPr>
                            <w:t>DSOMVMEACX</w:t>
                          </w:r>
                          <w:r>
                            <w:rPr>
                              <w:szCs w:val="24"/>
                            </w:rPr>
                            <w:t xml:space="preserve"> – Modelio apskaičiuotos VĮ tinklo pagrindinių elementų metiniai Kapitalo kaštai tiksliniams metams;</w:t>
                          </w:r>
                        </w:p>
                        <w:p>
                          <w:pPr>
                            <w:tabs>
                              <w:tab w:val="left" w:pos="1134"/>
                              <w:tab w:val="left" w:pos="1843"/>
                              <w:tab w:val="left" w:pos="2268"/>
                            </w:tabs>
                            <w:jc w:val="both"/>
                            <w:rPr>
                              <w:szCs w:val="24"/>
                            </w:rPr>
                          </w:pPr>
                          <w:r>
                            <w:rPr>
                              <w:szCs w:val="24"/>
                            </w:rPr>
                            <w:t>LRAIC</w:t>
                          </w:r>
                          <w:r>
                            <w:rPr>
                              <w:szCs w:val="24"/>
                              <w:vertAlign w:val="subscript"/>
                            </w:rPr>
                            <w:t>DSOMVONWAACX</w:t>
                          </w:r>
                          <w:r>
                            <w:rPr>
                              <w:szCs w:val="24"/>
                            </w:rPr>
                            <w:t xml:space="preserve"> – Modelio apskaičiuotos VĮ tinklo kitų tinklo elementų ir kito turto metiniai Kapitalo kaštai tiksliniams metams;</w:t>
                          </w:r>
                        </w:p>
                        <w:p>
                          <w:pPr>
                            <w:tabs>
                              <w:tab w:val="left" w:pos="1134"/>
                              <w:tab w:val="left" w:pos="1843"/>
                              <w:tab w:val="left" w:pos="2268"/>
                            </w:tabs>
                            <w:jc w:val="both"/>
                            <w:rPr>
                              <w:szCs w:val="24"/>
                            </w:rPr>
                          </w:pPr>
                          <w:r>
                            <w:rPr>
                              <w:szCs w:val="24"/>
                            </w:rPr>
                            <w:t>LRAIC</w:t>
                          </w:r>
                          <w:r>
                            <w:rPr>
                              <w:szCs w:val="24"/>
                              <w:vertAlign w:val="subscript"/>
                            </w:rPr>
                            <w:t>DSOMVMEOX</w:t>
                          </w:r>
                          <w:r>
                            <w:rPr>
                              <w:szCs w:val="24"/>
                            </w:rPr>
                            <w:t xml:space="preserve"> – Modelio apskaičiuotos VĮ tinklo pagrindinių tinklo elementų metinės OPEX tiksliniams metams;</w:t>
                          </w:r>
                        </w:p>
                        <w:p>
                          <w:pPr>
                            <w:tabs>
                              <w:tab w:val="left" w:pos="1134"/>
                              <w:tab w:val="left" w:pos="1843"/>
                              <w:tab w:val="left" w:pos="2268"/>
                            </w:tabs>
                            <w:jc w:val="both"/>
                            <w:rPr>
                              <w:szCs w:val="24"/>
                            </w:rPr>
                          </w:pPr>
                          <w:r>
                            <w:rPr>
                              <w:szCs w:val="24"/>
                            </w:rPr>
                            <w:t>LRAIC</w:t>
                          </w:r>
                          <w:r>
                            <w:rPr>
                              <w:szCs w:val="24"/>
                              <w:vertAlign w:val="subscript"/>
                            </w:rPr>
                            <w:t>DSOMVONWAOX</w:t>
                          </w:r>
                          <w:r>
                            <w:rPr>
                              <w:szCs w:val="24"/>
                            </w:rPr>
                            <w:t xml:space="preserve"> – Modelio apskaičiuotos VĮ tinklo kitų tinklo elementų ir kito turto metinės OPEX.</w:t>
                          </w:r>
                        </w:p>
                      </w:sdtContent>
                    </w:sdt>
                  </w:sdtContent>
                </w:sdt>
                <w:sdt>
                  <w:sdtPr>
                    <w:alias w:val="65 p."/>
                    <w:tag w:val="part_080115d895144184bf02ca11cdf9ca9f"/>
                    <w:lock w:val="sdtLocked"/>
                    <w:richText/>
                  </w:sdtPr>
                  <w:sdtContent>
                    <w:p>
                      <w:pPr>
                        <w:tabs>
                          <w:tab w:val="left" w:pos="1134"/>
                          <w:tab w:val="left" w:pos="1843"/>
                          <w:tab w:val="left" w:pos="2268"/>
                        </w:tabs>
                        <w:ind w:firstLine="720"/>
                        <w:jc w:val="both"/>
                        <w:rPr>
                          <w:szCs w:val="24"/>
                        </w:rPr>
                      </w:pPr>
                      <w:sdt>
                        <w:sdtPr>
                          <w:alias w:val="Numeris"/>
                          <w:tag w:val="nr_080115d895144184bf02ca11cdf9ca9f"/>
                          <w:lock w:val="sdtLocked"/>
                          <w:richText/>
                        </w:sdtPr>
                        <w:sdtContent>
                          <w:r>
                            <w:rPr>
                              <w:szCs w:val="24"/>
                            </w:rPr>
                            <w:t>65</w:t>
                          </w:r>
                        </w:sdtContent>
                      </w:sdt>
                      <w:r>
                        <w:rPr>
                          <w:szCs w:val="24"/>
                        </w:rPr>
                        <w:t>. STO bendros leidžiamos paskutinių nustatomo reguliavimo periodo metų pajamos, ŽĮ ir VĮ tinkle, susideda iš 2 dalių:</w:t>
                      </w:r>
                    </w:p>
                    <w:sdt>
                      <w:sdtPr>
                        <w:alias w:val="65.1 p."/>
                        <w:tag w:val="part_c175613a9a684efdb997ec666f94cdc0"/>
                        <w:lock w:val="sdtLocked"/>
                        <w:richText/>
                      </w:sdtPr>
                      <w:sdtContent>
                        <w:p>
                          <w:pPr>
                            <w:tabs>
                              <w:tab w:val="left" w:pos="1134"/>
                            </w:tabs>
                            <w:ind w:firstLine="709"/>
                            <w:jc w:val="both"/>
                            <w:rPr>
                              <w:szCs w:val="24"/>
                            </w:rPr>
                          </w:pPr>
                          <w:sdt>
                            <w:sdtPr>
                              <w:alias w:val="Numeris"/>
                              <w:tag w:val="nr_c175613a9a684efdb997ec666f94cdc0"/>
                              <w:lock w:val="sdtLocked"/>
                              <w:richText/>
                            </w:sdtPr>
                            <w:sdtContent>
                              <w:r>
                                <w:rPr>
                                  <w:szCs w:val="24"/>
                                </w:rPr>
                                <w:t>65.1</w:t>
                              </w:r>
                            </w:sdtContent>
                          </w:sdt>
                          <w:r>
                            <w:rPr>
                              <w:szCs w:val="24"/>
                            </w:rPr>
                            <w:t xml:space="preserve">. metinių Kapitalo kaštų, kurie apskaičiuojami  Metodikos 7 punkte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65.2 p."/>
                        <w:tag w:val="part_e4dd94d141d54170935d1682ea37110c"/>
                        <w:lock w:val="sdtLocked"/>
                        <w:richText/>
                      </w:sdtPr>
                      <w:sdtContent>
                        <w:p>
                          <w:pPr>
                            <w:tabs>
                              <w:tab w:val="left" w:pos="1260"/>
                              <w:tab w:val="left" w:pos="1843"/>
                              <w:tab w:val="left" w:pos="2268"/>
                            </w:tabs>
                            <w:ind w:firstLine="720"/>
                            <w:jc w:val="both"/>
                            <w:rPr>
                              <w:szCs w:val="24"/>
                            </w:rPr>
                          </w:pPr>
                          <w:sdt>
                            <w:sdtPr>
                              <w:alias w:val="Numeris"/>
                              <w:tag w:val="nr_e4dd94d141d54170935d1682ea37110c"/>
                              <w:lock w:val="sdtLocked"/>
                              <w:richText/>
                            </w:sdtPr>
                            <w:sdtContent>
                              <w:r>
                                <w:rPr>
                                  <w:szCs w:val="24"/>
                                </w:rPr>
                                <w:t>65.2</w:t>
                              </w:r>
                            </w:sdtContent>
                          </w:sdt>
                          <w:r>
                            <w:rPr>
                              <w:szCs w:val="24"/>
                            </w:rPr>
                            <w:t xml:space="preserve">. metinio OPEX, kuris apskaičiuojamas Metodikos 8 punkte nustatyta tvarka ir planinio infliacijos dydžio. </w:t>
                          </w:r>
                        </w:p>
                      </w:sdtContent>
                    </w:sdt>
                  </w:sdtContent>
                </w:sdt>
                <w:sdt>
                  <w:sdtPr>
                    <w:alias w:val="66 p."/>
                    <w:tag w:val="part_2cb133c582f749c2b0df7d4b1f9f75fd"/>
                    <w:lock w:val="sdtLocked"/>
                    <w:richText/>
                  </w:sdtPr>
                  <w:sdtContent>
                    <w:p>
                      <w:pPr>
                        <w:tabs>
                          <w:tab w:val="left" w:pos="1080"/>
                          <w:tab w:val="left" w:pos="1843"/>
                          <w:tab w:val="left" w:pos="2268"/>
                        </w:tabs>
                        <w:ind w:firstLine="720"/>
                        <w:jc w:val="both"/>
                        <w:rPr>
                          <w:szCs w:val="24"/>
                        </w:rPr>
                      </w:pPr>
                      <w:sdt>
                        <w:sdtPr>
                          <w:alias w:val="Numeris"/>
                          <w:tag w:val="nr_2cb133c582f749c2b0df7d4b1f9f75fd"/>
                          <w:lock w:val="sdtLocked"/>
                          <w:richText/>
                        </w:sdtPr>
                        <w:sdtContent>
                          <w:r>
                            <w:rPr>
                              <w:szCs w:val="24"/>
                            </w:rPr>
                            <w:t>66</w:t>
                          </w:r>
                        </w:sdtContent>
                      </w:sdt>
                      <w:r>
                        <w:rPr>
                          <w:szCs w:val="24"/>
                        </w:rPr>
                        <w:t xml:space="preserve">. Metinės </w:t>
                      </w:r>
                      <w:r>
                        <w:rPr>
                          <w:i/>
                          <w:szCs w:val="24"/>
                        </w:rPr>
                        <w:t>t</w:t>
                      </w:r>
                      <w:r>
                        <w:rPr>
                          <w:szCs w:val="24"/>
                        </w:rPr>
                        <w:t xml:space="preserve"> metų STO nekoreguotos leidžiamos pajamos VĮ ir ŽĮ tinkluose apskaičiuojamos pagal formules:</w:t>
                      </w:r>
                    </w:p>
                    <w:sdt>
                      <w:sdtPr>
                        <w:alias w:val="66.1 p."/>
                        <w:tag w:val="part_340c57df08fb410dab62648caf14af44"/>
                        <w:lock w:val="sdtLocked"/>
                        <w:richText/>
                      </w:sdtPr>
                      <w:sdtContent>
                        <w:p>
                          <w:pPr>
                            <w:tabs>
                              <w:tab w:val="left" w:pos="1276"/>
                              <w:tab w:val="left" w:pos="1843"/>
                              <w:tab w:val="left" w:pos="2268"/>
                            </w:tabs>
                            <w:ind w:firstLine="709"/>
                            <w:jc w:val="both"/>
                            <w:rPr>
                              <w:szCs w:val="24"/>
                            </w:rPr>
                          </w:pPr>
                          <w:sdt>
                            <w:sdtPr>
                              <w:alias w:val="Numeris"/>
                              <w:tag w:val="nr_340c57df08fb410dab62648caf14af44"/>
                              <w:lock w:val="sdtLocked"/>
                              <w:richText/>
                            </w:sdtPr>
                            <w:sdtContent>
                              <w:r>
                                <w:rPr>
                                  <w:szCs w:val="24"/>
                                </w:rPr>
                                <w:t>66.1</w:t>
                              </w:r>
                            </w:sdtContent>
                          </w:sdt>
                          <w:r>
                            <w:rPr>
                              <w:szCs w:val="24"/>
                            </w:rPr>
                            <w:t xml:space="preserve">. ŽĮ tinkle leidžiamos nekoreguotos </w:t>
                          </w:r>
                          <w:r>
                            <w:rPr>
                              <w:i/>
                              <w:szCs w:val="24"/>
                            </w:rPr>
                            <w:t>t</w:t>
                          </w:r>
                          <w:r>
                            <w:rPr>
                              <w:szCs w:val="24"/>
                            </w:rPr>
                            <w:t xml:space="preserve"> metų pajamos:</w:t>
                          </w:r>
                        </w:p>
                        <w:p>
                          <w:pPr>
                            <w:tabs>
                              <w:tab w:val="left" w:pos="1134"/>
                              <w:tab w:val="left" w:pos="1843"/>
                              <w:tab w:val="left" w:pos="2268"/>
                            </w:tabs>
                            <w:jc w:val="both"/>
                            <w:rPr>
                              <w:szCs w:val="24"/>
                            </w:rPr>
                          </w:pPr>
                        </w:p>
                        <w:p>
                          <w:pPr>
                            <w:tabs>
                              <w:tab w:val="left" w:pos="1134"/>
                              <w:tab w:val="left" w:pos="9214"/>
                            </w:tabs>
                            <w:ind w:firstLine="1134"/>
                            <w:jc w:val="both"/>
                            <w:rPr>
                              <w:szCs w:val="24"/>
                            </w:rPr>
                          </w:pPr>
                          <m:oMath>
                            <m:sSub>
                              <m:sSubPr>
                                <m:ctrlPr>
                                  <w:rPr>
                                    <w:rFonts w:ascii="Cambria Math" w:hAnsi="Cambria Math"/>
                                    <w:i/>
                                  </w:rPr>
                                </m:ctrlPr>
                              </m:sSubPr>
                              <m:e>
                                <m:r>
                                  <w:rPr>
                                    <w:rFonts w:ascii="Cambria Math" w:hAnsi="Cambria Math"/>
                                  </w:rPr>
                                  <m:t>LRAIC</m:t>
                                </m:r>
                              </m:e>
                              <m:sub>
                                <m:r>
                                  <w:rPr>
                                    <w:rFonts w:ascii="Cambria Math" w:hAnsi="Cambria Math"/>
                                  </w:rPr>
                                  <m:t>DSOLV</m:t>
                                </m:r>
                                <m:r>
                                  <w:rPr>
                                    <w:rFonts w:ascii="Cambria Math" w:hAnsi="Cambria Math"/>
                                  </w:rPr>
                                  <m:t>,</m:t>
                                </m:r>
                                <m:r>
                                  <w:rPr>
                                    <w:rFonts w:ascii="Cambria Math" w:hAnsi="Cambria Math"/>
                                  </w:rPr>
                                  <m:t>t</m:t>
                                </m:r>
                              </m:sub>
                            </m:sSub>
                            <m:r>
                              <w:rPr>
                                <w:rFonts w:ascii="Cambria Math" w:hAnsi="Cambria Math"/>
                              </w:rPr>
                              <m:t>=</m:t>
                            </m:r>
                            <m:sSub>
                              <m:sSubPr>
                                <m:ctrlPr>
                                  <w:rPr>
                                    <w:rFonts w:ascii="Cambria Math" w:hAnsi="Cambria Math"/>
                                    <w:i/>
                                  </w:rPr>
                                </m:ctrlPr>
                              </m:sSubPr>
                              <m:e>
                                <m:r>
                                  <w:rPr>
                                    <w:rFonts w:ascii="Cambria Math" w:hAnsi="Cambria Math"/>
                                  </w:rPr>
                                  <m:t>P</m:t>
                                </m:r>
                              </m:e>
                              <m:sub>
                                <m:r>
                                  <w:rPr>
                                    <w:rFonts w:ascii="Cambria Math" w:hAnsi="Cambria Math"/>
                                  </w:rPr>
                                  <m:t>DSOLV</m:t>
                                </m:r>
                                <m:r>
                                  <w:rPr>
                                    <w:rFonts w:ascii="Cambria Math" w:hAnsi="Cambria Math"/>
                                  </w:rPr>
                                  <m:t>,0</m:t>
                                </m:r>
                              </m:sub>
                            </m:sSub>
                            <m:r>
                              <w:rPr>
                                <w:rFonts w:ascii="Cambria Math" w:hAnsi="Cambria Math"/>
                              </w:rPr>
                              <m:t>-</m:t>
                            </m:r>
                            <m:d>
                              <m:dPr>
                                <m:ctrlPr>
                                  <w:rPr>
                                    <w:rFonts w:ascii="Cambria Math" w:hAnsi="Cambria Math"/>
                                    <w:i/>
                                  </w:rPr>
                                </m:ctrlPr>
                              </m:dPr>
                              <m:e>
                                <m:f>
                                  <m:fPr>
                                    <m:ctrlPr>
                                      <w:rPr>
                                        <w:rFonts w:ascii="Cambria Math" w:hAnsi="Cambria Math"/>
                                        <w:i/>
                                      </w:rPr>
                                    </m:ctrlPr>
                                  </m:fPr>
                                  <m:num>
                                    <m:sSub>
                                      <m:sSubPr>
                                        <m:ctrlPr>
                                          <w:rPr>
                                            <w:rFonts w:ascii="Cambria Math" w:hAnsi="Cambria Math"/>
                                            <w:i/>
                                          </w:rPr>
                                        </m:ctrlPr>
                                      </m:sSubPr>
                                      <m:e>
                                        <m:r>
                                          <w:rPr>
                                            <w:rFonts w:ascii="Cambria Math" w:hAnsi="Cambria Math"/>
                                          </w:rPr>
                                          <m:t>P</m:t>
                                        </m:r>
                                      </m:e>
                                      <m:sub>
                                        <m:r>
                                          <w:rPr>
                                            <w:rFonts w:ascii="Cambria Math" w:hAnsi="Cambria Math"/>
                                          </w:rPr>
                                          <m:t>DSOLV</m:t>
                                        </m:r>
                                        <m:r>
                                          <w:rPr>
                                            <w:rFonts w:ascii="Cambria Math" w:hAnsi="Cambria Math"/>
                                          </w:rPr>
                                          <m:t>,0</m:t>
                                        </m:r>
                                      </m:sub>
                                    </m:sSub>
                                    <m:r>
                                      <w:rPr>
                                        <w:rFonts w:ascii="Cambria Math" w:hAnsi="Cambria Math"/>
                                      </w:rPr>
                                      <m:t>-</m:t>
                                    </m:r>
                                    <m:sSub>
                                      <m:sSubPr>
                                        <m:ctrlPr>
                                          <w:rPr>
                                            <w:rFonts w:ascii="Cambria Math" w:hAnsi="Cambria Math"/>
                                            <w:i/>
                                          </w:rPr>
                                        </m:ctrlPr>
                                      </m:sSubPr>
                                      <m:e>
                                        <m:r>
                                          <w:rPr>
                                            <w:rFonts w:ascii="Cambria Math" w:hAnsi="Cambria Math"/>
                                          </w:rPr>
                                          <m:t>LRAIC</m:t>
                                        </m:r>
                                      </m:e>
                                      <m:sub>
                                        <m:r>
                                          <w:rPr>
                                            <w:rFonts w:ascii="Cambria Math" w:hAnsi="Cambria Math"/>
                                          </w:rPr>
                                          <m:t>DSOLV</m:t>
                                        </m:r>
                                        <m:r>
                                          <w:rPr>
                                            <w:rFonts w:ascii="Cambria Math" w:hAnsi="Cambria Math"/>
                                          </w:rPr>
                                          <m:t>,</m:t>
                                        </m:r>
                                        <m:r>
                                          <w:rPr>
                                            <w:rFonts w:ascii="Cambria Math" w:hAnsi="Cambria Math"/>
                                          </w:rPr>
                                          <m:t>m</m:t>
                                        </m:r>
                                      </m:sub>
                                    </m:sSub>
                                  </m:num>
                                  <m:den>
                                    <m:r>
                                      <w:rPr>
                                        <w:rFonts w:ascii="Cambria Math" w:hAnsi="Cambria Math"/>
                                      </w:rPr>
                                      <m:t>T</m:t>
                                    </m:r>
                                  </m:den>
                                </m:f>
                              </m:e>
                            </m:d>
                            <m:r>
                              <w:rPr>
                                <w:rFonts w:ascii="Cambria Math" w:hAnsi="Cambria Math"/>
                              </w:rPr>
                              <m:t>×</m:t>
                            </m:r>
                            <m:r>
                              <w:rPr>
                                <w:rFonts w:ascii="Cambria Math" w:hAnsi="Cambria Math"/>
                              </w:rPr>
                              <m:t>t</m:t>
                            </m:r>
                          </m:oMath>
                          <w:r>
                            <w:tab/>
                          </w:r>
                          <w:r>
                            <w:rPr>
                              <w:szCs w:val="24"/>
                            </w:rPr>
                            <w:t>(34)</w:t>
                          </w:r>
                        </w:p>
                        <w:p>
                          <w:pPr>
                            <w:tabs>
                              <w:tab w:val="left" w:pos="1134"/>
                              <w:tab w:val="left" w:pos="1843"/>
                              <w:tab w:val="left" w:pos="2268"/>
                            </w:tabs>
                            <w:jc w:val="both"/>
                            <w:rPr>
                              <w:szCs w:val="24"/>
                            </w:rPr>
                          </w:pPr>
                        </w:p>
                        <w:p>
                          <w:pPr>
                            <w:tabs>
                              <w:tab w:val="left" w:pos="1134"/>
                              <w:tab w:val="left" w:pos="1843"/>
                              <w:tab w:val="left" w:pos="2268"/>
                            </w:tabs>
                            <w:jc w:val="both"/>
                            <w:rPr>
                              <w:i/>
                              <w:szCs w:val="24"/>
                            </w:rPr>
                          </w:pPr>
                          <w:r>
                            <w:rPr>
                              <w:i/>
                              <w:szCs w:val="24"/>
                            </w:rPr>
                            <w:t>čia:</w:t>
                          </w:r>
                        </w:p>
                        <w:p>
                          <w:pPr>
                            <w:tabs>
                              <w:tab w:val="left" w:pos="1134"/>
                              <w:tab w:val="left" w:pos="1843"/>
                              <w:tab w:val="left" w:pos="2268"/>
                            </w:tabs>
                            <w:contextualSpacing/>
                            <w:jc w:val="both"/>
                            <w:rPr>
                              <w:szCs w:val="24"/>
                            </w:rPr>
                          </w:pPr>
                          <w:r>
                            <w:rPr>
                              <w:szCs w:val="24"/>
                            </w:rPr>
                            <w:t>LRAIC</w:t>
                          </w:r>
                          <w:r>
                            <w:rPr>
                              <w:szCs w:val="24"/>
                              <w:vertAlign w:val="subscript"/>
                            </w:rPr>
                            <w:t>DSOLV,t</w:t>
                          </w:r>
                          <w:r>
                            <w:rPr>
                              <w:szCs w:val="24"/>
                            </w:rPr>
                            <w:t xml:space="preserve"> – STO ŽĮ tinklo nekoreguotos </w:t>
                          </w:r>
                          <w:r>
                            <w:rPr>
                              <w:i/>
                              <w:szCs w:val="24"/>
                            </w:rPr>
                            <w:t>t</w:t>
                          </w:r>
                          <w:r>
                            <w:rPr>
                              <w:szCs w:val="24"/>
                            </w:rPr>
                            <w:t xml:space="preserve"> metų leidžiamos pajamos;</w:t>
                          </w:r>
                        </w:p>
                        <w:p>
                          <w:pPr>
                            <w:tabs>
                              <w:tab w:val="left" w:pos="1134"/>
                              <w:tab w:val="left" w:pos="1843"/>
                              <w:tab w:val="left" w:pos="2268"/>
                            </w:tabs>
                            <w:contextualSpacing/>
                            <w:jc w:val="both"/>
                            <w:rPr>
                              <w:szCs w:val="24"/>
                            </w:rPr>
                          </w:pPr>
                          <w:r>
                            <w:rPr>
                              <w:szCs w:val="24"/>
                            </w:rPr>
                            <w:t>P</w:t>
                          </w:r>
                          <w:r>
                            <w:rPr>
                              <w:szCs w:val="24"/>
                              <w:vertAlign w:val="subscript"/>
                            </w:rPr>
                            <w:t>DSOLV,0</w:t>
                          </w:r>
                          <w:r>
                            <w:rPr>
                              <w:szCs w:val="24"/>
                            </w:rPr>
                            <w:t xml:space="preserve"> – STO ŽĮ tinklo leidžiamos pajamos metų, einančių prieš pirmus reguliavimo periodo metus;</w:t>
                          </w:r>
                        </w:p>
                        <w:p>
                          <w:pPr>
                            <w:tabs>
                              <w:tab w:val="left" w:pos="1134"/>
                              <w:tab w:val="left" w:pos="1843"/>
                              <w:tab w:val="left" w:pos="2268"/>
                            </w:tabs>
                            <w:contextualSpacing/>
                            <w:jc w:val="both"/>
                            <w:rPr>
                              <w:szCs w:val="24"/>
                            </w:rPr>
                          </w:pPr>
                          <w:r>
                            <w:rPr>
                              <w:szCs w:val="24"/>
                            </w:rPr>
                            <w:t>LRAIC</w:t>
                          </w:r>
                          <w:r>
                            <w:rPr>
                              <w:szCs w:val="24"/>
                              <w:vertAlign w:val="subscript"/>
                            </w:rPr>
                            <w:t>DSOLV,m</w:t>
                          </w:r>
                          <w:r>
                            <w:rPr>
                              <w:szCs w:val="24"/>
                            </w:rPr>
                            <w:t xml:space="preserve"> –STO bendros leidžiamos paskutinių nustatomo reguliavimo periodo metų pajamos ŽĮ tinkle; </w:t>
                          </w:r>
                        </w:p>
                        <w:p>
                          <w:pPr>
                            <w:tabs>
                              <w:tab w:val="left" w:pos="1134"/>
                              <w:tab w:val="left" w:pos="1843"/>
                              <w:tab w:val="left" w:pos="2268"/>
                            </w:tabs>
                            <w:contextualSpacing/>
                            <w:jc w:val="both"/>
                            <w:rPr>
                              <w:szCs w:val="24"/>
                            </w:rPr>
                          </w:pPr>
                          <w:r>
                            <w:rPr>
                              <w:i/>
                              <w:szCs w:val="24"/>
                            </w:rPr>
                            <w:t>T</w:t>
                          </w:r>
                          <w:r>
                            <w:rPr>
                              <w:szCs w:val="24"/>
                            </w:rPr>
                            <w:t xml:space="preserve"> – reguliavimo periodo (modeliavimo) trukmė metais;</w:t>
                          </w:r>
                        </w:p>
                        <w:p>
                          <w:pPr>
                            <w:tabs>
                              <w:tab w:val="left" w:pos="1134"/>
                              <w:tab w:val="left" w:pos="1843"/>
                              <w:tab w:val="left" w:pos="2268"/>
                            </w:tabs>
                            <w:contextualSpacing/>
                            <w:jc w:val="both"/>
                            <w:rPr>
                              <w:szCs w:val="24"/>
                            </w:rPr>
                          </w:pPr>
                          <w:r>
                            <w:rPr>
                              <w:i/>
                              <w:szCs w:val="24"/>
                            </w:rPr>
                            <w:t>t</w:t>
                          </w:r>
                          <w:r>
                            <w:rPr>
                              <w:szCs w:val="24"/>
                            </w:rPr>
                            <w:t xml:space="preserve"> – reguliavimo periodo metų eilės numeris, kuriam skaičiuojamos nekoreguotos leidžiamos pajamos.</w:t>
                          </w:r>
                        </w:p>
                      </w:sdtContent>
                    </w:sdt>
                    <w:sdt>
                      <w:sdtPr>
                        <w:alias w:val="66.2 p."/>
                        <w:tag w:val="part_0994c961094b43f1b48cfb713c78b889"/>
                        <w:lock w:val="sdtLocked"/>
                        <w:richText/>
                      </w:sdtPr>
                      <w:sdtContent>
                        <w:p>
                          <w:pPr>
                            <w:tabs>
                              <w:tab w:val="left" w:pos="1276"/>
                              <w:tab w:val="left" w:pos="1843"/>
                              <w:tab w:val="left" w:pos="2268"/>
                            </w:tabs>
                            <w:ind w:firstLine="709"/>
                            <w:contextualSpacing/>
                            <w:jc w:val="both"/>
                            <w:rPr>
                              <w:szCs w:val="24"/>
                            </w:rPr>
                          </w:pPr>
                          <w:sdt>
                            <w:sdtPr>
                              <w:alias w:val="Numeris"/>
                              <w:tag w:val="nr_0994c961094b43f1b48cfb713c78b889"/>
                              <w:lock w:val="sdtLocked"/>
                              <w:richText/>
                            </w:sdtPr>
                            <w:sdtContent>
                              <w:r>
                                <w:rPr>
                                  <w:szCs w:val="24"/>
                                </w:rPr>
                                <w:t>66.2</w:t>
                              </w:r>
                            </w:sdtContent>
                          </w:sdt>
                          <w:r>
                            <w:rPr>
                              <w:szCs w:val="24"/>
                            </w:rPr>
                            <w:t xml:space="preserve">. VĮ tinkle leidžiamos nekoreguotos </w:t>
                          </w:r>
                          <w:r>
                            <w:rPr>
                              <w:i/>
                              <w:szCs w:val="24"/>
                            </w:rPr>
                            <w:t xml:space="preserve">t </w:t>
                          </w:r>
                          <w:r>
                            <w:rPr>
                              <w:szCs w:val="24"/>
                            </w:rPr>
                            <w:t>metų pajamos:</w:t>
                          </w:r>
                        </w:p>
                        <w:p>
                          <w:pPr>
                            <w:tabs>
                              <w:tab w:val="left" w:pos="1276"/>
                              <w:tab w:val="left" w:pos="1843"/>
                              <w:tab w:val="left" w:pos="2268"/>
                            </w:tabs>
                            <w:contextualSpacing/>
                            <w:jc w:val="both"/>
                            <w:rPr>
                              <w:szCs w:val="24"/>
                            </w:rPr>
                          </w:pPr>
                        </w:p>
                        <w:p>
                          <w:pPr>
                            <w:tabs>
                              <w:tab w:val="left" w:pos="1134"/>
                              <w:tab w:val="left" w:pos="9214"/>
                            </w:tabs>
                            <w:ind w:firstLine="1134"/>
                            <w:jc w:val="both"/>
                            <w:rPr>
                              <w:szCs w:val="24"/>
                            </w:rPr>
                          </w:pPr>
                          <m:oMath>
                            <m:sSub>
                              <m:sSubPr>
                                <m:ctrlPr>
                                  <w:rPr>
                                    <w:rFonts w:ascii="Cambria Math" w:hAnsi="Cambria Math"/>
                                    <w:i/>
                                  </w:rPr>
                                </m:ctrlPr>
                              </m:sSubPr>
                              <m:e>
                                <m:r>
                                  <w:rPr>
                                    <w:rFonts w:ascii="Cambria Math" w:hAnsi="Cambria Math"/>
                                  </w:rPr>
                                  <m:t>LRAIC</m:t>
                                </m:r>
                              </m:e>
                              <m:sub>
                                <m:r>
                                  <w:rPr>
                                    <w:rFonts w:ascii="Cambria Math" w:hAnsi="Cambria Math"/>
                                  </w:rPr>
                                  <m:t>DSOMV</m:t>
                                </m:r>
                                <m:r>
                                  <w:rPr>
                                    <w:rFonts w:ascii="Cambria Math" w:hAnsi="Cambria Math"/>
                                  </w:rPr>
                                  <m:t>,</m:t>
                                </m:r>
                                <m:r>
                                  <w:rPr>
                                    <w:rFonts w:ascii="Cambria Math" w:hAnsi="Cambria Math"/>
                                  </w:rPr>
                                  <m:t>t</m:t>
                                </m:r>
                              </m:sub>
                            </m:sSub>
                            <m:r>
                              <w:rPr>
                                <w:rFonts w:ascii="Cambria Math" w:hAnsi="Cambria Math"/>
                              </w:rPr>
                              <m:t>=</m:t>
                            </m:r>
                            <m:sSub>
                              <m:sSubPr>
                                <m:ctrlPr>
                                  <w:rPr>
                                    <w:rFonts w:ascii="Cambria Math" w:hAnsi="Cambria Math"/>
                                    <w:i/>
                                  </w:rPr>
                                </m:ctrlPr>
                              </m:sSubPr>
                              <m:e>
                                <m:r>
                                  <w:rPr>
                                    <w:rFonts w:ascii="Cambria Math" w:hAnsi="Cambria Math"/>
                                  </w:rPr>
                                  <m:t>P</m:t>
                                </m:r>
                              </m:e>
                              <m:sub>
                                <m:r>
                                  <w:rPr>
                                    <w:rFonts w:ascii="Cambria Math" w:hAnsi="Cambria Math"/>
                                  </w:rPr>
                                  <m:t>DSOMV</m:t>
                                </m:r>
                                <m:r>
                                  <w:rPr>
                                    <w:rFonts w:ascii="Cambria Math" w:hAnsi="Cambria Math"/>
                                  </w:rPr>
                                  <m:t>,0</m:t>
                                </m:r>
                              </m:sub>
                            </m:sSub>
                            <m:r>
                              <w:rPr>
                                <w:rFonts w:ascii="Cambria Math" w:hAnsi="Cambria Math"/>
                              </w:rPr>
                              <m:t>-</m:t>
                            </m:r>
                            <m:d>
                              <m:dPr>
                                <m:ctrlPr>
                                  <w:rPr>
                                    <w:rFonts w:ascii="Cambria Math" w:hAnsi="Cambria Math"/>
                                    <w:i/>
                                  </w:rPr>
                                </m:ctrlPr>
                              </m:dPr>
                              <m:e>
                                <m:f>
                                  <m:fPr>
                                    <m:ctrlPr>
                                      <w:rPr>
                                        <w:rFonts w:ascii="Cambria Math" w:hAnsi="Cambria Math"/>
                                        <w:i/>
                                      </w:rPr>
                                    </m:ctrlPr>
                                  </m:fPr>
                                  <m:num>
                                    <m:sSub>
                                      <m:sSubPr>
                                        <m:ctrlPr>
                                          <w:rPr>
                                            <w:rFonts w:ascii="Cambria Math" w:hAnsi="Cambria Math"/>
                                            <w:i/>
                                          </w:rPr>
                                        </m:ctrlPr>
                                      </m:sSubPr>
                                      <m:e>
                                        <m:r>
                                          <w:rPr>
                                            <w:rFonts w:ascii="Cambria Math" w:hAnsi="Cambria Math"/>
                                          </w:rPr>
                                          <m:t>P</m:t>
                                        </m:r>
                                      </m:e>
                                      <m:sub>
                                        <m:r>
                                          <w:rPr>
                                            <w:rFonts w:ascii="Cambria Math" w:hAnsi="Cambria Math"/>
                                          </w:rPr>
                                          <m:t>DSOMV</m:t>
                                        </m:r>
                                        <m:r>
                                          <w:rPr>
                                            <w:rFonts w:ascii="Cambria Math" w:hAnsi="Cambria Math"/>
                                          </w:rPr>
                                          <m:t>,0</m:t>
                                        </m:r>
                                      </m:sub>
                                    </m:sSub>
                                    <m:r>
                                      <w:rPr>
                                        <w:rFonts w:ascii="Cambria Math" w:hAnsi="Cambria Math"/>
                                      </w:rPr>
                                      <m:t>-</m:t>
                                    </m:r>
                                    <m:sSub>
                                      <m:sSubPr>
                                        <m:ctrlPr>
                                          <w:rPr>
                                            <w:rFonts w:ascii="Cambria Math" w:hAnsi="Cambria Math"/>
                                            <w:i/>
                                          </w:rPr>
                                        </m:ctrlPr>
                                      </m:sSubPr>
                                      <m:e>
                                        <m:r>
                                          <w:rPr>
                                            <w:rFonts w:ascii="Cambria Math" w:hAnsi="Cambria Math"/>
                                          </w:rPr>
                                          <m:t>LRAIC</m:t>
                                        </m:r>
                                      </m:e>
                                      <m:sub>
                                        <m:r>
                                          <w:rPr>
                                            <w:rFonts w:ascii="Cambria Math" w:hAnsi="Cambria Math"/>
                                          </w:rPr>
                                          <m:t>DSOMV</m:t>
                                        </m:r>
                                        <m:r>
                                          <w:rPr>
                                            <w:rFonts w:ascii="Cambria Math" w:hAnsi="Cambria Math"/>
                                          </w:rPr>
                                          <m:t>,</m:t>
                                        </m:r>
                                        <m:r>
                                          <w:rPr>
                                            <w:rFonts w:ascii="Cambria Math" w:hAnsi="Cambria Math"/>
                                          </w:rPr>
                                          <m:t>m</m:t>
                                        </m:r>
                                      </m:sub>
                                    </m:sSub>
                                  </m:num>
                                  <m:den>
                                    <m:r>
                                      <w:rPr>
                                        <w:rFonts w:ascii="Cambria Math" w:hAnsi="Cambria Math"/>
                                      </w:rPr>
                                      <m:t>T</m:t>
                                    </m:r>
                                  </m:den>
                                </m:f>
                              </m:e>
                            </m:d>
                            <m:r>
                              <w:rPr>
                                <w:rFonts w:ascii="Cambria Math" w:hAnsi="Cambria Math"/>
                              </w:rPr>
                              <m:t>×</m:t>
                            </m:r>
                            <m:r>
                              <w:rPr>
                                <w:rFonts w:ascii="Cambria Math" w:hAnsi="Cambria Math"/>
                              </w:rPr>
                              <m:t>t</m:t>
                            </m:r>
                          </m:oMath>
                          <w:r>
                            <w:tab/>
                          </w:r>
                          <w:r>
                            <w:rPr>
                              <w:szCs w:val="24"/>
                            </w:rPr>
                            <w:t>(35)</w:t>
                          </w:r>
                        </w:p>
                        <w:p>
                          <w:pPr>
                            <w:tabs>
                              <w:tab w:val="left" w:pos="1134"/>
                              <w:tab w:val="left" w:pos="1843"/>
                              <w:tab w:val="left" w:pos="2268"/>
                            </w:tabs>
                            <w:contextualSpacing/>
                            <w:jc w:val="both"/>
                            <w:rPr>
                              <w:szCs w:val="24"/>
                            </w:rPr>
                          </w:pPr>
                        </w:p>
                        <w:p>
                          <w:pPr>
                            <w:tabs>
                              <w:tab w:val="left" w:pos="1134"/>
                              <w:tab w:val="left" w:pos="1843"/>
                              <w:tab w:val="left" w:pos="2268"/>
                            </w:tabs>
                            <w:jc w:val="both"/>
                            <w:rPr>
                              <w:i/>
                              <w:szCs w:val="24"/>
                            </w:rPr>
                          </w:pPr>
                          <w:r>
                            <w:rPr>
                              <w:i/>
                              <w:szCs w:val="24"/>
                            </w:rPr>
                            <w:t>čia:</w:t>
                          </w:r>
                        </w:p>
                        <w:p>
                          <w:pPr>
                            <w:tabs>
                              <w:tab w:val="left" w:pos="0"/>
                              <w:tab w:val="left" w:pos="1134"/>
                              <w:tab w:val="left" w:pos="1843"/>
                              <w:tab w:val="left" w:pos="2268"/>
                            </w:tabs>
                            <w:contextualSpacing/>
                            <w:jc w:val="both"/>
                            <w:rPr>
                              <w:szCs w:val="24"/>
                            </w:rPr>
                          </w:pPr>
                          <w:r>
                            <w:rPr>
                              <w:szCs w:val="24"/>
                            </w:rPr>
                            <w:t>LRAIC</w:t>
                          </w:r>
                          <w:r>
                            <w:rPr>
                              <w:szCs w:val="24"/>
                              <w:vertAlign w:val="subscript"/>
                            </w:rPr>
                            <w:t xml:space="preserve">DSOMV,t </w:t>
                          </w:r>
                          <w:r>
                            <w:rPr>
                              <w:szCs w:val="24"/>
                            </w:rPr>
                            <w:t xml:space="preserve">– STO VĮ tinklo nekoreguotos </w:t>
                          </w:r>
                          <w:r>
                            <w:rPr>
                              <w:i/>
                              <w:szCs w:val="24"/>
                            </w:rPr>
                            <w:t>t</w:t>
                          </w:r>
                          <w:r>
                            <w:rPr>
                              <w:szCs w:val="24"/>
                            </w:rPr>
                            <w:t xml:space="preserve"> metų leidžiamos pajamos;</w:t>
                          </w:r>
                        </w:p>
                        <w:p>
                          <w:pPr>
                            <w:tabs>
                              <w:tab w:val="left" w:pos="0"/>
                              <w:tab w:val="left" w:pos="1134"/>
                              <w:tab w:val="left" w:pos="1843"/>
                              <w:tab w:val="left" w:pos="2268"/>
                            </w:tabs>
                            <w:contextualSpacing/>
                            <w:jc w:val="both"/>
                            <w:rPr>
                              <w:szCs w:val="24"/>
                            </w:rPr>
                          </w:pPr>
                          <w:r>
                            <w:rPr>
                              <w:szCs w:val="24"/>
                            </w:rPr>
                            <w:t>P</w:t>
                          </w:r>
                          <w:r>
                            <w:rPr>
                              <w:szCs w:val="24"/>
                              <w:vertAlign w:val="subscript"/>
                            </w:rPr>
                            <w:t>DSOMV,0</w:t>
                          </w:r>
                          <w:r>
                            <w:rPr>
                              <w:szCs w:val="24"/>
                            </w:rPr>
                            <w:t xml:space="preserve"> – STO VĮ tinklo leidžiamos pajamos metų, einančių prieš pirmus reguliavimo periodo metus;</w:t>
                          </w:r>
                        </w:p>
                        <w:p>
                          <w:pPr>
                            <w:tabs>
                              <w:tab w:val="left" w:pos="1134"/>
                              <w:tab w:val="left" w:pos="1843"/>
                              <w:tab w:val="left" w:pos="2268"/>
                            </w:tabs>
                            <w:contextualSpacing/>
                            <w:jc w:val="both"/>
                            <w:rPr>
                              <w:szCs w:val="24"/>
                            </w:rPr>
                          </w:pPr>
                          <w:r>
                            <w:rPr>
                              <w:szCs w:val="24"/>
                            </w:rPr>
                            <w:t>LRAIC</w:t>
                          </w:r>
                          <w:r>
                            <w:rPr>
                              <w:szCs w:val="24"/>
                              <w:vertAlign w:val="subscript"/>
                            </w:rPr>
                            <w:t>DSOMV,m</w:t>
                          </w:r>
                          <w:r>
                            <w:rPr>
                              <w:szCs w:val="24"/>
                            </w:rPr>
                            <w:t xml:space="preserve"> – STO bendros leidžiamos paskutinių nustatomo reguliavimo periodo metų pajamos VĮ tinkle;</w:t>
                          </w:r>
                        </w:p>
                        <w:p>
                          <w:pPr>
                            <w:tabs>
                              <w:tab w:val="left" w:pos="1134"/>
                              <w:tab w:val="left" w:pos="1843"/>
                              <w:tab w:val="left" w:pos="2268"/>
                            </w:tabs>
                            <w:contextualSpacing/>
                            <w:jc w:val="both"/>
                            <w:rPr>
                              <w:szCs w:val="24"/>
                            </w:rPr>
                          </w:pPr>
                          <w:r>
                            <w:rPr>
                              <w:i/>
                              <w:szCs w:val="24"/>
                            </w:rPr>
                            <w:t>T</w:t>
                          </w:r>
                          <w:r>
                            <w:rPr>
                              <w:szCs w:val="24"/>
                            </w:rPr>
                            <w:t xml:space="preserve"> – reguliavimo periodo (modeliavimo) trukmė metais;</w:t>
                          </w:r>
                        </w:p>
                        <w:p>
                          <w:pPr>
                            <w:tabs>
                              <w:tab w:val="left" w:pos="1134"/>
                              <w:tab w:val="left" w:pos="1843"/>
                              <w:tab w:val="left" w:pos="2268"/>
                            </w:tabs>
                            <w:contextualSpacing/>
                            <w:jc w:val="both"/>
                            <w:rPr>
                              <w:szCs w:val="24"/>
                            </w:rPr>
                          </w:pPr>
                          <w:r>
                            <w:rPr>
                              <w:i/>
                              <w:szCs w:val="24"/>
                            </w:rPr>
                            <w:t>t</w:t>
                          </w:r>
                          <w:r>
                            <w:rPr>
                              <w:szCs w:val="24"/>
                            </w:rPr>
                            <w:t xml:space="preserve"> – reguliavimo periodo metų eilės numeris, kuriam skaičiuojamos nekoreguotos leidžiamos pajamos.</w:t>
                          </w:r>
                        </w:p>
                      </w:sdtContent>
                    </w:sdt>
                  </w:sdtContent>
                </w:sdt>
                <w:sdt>
                  <w:sdtPr>
                    <w:alias w:val="67 p."/>
                    <w:tag w:val="part_9a1597f33d724eba9c4cc5c63f7fcb3c"/>
                    <w:lock w:val="sdtLocked"/>
                    <w:richText/>
                  </w:sdtPr>
                  <w:sdtContent>
                    <w:p>
                      <w:pPr>
                        <w:tabs>
                          <w:tab w:val="left" w:pos="1134"/>
                        </w:tabs>
                        <w:ind w:firstLine="709"/>
                        <w:jc w:val="both"/>
                        <w:rPr>
                          <w:szCs w:val="24"/>
                        </w:rPr>
                      </w:pPr>
                      <w:sdt>
                        <w:sdtPr>
                          <w:alias w:val="Numeris"/>
                          <w:tag w:val="nr_9a1597f33d724eba9c4cc5c63f7fcb3c"/>
                          <w:lock w:val="sdtLocked"/>
                          <w:richText/>
                        </w:sdtPr>
                        <w:sdtContent>
                          <w:r>
                            <w:rPr>
                              <w:szCs w:val="24"/>
                            </w:rPr>
                            <w:t>67</w:t>
                          </w:r>
                        </w:sdtContent>
                      </w:sdt>
                      <w:r>
                        <w:rPr>
                          <w:szCs w:val="24"/>
                        </w:rPr>
                        <w:t>. Galutinės STO leidžiamos pajamos ŽĮ ir VĮ tinkluose apskaičiuojamos:</w:t>
                      </w:r>
                    </w:p>
                    <w:sdt>
                      <w:sdtPr>
                        <w:alias w:val="67.1 p."/>
                        <w:tag w:val="part_ae7e15d86bbd4a7f927e6cbcb4971792"/>
                        <w:lock w:val="sdtLocked"/>
                        <w:richText/>
                      </w:sdtPr>
                      <w:sdtContent>
                        <w:p>
                          <w:pPr>
                            <w:ind w:firstLine="720"/>
                            <w:jc w:val="both"/>
                            <w:rPr>
                              <w:szCs w:val="24"/>
                            </w:rPr>
                          </w:pPr>
                          <w:sdt>
                            <w:sdtPr>
                              <w:alias w:val="Numeris"/>
                              <w:tag w:val="nr_ae7e15d86bbd4a7f927e6cbcb4971792"/>
                              <w:lock w:val="sdtLocked"/>
                              <w:richText/>
                            </w:sdtPr>
                            <w:sdtContent>
                              <w:r>
                                <w:rPr>
                                  <w:szCs w:val="24"/>
                                </w:rPr>
                                <w:t>67.1</w:t>
                              </w:r>
                            </w:sdtContent>
                          </w:sdt>
                          <w:r>
                            <w:rPr>
                              <w:szCs w:val="24"/>
                            </w:rPr>
                            <w:t>. ŽĮ tinkle pagal formulę:</w:t>
                          </w:r>
                        </w:p>
                        <w:p>
                          <w:pPr>
                            <w:ind w:firstLine="720"/>
                            <w:jc w:val="both"/>
                            <w:rPr>
                              <w:szCs w:val="24"/>
                            </w:rPr>
                          </w:pPr>
                        </w:p>
                        <w:p>
                          <w:pPr>
                            <w:tabs>
                              <w:tab w:val="left" w:pos="9214"/>
                            </w:tabs>
                            <w:jc w:val="both"/>
                            <w:rPr>
                              <w:szCs w:val="24"/>
                            </w:rPr>
                          </w:pPr>
                          <w:r>
                            <w:rPr>
                              <w:i/>
                              <w:iCs/>
                              <w:szCs w:val="24"/>
                            </w:rPr>
                            <w:t>P</w:t>
                          </w:r>
                          <w:r>
                            <w:rPr>
                              <w:szCs w:val="24"/>
                              <w:vertAlign w:val="subscript"/>
                            </w:rPr>
                            <w:t xml:space="preserve">04, </w:t>
                          </w:r>
                          <w:r>
                            <w:rPr>
                              <w:i/>
                              <w:iCs/>
                              <w:szCs w:val="24"/>
                              <w:vertAlign w:val="subscript"/>
                            </w:rPr>
                            <w:t>t</w:t>
                          </w:r>
                          <w:r>
                            <w:rPr>
                              <w:szCs w:val="24"/>
                            </w:rPr>
                            <w:t xml:space="preserve">= </w:t>
                          </w:r>
                          <w:r>
                            <w:rPr>
                              <w:i/>
                              <w:iCs/>
                              <w:szCs w:val="24"/>
                            </w:rPr>
                            <w:t>LRAIC</w:t>
                          </w:r>
                          <w:r>
                            <w:rPr>
                              <w:szCs w:val="24"/>
                              <w:vertAlign w:val="subscript"/>
                            </w:rPr>
                            <w:t xml:space="preserve">04, </w:t>
                          </w:r>
                          <w:r>
                            <w:rPr>
                              <w:i/>
                              <w:iCs/>
                              <w:szCs w:val="24"/>
                              <w:vertAlign w:val="subscript"/>
                            </w:rPr>
                            <w:t>t</w:t>
                          </w:r>
                          <w:r>
                            <w:rPr>
                              <w:szCs w:val="24"/>
                            </w:rPr>
                            <w:t>+NI</w:t>
                          </w:r>
                          <w:r>
                            <w:rPr>
                              <w:szCs w:val="24"/>
                              <w:vertAlign w:val="subscript"/>
                            </w:rPr>
                            <w:t>04, t</w:t>
                          </w:r>
                          <w:r>
                            <w:rPr>
                              <w:szCs w:val="24"/>
                            </w:rPr>
                            <w:sym w:font="Symbol" w:char="F02D"/>
                            <w:t>NT</w:t>
                          </w:r>
                          <w:r>
                            <w:rPr>
                              <w:szCs w:val="24"/>
                              <w:vertAlign w:val="subscript"/>
                            </w:rPr>
                            <w:t>04, t</w:t>
                          </w:r>
                          <w:r>
                            <w:rPr>
                              <w:szCs w:val="24"/>
                            </w:rPr>
                            <w:t>+</w:t>
                          </w:r>
                          <w:r>
                            <w:rPr>
                              <w:i/>
                              <w:iCs/>
                              <w:szCs w:val="24"/>
                            </w:rPr>
                            <w:t>BC</w:t>
                          </w:r>
                          <w:r>
                            <w:rPr>
                              <w:i/>
                              <w:iCs/>
                              <w:szCs w:val="24"/>
                              <w:vertAlign w:val="subscript"/>
                            </w:rPr>
                            <w:t>04</w:t>
                          </w:r>
                          <w:r>
                            <w:rPr>
                              <w:szCs w:val="24"/>
                              <w:vertAlign w:val="subscript"/>
                            </w:rPr>
                            <w:t xml:space="preserve">, </w:t>
                          </w:r>
                          <w:r>
                            <w:rPr>
                              <w:i/>
                              <w:iCs/>
                              <w:szCs w:val="24"/>
                              <w:vertAlign w:val="subscript"/>
                            </w:rPr>
                            <w:t>t</w:t>
                          </w:r>
                          <w:r>
                            <w:rPr>
                              <w:szCs w:val="24"/>
                            </w:rPr>
                            <w:t>+</w:t>
                          </w:r>
                          <w:r>
                            <w:rPr>
                              <w:i/>
                              <w:iCs/>
                              <w:szCs w:val="24"/>
                            </w:rPr>
                            <w:t>S</w:t>
                          </w:r>
                          <w:r>
                            <w:rPr>
                              <w:i/>
                              <w:iCs/>
                              <w:szCs w:val="24"/>
                              <w:vertAlign w:val="subscript"/>
                            </w:rPr>
                            <w:t>sr04</w:t>
                          </w:r>
                          <w:r>
                            <w:rPr>
                              <w:szCs w:val="24"/>
                              <w:vertAlign w:val="subscript"/>
                            </w:rPr>
                            <w:t xml:space="preserve">, </w:t>
                          </w:r>
                          <w:r>
                            <w:rPr>
                              <w:i/>
                              <w:iCs/>
                              <w:szCs w:val="24"/>
                              <w:vertAlign w:val="subscript"/>
                            </w:rPr>
                            <w:t>t</w:t>
                          </w:r>
                          <w:r>
                            <w:rPr>
                              <w:szCs w:val="24"/>
                            </w:rPr>
                            <w:t>+</w:t>
                          </w:r>
                          <w:r>
                            <w:rPr>
                              <w:i/>
                              <w:iCs/>
                              <w:szCs w:val="24"/>
                            </w:rPr>
                            <w:t>S</w:t>
                          </w:r>
                          <w:r>
                            <w:rPr>
                              <w:i/>
                              <w:iCs/>
                              <w:szCs w:val="24"/>
                              <w:vertAlign w:val="subscript"/>
                            </w:rPr>
                            <w:t>n04</w:t>
                          </w:r>
                          <w:r>
                            <w:rPr>
                              <w:szCs w:val="24"/>
                              <w:vertAlign w:val="subscript"/>
                            </w:rPr>
                            <w:t xml:space="preserve">, </w:t>
                          </w:r>
                          <w:r>
                            <w:rPr>
                              <w:i/>
                              <w:iCs/>
                              <w:szCs w:val="24"/>
                              <w:vertAlign w:val="subscript"/>
                            </w:rPr>
                            <w:t>t</w:t>
                          </w:r>
                          <w:r>
                            <w:rPr>
                              <w:i/>
                              <w:iCs/>
                              <w:szCs w:val="24"/>
                            </w:rPr>
                            <w:sym w:font="Symbol" w:char="F02D"/>
                            <w:t>FI</w:t>
                          </w:r>
                          <w:r>
                            <w:rPr>
                              <w:i/>
                              <w:iCs/>
                              <w:szCs w:val="24"/>
                              <w:vertAlign w:val="subscript"/>
                            </w:rPr>
                            <w:t>04, t</w:t>
                          </w:r>
                          <w:r>
                            <w:rPr>
                              <w:i/>
                              <w:iCs/>
                              <w:szCs w:val="24"/>
                            </w:rPr>
                            <w:sym w:font="Symbol" w:char="F02D"/>
                            <w:t>OI</w:t>
                          </w:r>
                          <w:r>
                            <w:rPr>
                              <w:i/>
                              <w:iCs/>
                              <w:szCs w:val="24"/>
                              <w:vertAlign w:val="subscript"/>
                            </w:rPr>
                            <w:t>04, t</w:t>
                          </w:r>
                          <w:r>
                            <w:rPr>
                              <w:i/>
                              <w:iCs/>
                              <w:szCs w:val="24"/>
                            </w:rPr>
                            <w:sym w:font="Symbol" w:char="F02D"/>
                            <w:t>PE</w:t>
                          </w:r>
                          <w:r>
                            <w:rPr>
                              <w:i/>
                              <w:iCs/>
                              <w:szCs w:val="24"/>
                              <w:vertAlign w:val="subscript"/>
                            </w:rPr>
                            <w:t>04, t</w:t>
                          </w:r>
                          <w:r>
                            <w:rPr>
                              <w:i/>
                              <w:iCs/>
                              <w:szCs w:val="24"/>
                            </w:rPr>
                            <w:tab/>
                          </w:r>
                          <w:r>
                            <w:rPr>
                              <w:szCs w:val="24"/>
                            </w:rPr>
                            <w:t>(36)</w:t>
                          </w:r>
                        </w:p>
                        <w:p>
                          <w:pPr>
                            <w:ind w:firstLine="720"/>
                            <w:jc w:val="both"/>
                            <w:rPr>
                              <w:szCs w:val="24"/>
                            </w:rPr>
                          </w:pPr>
                        </w:p>
                        <w:p>
                          <w:pPr>
                            <w:tabs>
                              <w:tab w:val="left" w:pos="993"/>
                            </w:tabs>
                            <w:jc w:val="both"/>
                            <w:rPr>
                              <w:i/>
                              <w:iCs/>
                              <w:szCs w:val="24"/>
                            </w:rPr>
                          </w:pPr>
                          <w:r>
                            <w:rPr>
                              <w:i/>
                              <w:iCs/>
                              <w:szCs w:val="24"/>
                            </w:rPr>
                            <w:t>čia:</w:t>
                          </w:r>
                        </w:p>
                        <w:p>
                          <w:pPr>
                            <w:tabs>
                              <w:tab w:val="left" w:pos="993"/>
                            </w:tabs>
                            <w:jc w:val="both"/>
                            <w:rPr>
                              <w:szCs w:val="24"/>
                            </w:rPr>
                          </w:pPr>
                          <w:r>
                            <w:rPr>
                              <w:szCs w:val="24"/>
                            </w:rPr>
                            <w:t>P</w:t>
                          </w:r>
                          <w:r>
                            <w:rPr>
                              <w:szCs w:val="24"/>
                              <w:vertAlign w:val="subscript"/>
                            </w:rPr>
                            <w:t>04, t</w:t>
                          </w:r>
                          <w:r>
                            <w:rPr>
                              <w:szCs w:val="24"/>
                            </w:rPr>
                            <w:t xml:space="preserve"> – galutinės </w:t>
                          </w:r>
                          <w:r>
                            <w:rPr>
                              <w:i/>
                              <w:iCs/>
                              <w:szCs w:val="24"/>
                            </w:rPr>
                            <w:t xml:space="preserve">t </w:t>
                          </w:r>
                          <w:r>
                            <w:rPr>
                              <w:szCs w:val="24"/>
                            </w:rPr>
                            <w:t>metų STO leidžiamos pajamos ŽĮ tinkle;</w:t>
                          </w:r>
                        </w:p>
                        <w:p>
                          <w:pPr>
                            <w:tabs>
                              <w:tab w:val="left" w:pos="993"/>
                            </w:tabs>
                            <w:jc w:val="both"/>
                            <w:rPr>
                              <w:szCs w:val="24"/>
                            </w:rPr>
                          </w:pPr>
                          <w:r>
                            <w:rPr>
                              <w:szCs w:val="24"/>
                            </w:rPr>
                            <w:t>LRAIC</w:t>
                          </w:r>
                          <w:r>
                            <w:rPr>
                              <w:szCs w:val="24"/>
                              <w:vertAlign w:val="subscript"/>
                            </w:rPr>
                            <w:t>04, t</w:t>
                          </w:r>
                          <w:r>
                            <w:rPr>
                              <w:szCs w:val="24"/>
                            </w:rPr>
                            <w:t xml:space="preserve"> – nekoreguotos </w:t>
                          </w:r>
                          <w:r>
                            <w:rPr>
                              <w:i/>
                              <w:iCs/>
                              <w:szCs w:val="24"/>
                            </w:rPr>
                            <w:t xml:space="preserve">t </w:t>
                          </w:r>
                          <w:r>
                            <w:rPr>
                              <w:szCs w:val="24"/>
                            </w:rPr>
                            <w:t>metų STO leidžiamos pajamos ŽĮ tinkle už elektros energijos paskirstymą;</w:t>
                          </w:r>
                        </w:p>
                        <w:p>
                          <w:pPr>
                            <w:tabs>
                              <w:tab w:val="left" w:pos="993"/>
                            </w:tabs>
                            <w:jc w:val="both"/>
                            <w:rPr>
                              <w:szCs w:val="24"/>
                            </w:rPr>
                          </w:pPr>
                          <w:r>
                            <w:rPr>
                              <w:szCs w:val="24"/>
                            </w:rPr>
                            <w:t>NI</w:t>
                          </w:r>
                          <w:r>
                            <w:rPr>
                              <w:szCs w:val="24"/>
                              <w:vertAlign w:val="subscript"/>
                            </w:rPr>
                            <w:t>04, t</w:t>
                          </w:r>
                          <w:r>
                            <w:rPr>
                              <w:szCs w:val="24"/>
                            </w:rPr>
                            <w:t xml:space="preserve"> – metiniai naujų, tikslinių, suderintų su Komisija, investicijų, būtinų šalies poreikiams, įskaitant naujas tarpsistemines jungtis, investicijas, būtinas užtikrinti elektros energijos tiekimo saugumą, ar investicijas, būtinas pagal naujus reguliavimo reikalavimus, </w:t>
                          </w:r>
                          <w:r>
                            <w:rPr>
                              <w:i/>
                              <w:iCs/>
                              <w:szCs w:val="24"/>
                            </w:rPr>
                            <w:t xml:space="preserve">t </w:t>
                          </w:r>
                          <w:r>
                            <w:rPr>
                              <w:szCs w:val="24"/>
                            </w:rPr>
                            <w:t xml:space="preserve">metų investicijų STO ŽĮ tinkle kaštai apskaičiuojami, nuo tokio turto likutinės vertės </w:t>
                          </w:r>
                          <w:r>
                            <w:rPr>
                              <w:i/>
                              <w:szCs w:val="24"/>
                            </w:rPr>
                            <w:t xml:space="preserve">t </w:t>
                          </w:r>
                          <w:r>
                            <w:rPr>
                              <w:szCs w:val="24"/>
                            </w:rPr>
                            <w:t>metų pradžiai, EUR;</w:t>
                          </w:r>
                        </w:p>
                        <w:p>
                          <w:pPr>
                            <w:tabs>
                              <w:tab w:val="left" w:pos="993"/>
                            </w:tabs>
                            <w:jc w:val="both"/>
                            <w:rPr>
                              <w:szCs w:val="24"/>
                            </w:rPr>
                          </w:pPr>
                          <w:r>
                            <w:rPr>
                              <w:szCs w:val="24"/>
                            </w:rPr>
                            <w:t>NT</w:t>
                          </w:r>
                          <w:r>
                            <w:rPr>
                              <w:szCs w:val="24"/>
                              <w:vertAlign w:val="subscript"/>
                            </w:rPr>
                            <w:t>04, t</w:t>
                          </w:r>
                          <w:r>
                            <w:rPr>
                              <w:szCs w:val="24"/>
                            </w:rPr>
                            <w:t xml:space="preserve"> – nurašomo, perleidžiamo, išimamo iš eksploatacijos, bet į Modelį įtraukto neoptimizuotino turto, </w:t>
                          </w:r>
                          <w:r>
                            <w:rPr>
                              <w:i/>
                              <w:szCs w:val="24"/>
                            </w:rPr>
                            <w:t>t</w:t>
                          </w:r>
                          <w:r>
                            <w:rPr>
                              <w:szCs w:val="24"/>
                            </w:rPr>
                            <w:t xml:space="preserve"> metų kaštai ŽĮ tinkluose, apskaičiuojami nuo tokio turto likutinės vertės </w:t>
                          </w:r>
                          <w:r>
                            <w:rPr>
                              <w:i/>
                              <w:szCs w:val="24"/>
                            </w:rPr>
                            <w:t>t</w:t>
                          </w:r>
                          <w:r>
                            <w:rPr>
                              <w:szCs w:val="24"/>
                            </w:rPr>
                            <w:t xml:space="preserve"> metų pradžiai, EUR;</w:t>
                          </w:r>
                        </w:p>
                        <w:p>
                          <w:pPr>
                            <w:tabs>
                              <w:tab w:val="left" w:pos="993"/>
                            </w:tabs>
                            <w:jc w:val="both"/>
                            <w:rPr>
                              <w:szCs w:val="24"/>
                            </w:rPr>
                          </w:pPr>
                          <w:r>
                            <w:rPr>
                              <w:szCs w:val="24"/>
                            </w:rPr>
                            <w:t>BC</w:t>
                          </w:r>
                          <w:r>
                            <w:rPr>
                              <w:szCs w:val="24"/>
                              <w:vertAlign w:val="subscript"/>
                            </w:rPr>
                            <w:t>STO04, t</w:t>
                          </w:r>
                          <w:r>
                            <w:rPr>
                              <w:szCs w:val="24"/>
                            </w:rPr>
                            <w:t xml:space="preserve"> –  STO </w:t>
                          </w:r>
                          <w:r>
                            <w:rPr>
                              <w:i/>
                              <w:iCs/>
                              <w:szCs w:val="24"/>
                            </w:rPr>
                            <w:t xml:space="preserve">t </w:t>
                          </w:r>
                          <w:r>
                            <w:rPr>
                              <w:szCs w:val="24"/>
                            </w:rPr>
                            <w:t xml:space="preserve">metų planuojami  skirstymo ŽĮ tinkle paslaugos,  mokesčių kaštai, EUR;</w:t>
                          </w:r>
                        </w:p>
                        <w:p>
                          <w:pPr>
                            <w:tabs>
                              <w:tab w:val="left" w:pos="993"/>
                            </w:tabs>
                            <w:jc w:val="both"/>
                            <w:rPr>
                              <w:szCs w:val="24"/>
                            </w:rPr>
                          </w:pPr>
                          <w:r>
                            <w:rPr>
                              <w:szCs w:val="24"/>
                            </w:rPr>
                            <w:t>S</w:t>
                          </w:r>
                          <w:r>
                            <w:rPr>
                              <w:szCs w:val="24"/>
                              <w:vertAlign w:val="subscript"/>
                            </w:rPr>
                            <w:t>sr04, t</w:t>
                          </w:r>
                          <w:r>
                            <w:rPr>
                              <w:szCs w:val="24"/>
                            </w:rPr>
                            <w:t xml:space="preserve"> – planuojami </w:t>
                          </w:r>
                          <w:r>
                            <w:rPr>
                              <w:i/>
                              <w:iCs/>
                              <w:szCs w:val="24"/>
                            </w:rPr>
                            <w:t xml:space="preserve">t </w:t>
                          </w:r>
                          <w:r>
                            <w:rPr>
                              <w:szCs w:val="24"/>
                            </w:rPr>
                            <w:t>metų STO elektros energijos pirkimo kaštai savoms reikmėms ŽĮ tinkle ;</w:t>
                          </w:r>
                        </w:p>
                        <w:p>
                          <w:pPr>
                            <w:tabs>
                              <w:tab w:val="left" w:pos="993"/>
                            </w:tabs>
                            <w:jc w:val="both"/>
                            <w:rPr>
                              <w:szCs w:val="24"/>
                            </w:rPr>
                          </w:pPr>
                          <w:r>
                            <w:rPr>
                              <w:szCs w:val="24"/>
                            </w:rPr>
                            <w:t>S</w:t>
                          </w:r>
                          <w:r>
                            <w:rPr>
                              <w:szCs w:val="24"/>
                              <w:vertAlign w:val="subscript"/>
                            </w:rPr>
                            <w:t>n04, t</w:t>
                          </w:r>
                          <w:r>
                            <w:rPr>
                              <w:szCs w:val="24"/>
                            </w:rPr>
                            <w:t xml:space="preserve"> – planuojami </w:t>
                          </w:r>
                          <w:r>
                            <w:rPr>
                              <w:i/>
                              <w:iCs/>
                              <w:szCs w:val="24"/>
                            </w:rPr>
                            <w:t xml:space="preserve">t </w:t>
                          </w:r>
                          <w:r>
                            <w:rPr>
                              <w:szCs w:val="24"/>
                            </w:rPr>
                            <w:t>metų STO elektros energijos pirkimo kaštai elektros energijai, sunaudotai technologiniuose įrenginiuose ŽĮ tinkle ;</w:t>
                          </w:r>
                        </w:p>
                        <w:p>
                          <w:pPr>
                            <w:tabs>
                              <w:tab w:val="left" w:pos="993"/>
                            </w:tabs>
                            <w:jc w:val="both"/>
                            <w:rPr>
                              <w:szCs w:val="24"/>
                            </w:rPr>
                          </w:pPr>
                          <w:r>
                            <w:rPr>
                              <w:szCs w:val="24"/>
                            </w:rPr>
                            <w:t>FI</w:t>
                          </w:r>
                          <w:r>
                            <w:rPr>
                              <w:szCs w:val="24"/>
                              <w:vertAlign w:val="subscript"/>
                            </w:rPr>
                            <w:t>04, t</w:t>
                          </w:r>
                          <w:r>
                            <w:rPr>
                              <w:szCs w:val="24"/>
                            </w:rPr>
                            <w:t xml:space="preserve"> – nepagrįstai panaudotų investicijų, dotacijomis, subsidijomis, Europos Sąjungos struktūrinių fondų lėšomis, elektros energijos vartotojų ir gamintojų lėšomis finansuojamo turto nusidėvėjimo sąnaudos ir investicijų grąža apskaičiuota nuo tokio turto ŽĮ tinkluose likutinės vertės </w:t>
                          </w:r>
                          <w:r>
                            <w:rPr>
                              <w:i/>
                              <w:szCs w:val="24"/>
                            </w:rPr>
                            <w:t xml:space="preserve">t </w:t>
                          </w:r>
                          <w:r>
                            <w:rPr>
                              <w:szCs w:val="24"/>
                            </w:rPr>
                            <w:t>metų pradžiai, EUR;</w:t>
                          </w:r>
                        </w:p>
                        <w:p>
                          <w:pPr>
                            <w:tabs>
                              <w:tab w:val="left" w:pos="993"/>
                            </w:tabs>
                            <w:jc w:val="both"/>
                            <w:rPr>
                              <w:szCs w:val="24"/>
                            </w:rPr>
                          </w:pPr>
                          <w:r>
                            <w:rPr>
                              <w:szCs w:val="24"/>
                            </w:rPr>
                            <w:t>OI</w:t>
                          </w:r>
                          <w:r>
                            <w:rPr>
                              <w:szCs w:val="24"/>
                              <w:vertAlign w:val="subscript"/>
                            </w:rPr>
                            <w:t>04, t</w:t>
                          </w:r>
                          <w:r>
                            <w:rPr>
                              <w:szCs w:val="24"/>
                            </w:rPr>
                            <w:t xml:space="preserve"> – kitos Įmonės gautos pajamos susijusios su reguliuojamų skirstymo paslaugų ir (ar) produktų teikimu, kuriems teikti naudojami ar nenaudojami reguliuojamos veiklos ištekliai, EUR;</w:t>
                          </w:r>
                        </w:p>
                        <w:p>
                          <w:pPr>
                            <w:tabs>
                              <w:tab w:val="left" w:pos="993"/>
                            </w:tabs>
                            <w:jc w:val="both"/>
                            <w:rPr>
                              <w:szCs w:val="24"/>
                            </w:rPr>
                          </w:pPr>
                          <w:r>
                            <w:rPr>
                              <w:szCs w:val="24"/>
                            </w:rPr>
                            <w:t>PE</w:t>
                          </w:r>
                          <w:r>
                            <w:rPr>
                              <w:szCs w:val="24"/>
                              <w:vertAlign w:val="subscript"/>
                            </w:rPr>
                            <w:t>04, t</w:t>
                          </w:r>
                          <w:r>
                            <w:rPr>
                              <w:szCs w:val="24"/>
                            </w:rPr>
                            <w:t xml:space="preserve"> – Komisijos apskaičiuotas leistinos protingumo kriterijų atitinkančios investicijų grąžos viršijimas, EUR.“</w:t>
                          </w:r>
                        </w:p>
                      </w:sdtContent>
                    </w:sdt>
                    <w:sdt>
                      <w:sdtPr>
                        <w:alias w:val="67.2 p."/>
                        <w:tag w:val="part_3db11e26b8964bf5b386845f56c57ec2"/>
                        <w:lock w:val="sdtLocked"/>
                        <w:richText/>
                      </w:sdtPr>
                      <w:sdtContent>
                        <w:p>
                          <w:pPr>
                            <w:ind w:firstLine="720"/>
                            <w:jc w:val="both"/>
                            <w:rPr>
                              <w:szCs w:val="24"/>
                            </w:rPr>
                          </w:pPr>
                          <w:sdt>
                            <w:sdtPr>
                              <w:alias w:val="Numeris"/>
                              <w:tag w:val="nr_3db11e26b8964bf5b386845f56c57ec2"/>
                              <w:lock w:val="sdtLocked"/>
                              <w:richText/>
                            </w:sdtPr>
                            <w:sdtContent>
                              <w:r>
                                <w:rPr>
                                  <w:szCs w:val="24"/>
                                </w:rPr>
                                <w:t>67.2</w:t>
                              </w:r>
                            </w:sdtContent>
                          </w:sdt>
                          <w:r>
                            <w:rPr>
                              <w:szCs w:val="24"/>
                            </w:rPr>
                            <w:t>. VĮ tinkle pagal formulę:</w:t>
                          </w:r>
                        </w:p>
                        <w:p>
                          <w:pPr>
                            <w:ind w:firstLine="720"/>
                            <w:jc w:val="both"/>
                            <w:rPr>
                              <w:szCs w:val="24"/>
                            </w:rPr>
                          </w:pPr>
                        </w:p>
                        <w:p>
                          <w:pPr>
                            <w:tabs>
                              <w:tab w:val="left" w:pos="9214"/>
                            </w:tabs>
                            <w:jc w:val="both"/>
                            <w:rPr>
                              <w:szCs w:val="24"/>
                            </w:rPr>
                          </w:pPr>
                          <w:r>
                            <w:rPr>
                              <w:i/>
                              <w:iCs/>
                              <w:szCs w:val="24"/>
                            </w:rPr>
                            <w:t>P</w:t>
                          </w:r>
                          <w:r>
                            <w:rPr>
                              <w:szCs w:val="24"/>
                              <w:vertAlign w:val="subscript"/>
                            </w:rPr>
                            <w:t xml:space="preserve">10, </w:t>
                          </w:r>
                          <w:r>
                            <w:rPr>
                              <w:i/>
                              <w:iCs/>
                              <w:szCs w:val="24"/>
                              <w:vertAlign w:val="subscript"/>
                            </w:rPr>
                            <w:t>t</w:t>
                          </w:r>
                          <w:r>
                            <w:rPr>
                              <w:szCs w:val="24"/>
                            </w:rPr>
                            <w:t xml:space="preserve">= </w:t>
                          </w:r>
                          <w:r>
                            <w:rPr>
                              <w:i/>
                              <w:iCs/>
                              <w:szCs w:val="24"/>
                            </w:rPr>
                            <w:t>LRAIC</w:t>
                          </w:r>
                          <w:r>
                            <w:rPr>
                              <w:szCs w:val="24"/>
                              <w:vertAlign w:val="subscript"/>
                            </w:rPr>
                            <w:t xml:space="preserve">10, </w:t>
                          </w:r>
                          <w:r>
                            <w:rPr>
                              <w:i/>
                              <w:iCs/>
                              <w:szCs w:val="24"/>
                              <w:vertAlign w:val="subscript"/>
                            </w:rPr>
                            <w:t>t</w:t>
                          </w:r>
                          <w:r>
                            <w:rPr>
                              <w:szCs w:val="24"/>
                            </w:rPr>
                            <w:t>+NI</w:t>
                          </w:r>
                          <w:r>
                            <w:rPr>
                              <w:szCs w:val="24"/>
                              <w:vertAlign w:val="subscript"/>
                            </w:rPr>
                            <w:t>10, t</w:t>
                          </w:r>
                          <w:r>
                            <w:rPr>
                              <w:szCs w:val="24"/>
                            </w:rPr>
                            <w:sym w:font="Symbol" w:char="F02D"/>
                            <w:t>NT</w:t>
                          </w:r>
                          <w:r>
                            <w:rPr>
                              <w:szCs w:val="24"/>
                              <w:vertAlign w:val="subscript"/>
                            </w:rPr>
                            <w:t>10, t</w:t>
                          </w:r>
                          <w:r>
                            <w:rPr>
                              <w:szCs w:val="24"/>
                            </w:rPr>
                            <w:t>+</w:t>
                          </w:r>
                          <w:r>
                            <w:rPr>
                              <w:i/>
                              <w:iCs/>
                              <w:szCs w:val="24"/>
                            </w:rPr>
                            <w:t>BC</w:t>
                          </w:r>
                          <w:r>
                            <w:rPr>
                              <w:i/>
                              <w:iCs/>
                              <w:szCs w:val="24"/>
                              <w:vertAlign w:val="subscript"/>
                            </w:rPr>
                            <w:t>10</w:t>
                          </w:r>
                          <w:r>
                            <w:rPr>
                              <w:szCs w:val="24"/>
                              <w:vertAlign w:val="subscript"/>
                            </w:rPr>
                            <w:t xml:space="preserve">, </w:t>
                          </w:r>
                          <w:r>
                            <w:rPr>
                              <w:i/>
                              <w:iCs/>
                              <w:szCs w:val="24"/>
                              <w:vertAlign w:val="subscript"/>
                            </w:rPr>
                            <w:t>t</w:t>
                          </w:r>
                          <w:r>
                            <w:rPr>
                              <w:szCs w:val="24"/>
                            </w:rPr>
                            <w:t>+</w:t>
                          </w:r>
                          <w:r>
                            <w:rPr>
                              <w:i/>
                              <w:iCs/>
                              <w:szCs w:val="24"/>
                            </w:rPr>
                            <w:t>S</w:t>
                          </w:r>
                          <w:r>
                            <w:rPr>
                              <w:i/>
                              <w:iCs/>
                              <w:szCs w:val="24"/>
                              <w:vertAlign w:val="subscript"/>
                            </w:rPr>
                            <w:t>sr10</w:t>
                          </w:r>
                          <w:r>
                            <w:rPr>
                              <w:szCs w:val="24"/>
                              <w:vertAlign w:val="subscript"/>
                            </w:rPr>
                            <w:t xml:space="preserve">, </w:t>
                          </w:r>
                          <w:r>
                            <w:rPr>
                              <w:i/>
                              <w:iCs/>
                              <w:szCs w:val="24"/>
                              <w:vertAlign w:val="subscript"/>
                            </w:rPr>
                            <w:t>t</w:t>
                          </w:r>
                          <w:r>
                            <w:rPr>
                              <w:szCs w:val="24"/>
                            </w:rPr>
                            <w:t>+</w:t>
                          </w:r>
                          <w:r>
                            <w:rPr>
                              <w:i/>
                              <w:iCs/>
                              <w:szCs w:val="24"/>
                            </w:rPr>
                            <w:t>S</w:t>
                          </w:r>
                          <w:r>
                            <w:rPr>
                              <w:i/>
                              <w:iCs/>
                              <w:szCs w:val="24"/>
                              <w:vertAlign w:val="subscript"/>
                            </w:rPr>
                            <w:t>n10</w:t>
                          </w:r>
                          <w:r>
                            <w:rPr>
                              <w:szCs w:val="24"/>
                              <w:vertAlign w:val="subscript"/>
                            </w:rPr>
                            <w:t xml:space="preserve">, </w:t>
                          </w:r>
                          <w:r>
                            <w:rPr>
                              <w:i/>
                              <w:iCs/>
                              <w:szCs w:val="24"/>
                              <w:vertAlign w:val="subscript"/>
                            </w:rPr>
                            <w:t>t</w:t>
                          </w:r>
                          <w:r>
                            <w:rPr>
                              <w:i/>
                              <w:iCs/>
                              <w:szCs w:val="24"/>
                            </w:rPr>
                            <w:sym w:font="Symbol" w:char="F02D"/>
                            <w:t>FI</w:t>
                          </w:r>
                          <w:r>
                            <w:rPr>
                              <w:i/>
                              <w:iCs/>
                              <w:szCs w:val="24"/>
                              <w:vertAlign w:val="subscript"/>
                            </w:rPr>
                            <w:t>10, t</w:t>
                          </w:r>
                          <w:r>
                            <w:rPr>
                              <w:i/>
                              <w:iCs/>
                              <w:szCs w:val="24"/>
                            </w:rPr>
                            <w:sym w:font="Symbol" w:char="F02D"/>
                            <w:t>OI</w:t>
                          </w:r>
                          <w:r>
                            <w:rPr>
                              <w:i/>
                              <w:iCs/>
                              <w:szCs w:val="24"/>
                              <w:vertAlign w:val="subscript"/>
                            </w:rPr>
                            <w:t>10, t</w:t>
                          </w:r>
                          <w:r>
                            <w:rPr>
                              <w:i/>
                              <w:iCs/>
                              <w:szCs w:val="24"/>
                            </w:rPr>
                            <w:sym w:font="Symbol" w:char="F02D"/>
                            <w:t>PE</w:t>
                          </w:r>
                          <w:r>
                            <w:rPr>
                              <w:i/>
                              <w:iCs/>
                              <w:szCs w:val="24"/>
                              <w:vertAlign w:val="subscript"/>
                            </w:rPr>
                            <w:t>10, t</w:t>
                          </w:r>
                          <w:r>
                            <w:rPr>
                              <w:i/>
                              <w:iCs/>
                              <w:szCs w:val="24"/>
                            </w:rPr>
                            <w:tab/>
                          </w:r>
                          <w:r>
                            <w:rPr>
                              <w:szCs w:val="24"/>
                            </w:rPr>
                            <w:t>(37)</w:t>
                          </w:r>
                        </w:p>
                        <w:p>
                          <w:pPr>
                            <w:ind w:firstLine="720"/>
                            <w:jc w:val="both"/>
                            <w:rPr>
                              <w:szCs w:val="24"/>
                            </w:rPr>
                          </w:pPr>
                        </w:p>
                        <w:p>
                          <w:pPr>
                            <w:tabs>
                              <w:tab w:val="left" w:pos="993"/>
                            </w:tabs>
                            <w:jc w:val="both"/>
                            <w:rPr>
                              <w:i/>
                              <w:iCs/>
                              <w:szCs w:val="24"/>
                            </w:rPr>
                          </w:pPr>
                          <w:r>
                            <w:rPr>
                              <w:i/>
                              <w:iCs/>
                              <w:szCs w:val="24"/>
                            </w:rPr>
                            <w:t>čia:</w:t>
                          </w:r>
                        </w:p>
                        <w:p>
                          <w:pPr>
                            <w:tabs>
                              <w:tab w:val="left" w:pos="993"/>
                            </w:tabs>
                            <w:jc w:val="both"/>
                            <w:rPr>
                              <w:szCs w:val="24"/>
                            </w:rPr>
                          </w:pPr>
                          <w:r>
                            <w:rPr>
                              <w:szCs w:val="24"/>
                            </w:rPr>
                            <w:t>P</w:t>
                          </w:r>
                          <w:r>
                            <w:rPr>
                              <w:szCs w:val="24"/>
                              <w:vertAlign w:val="subscript"/>
                            </w:rPr>
                            <w:t>10, t</w:t>
                          </w:r>
                          <w:r>
                            <w:rPr>
                              <w:szCs w:val="24"/>
                            </w:rPr>
                            <w:t xml:space="preserve"> – galutinės </w:t>
                          </w:r>
                          <w:r>
                            <w:rPr>
                              <w:i/>
                              <w:iCs/>
                              <w:szCs w:val="24"/>
                            </w:rPr>
                            <w:t xml:space="preserve">t </w:t>
                          </w:r>
                          <w:r>
                            <w:rPr>
                              <w:szCs w:val="24"/>
                            </w:rPr>
                            <w:t>metų STO leidžiamos pajamos VĮ tinkle;</w:t>
                          </w:r>
                        </w:p>
                        <w:p>
                          <w:pPr>
                            <w:tabs>
                              <w:tab w:val="left" w:pos="993"/>
                            </w:tabs>
                            <w:jc w:val="both"/>
                            <w:rPr>
                              <w:szCs w:val="24"/>
                            </w:rPr>
                          </w:pPr>
                          <w:r>
                            <w:rPr>
                              <w:szCs w:val="24"/>
                            </w:rPr>
                            <w:t>LRAIC</w:t>
                          </w:r>
                          <w:r>
                            <w:rPr>
                              <w:szCs w:val="24"/>
                              <w:vertAlign w:val="subscript"/>
                            </w:rPr>
                            <w:t>10, t</w:t>
                          </w:r>
                          <w:r>
                            <w:rPr>
                              <w:szCs w:val="24"/>
                            </w:rPr>
                            <w:t xml:space="preserve"> – nekoreguotos </w:t>
                          </w:r>
                          <w:r>
                            <w:rPr>
                              <w:i/>
                              <w:iCs/>
                              <w:szCs w:val="24"/>
                            </w:rPr>
                            <w:t xml:space="preserve">t </w:t>
                          </w:r>
                          <w:r>
                            <w:rPr>
                              <w:szCs w:val="24"/>
                            </w:rPr>
                            <w:t>metų STO leidžiamos pajamos VĮ tinkle už elektros energijos paskirstymą;</w:t>
                          </w:r>
                        </w:p>
                        <w:p>
                          <w:pPr>
                            <w:tabs>
                              <w:tab w:val="left" w:pos="993"/>
                            </w:tabs>
                            <w:jc w:val="both"/>
                            <w:rPr>
                              <w:szCs w:val="24"/>
                            </w:rPr>
                          </w:pPr>
                          <w:r>
                            <w:rPr>
                              <w:szCs w:val="24"/>
                            </w:rPr>
                            <w:t>NI</w:t>
                          </w:r>
                          <w:r>
                            <w:rPr>
                              <w:szCs w:val="24"/>
                              <w:vertAlign w:val="subscript"/>
                            </w:rPr>
                            <w:t>10, t</w:t>
                          </w:r>
                          <w:r>
                            <w:rPr>
                              <w:szCs w:val="24"/>
                            </w:rPr>
                            <w:t xml:space="preserve"> – metiniai naujų, tikslinių, suderintų su Komisija, investicijų, būtinų šalies poreikiams, įskaitant naujas tarpsistemines jungtis, investicijas, būtinas užtikrinti elektros energijos tiekimo saugumą, ar investicijas, būtinas pagal naujus reguliavimo reikalavimus, </w:t>
                          </w:r>
                          <w:r>
                            <w:rPr>
                              <w:i/>
                              <w:iCs/>
                              <w:szCs w:val="24"/>
                            </w:rPr>
                            <w:t xml:space="preserve">t </w:t>
                          </w:r>
                          <w:r>
                            <w:rPr>
                              <w:szCs w:val="24"/>
                            </w:rPr>
                            <w:t xml:space="preserve">metų investicijų STO VĮ tinkle kaštai apskaičiuojami, nuo tokio turto likutinės vertės </w:t>
                          </w:r>
                          <w:r>
                            <w:rPr>
                              <w:i/>
                              <w:szCs w:val="24"/>
                            </w:rPr>
                            <w:t xml:space="preserve">t </w:t>
                          </w:r>
                          <w:r>
                            <w:rPr>
                              <w:szCs w:val="24"/>
                            </w:rPr>
                            <w:t>metų pradžiai, EUR;</w:t>
                          </w:r>
                        </w:p>
                        <w:p>
                          <w:pPr>
                            <w:tabs>
                              <w:tab w:val="left" w:pos="993"/>
                            </w:tabs>
                            <w:jc w:val="both"/>
                            <w:rPr>
                              <w:szCs w:val="24"/>
                            </w:rPr>
                          </w:pPr>
                          <w:r>
                            <w:rPr>
                              <w:szCs w:val="24"/>
                            </w:rPr>
                            <w:t>NT</w:t>
                          </w:r>
                          <w:r>
                            <w:rPr>
                              <w:szCs w:val="24"/>
                              <w:vertAlign w:val="subscript"/>
                            </w:rPr>
                            <w:t>10, t</w:t>
                          </w:r>
                          <w:r>
                            <w:rPr>
                              <w:szCs w:val="24"/>
                            </w:rPr>
                            <w:t xml:space="preserve"> – nurašomo, perleidžiamo, išimamo iš eksploatacijos, bet į Modelį įtraukto neoptimizuotino turto, </w:t>
                          </w:r>
                          <w:r>
                            <w:rPr>
                              <w:i/>
                              <w:szCs w:val="24"/>
                            </w:rPr>
                            <w:t>t</w:t>
                          </w:r>
                          <w:r>
                            <w:rPr>
                              <w:szCs w:val="24"/>
                            </w:rPr>
                            <w:t xml:space="preserve"> metų kaštai VĮ tinkluose, apskaičiuojami nuo tokio turto likutinės vertės </w:t>
                          </w:r>
                          <w:r>
                            <w:rPr>
                              <w:i/>
                              <w:szCs w:val="24"/>
                            </w:rPr>
                            <w:t>t</w:t>
                          </w:r>
                          <w:r>
                            <w:rPr>
                              <w:szCs w:val="24"/>
                            </w:rPr>
                            <w:t xml:space="preserve"> metų pradžiai, EUR;</w:t>
                          </w:r>
                        </w:p>
                        <w:p>
                          <w:pPr>
                            <w:tabs>
                              <w:tab w:val="left" w:pos="993"/>
                            </w:tabs>
                            <w:jc w:val="both"/>
                            <w:rPr>
                              <w:szCs w:val="24"/>
                            </w:rPr>
                          </w:pPr>
                          <w:r>
                            <w:rPr>
                              <w:szCs w:val="24"/>
                            </w:rPr>
                            <w:t>BC</w:t>
                          </w:r>
                          <w:r>
                            <w:rPr>
                              <w:szCs w:val="24"/>
                              <w:vertAlign w:val="subscript"/>
                            </w:rPr>
                            <w:t>10, t</w:t>
                          </w:r>
                          <w:r>
                            <w:rPr>
                              <w:szCs w:val="24"/>
                            </w:rPr>
                            <w:t xml:space="preserve"> –  STO </w:t>
                          </w:r>
                          <w:r>
                            <w:rPr>
                              <w:i/>
                              <w:iCs/>
                              <w:szCs w:val="24"/>
                            </w:rPr>
                            <w:t xml:space="preserve">t </w:t>
                          </w:r>
                          <w:r>
                            <w:rPr>
                              <w:szCs w:val="24"/>
                            </w:rPr>
                            <w:t xml:space="preserve">metų planuojami  skirstymo VĮ tinkle paslaugos,  mokesčių kaštai, EUR;</w:t>
                          </w:r>
                        </w:p>
                        <w:p>
                          <w:pPr>
                            <w:tabs>
                              <w:tab w:val="left" w:pos="993"/>
                            </w:tabs>
                            <w:jc w:val="both"/>
                            <w:rPr>
                              <w:szCs w:val="24"/>
                            </w:rPr>
                          </w:pPr>
                          <w:r>
                            <w:rPr>
                              <w:szCs w:val="24"/>
                            </w:rPr>
                            <w:t>S</w:t>
                          </w:r>
                          <w:r>
                            <w:rPr>
                              <w:szCs w:val="24"/>
                              <w:vertAlign w:val="subscript"/>
                            </w:rPr>
                            <w:t>sr10, t</w:t>
                          </w:r>
                          <w:r>
                            <w:rPr>
                              <w:szCs w:val="24"/>
                            </w:rPr>
                            <w:t xml:space="preserve"> – planuojami </w:t>
                          </w:r>
                          <w:r>
                            <w:rPr>
                              <w:i/>
                              <w:iCs/>
                              <w:szCs w:val="24"/>
                            </w:rPr>
                            <w:t xml:space="preserve">t </w:t>
                          </w:r>
                          <w:r>
                            <w:rPr>
                              <w:szCs w:val="24"/>
                            </w:rPr>
                            <w:t>metų STO elektros energijos pirkimo kaštai savoms reikmėms VĮ tinkle ;</w:t>
                          </w:r>
                        </w:p>
                        <w:p>
                          <w:pPr>
                            <w:tabs>
                              <w:tab w:val="left" w:pos="993"/>
                            </w:tabs>
                            <w:jc w:val="both"/>
                            <w:rPr>
                              <w:szCs w:val="24"/>
                            </w:rPr>
                          </w:pPr>
                          <w:r>
                            <w:rPr>
                              <w:szCs w:val="24"/>
                            </w:rPr>
                            <w:t>S</w:t>
                          </w:r>
                          <w:r>
                            <w:rPr>
                              <w:szCs w:val="24"/>
                              <w:vertAlign w:val="subscript"/>
                            </w:rPr>
                            <w:t>n10, t</w:t>
                          </w:r>
                          <w:r>
                            <w:rPr>
                              <w:szCs w:val="24"/>
                            </w:rPr>
                            <w:t xml:space="preserve"> – planuojami </w:t>
                          </w:r>
                          <w:r>
                            <w:rPr>
                              <w:i/>
                              <w:iCs/>
                              <w:szCs w:val="24"/>
                            </w:rPr>
                            <w:t xml:space="preserve">t </w:t>
                          </w:r>
                          <w:r>
                            <w:rPr>
                              <w:szCs w:val="24"/>
                            </w:rPr>
                            <w:t>metų STO elektros energijos pirkimo kaštai elektros energijai, sunaudotai technologiniuose įrenginiuose VĮ tinkle ;</w:t>
                          </w:r>
                        </w:p>
                        <w:p>
                          <w:pPr>
                            <w:tabs>
                              <w:tab w:val="left" w:pos="993"/>
                            </w:tabs>
                            <w:jc w:val="both"/>
                            <w:rPr>
                              <w:szCs w:val="24"/>
                            </w:rPr>
                          </w:pPr>
                          <w:r>
                            <w:rPr>
                              <w:szCs w:val="24"/>
                            </w:rPr>
                            <w:t>FI</w:t>
                          </w:r>
                          <w:r>
                            <w:rPr>
                              <w:szCs w:val="24"/>
                              <w:vertAlign w:val="subscript"/>
                            </w:rPr>
                            <w:t>10, t</w:t>
                          </w:r>
                          <w:r>
                            <w:rPr>
                              <w:szCs w:val="24"/>
                            </w:rPr>
                            <w:t xml:space="preserve"> – nepagrįstai panaudotų investicijų, dotacijomis, subsidijomis, Europos Sąjungos struktūrinių fondų lėšomis, elektros energijos vartotojų ir gamintojų lėšomis finansuojamo turto nusidėvėjimo sąnaudos ir investicijų grąža apskaičiuota nuo tokio turto VĮ tinkluose likutinės vertės </w:t>
                          </w:r>
                          <w:r>
                            <w:rPr>
                              <w:i/>
                              <w:szCs w:val="24"/>
                            </w:rPr>
                            <w:t xml:space="preserve">t </w:t>
                          </w:r>
                          <w:r>
                            <w:rPr>
                              <w:szCs w:val="24"/>
                            </w:rPr>
                            <w:t>metų pradžiai, EUR;</w:t>
                          </w:r>
                        </w:p>
                        <w:p>
                          <w:pPr>
                            <w:tabs>
                              <w:tab w:val="left" w:pos="993"/>
                            </w:tabs>
                            <w:jc w:val="both"/>
                            <w:rPr>
                              <w:szCs w:val="24"/>
                            </w:rPr>
                          </w:pPr>
                          <w:r>
                            <w:rPr>
                              <w:szCs w:val="24"/>
                            </w:rPr>
                            <w:t>OI</w:t>
                          </w:r>
                          <w:r>
                            <w:rPr>
                              <w:szCs w:val="24"/>
                              <w:vertAlign w:val="subscript"/>
                            </w:rPr>
                            <w:t>10, t</w:t>
                          </w:r>
                          <w:r>
                            <w:rPr>
                              <w:szCs w:val="24"/>
                            </w:rPr>
                            <w:t xml:space="preserve"> – kitos Įmonės gautos pajamos susijusios su reguliuojamų skirstymo paslaugų ir (ar) produktų teikimu, kuriems teikti naudojami ar nenaudojami reguliuojamos veiklos ištekliai, EUR;</w:t>
                          </w:r>
                        </w:p>
                        <w:p>
                          <w:pPr>
                            <w:tabs>
                              <w:tab w:val="left" w:pos="993"/>
                            </w:tabs>
                            <w:jc w:val="both"/>
                            <w:rPr>
                              <w:sz w:val="6"/>
                              <w:szCs w:val="6"/>
                            </w:rPr>
                          </w:pPr>
                          <w:r>
                            <w:rPr>
                              <w:szCs w:val="24"/>
                            </w:rPr>
                            <w:t>PE</w:t>
                          </w:r>
                          <w:r>
                            <w:rPr>
                              <w:szCs w:val="24"/>
                              <w:vertAlign w:val="subscript"/>
                            </w:rPr>
                            <w:t>10, t</w:t>
                          </w:r>
                          <w:r>
                            <w:rPr>
                              <w:szCs w:val="24"/>
                            </w:rPr>
                            <w:t xml:space="preserve"> – Komisijos apskaičiuotas leistinos protingumo kriterijų atitinkančios investicijų grąžos viršijimas, EUR.</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68 p."/>
                    <w:tag w:val="part_522501319dc94bb3bd1eac82b19500ef"/>
                    <w:lock w:val="sdtLocked"/>
                    <w:richText/>
                  </w:sdtPr>
                  <w:sdtContent>
                    <w:p>
                      <w:pPr>
                        <w:tabs>
                          <w:tab w:val="left" w:pos="1134"/>
                          <w:tab w:val="left" w:pos="1843"/>
                          <w:tab w:val="left" w:pos="2268"/>
                        </w:tabs>
                        <w:ind w:firstLine="709"/>
                        <w:jc w:val="both"/>
                        <w:rPr>
                          <w:szCs w:val="24"/>
                        </w:rPr>
                      </w:pPr>
                      <w:sdt>
                        <w:sdtPr>
                          <w:alias w:val="Numeris"/>
                          <w:tag w:val="nr_522501319dc94bb3bd1eac82b19500ef"/>
                          <w:lock w:val="sdtLocked"/>
                          <w:richText/>
                        </w:sdtPr>
                        <w:sdtContent>
                          <w:r>
                            <w:rPr>
                              <w:szCs w:val="24"/>
                            </w:rPr>
                            <w:t>68</w:t>
                          </w:r>
                        </w:sdtContent>
                      </w:sdt>
                      <w:r>
                        <w:rPr>
                          <w:szCs w:val="24"/>
                        </w:rPr>
                        <w:t xml:space="preserve">. Planuojami </w:t>
                      </w:r>
                      <w:r>
                        <w:rPr>
                          <w:i/>
                          <w:szCs w:val="24"/>
                        </w:rPr>
                        <w:t xml:space="preserve">t </w:t>
                      </w:r>
                      <w:r>
                        <w:rPr>
                          <w:szCs w:val="24"/>
                        </w:rPr>
                        <w:t>metų STO elektros energijos pirkimo kaštai savoms reikmėms ŽĮ tinkle padengti apskaičiuojami pagal formulę:</w:t>
                      </w:r>
                    </w:p>
                    <w:p>
                      <w:pPr>
                        <w:tabs>
                          <w:tab w:val="left" w:pos="1134"/>
                          <w:tab w:val="left" w:pos="1843"/>
                          <w:tab w:val="left" w:pos="2268"/>
                        </w:tabs>
                        <w:jc w:val="both"/>
                        <w:rPr>
                          <w:szCs w:val="24"/>
                        </w:rPr>
                      </w:pPr>
                    </w:p>
                    <w:p>
                      <w:pPr>
                        <w:tabs>
                          <w:tab w:val="left" w:pos="9214"/>
                        </w:tabs>
                        <w:ind w:firstLine="9214"/>
                        <w:jc w:val="both"/>
                        <w:rPr>
                          <w:szCs w:val="24"/>
                        </w:rPr>
                      </w:pPr>
                      <w:r>
                        <w:t xml:space="preserve"> </w:t>
                      </w:r>
                      <m:oMath>
                        <m:sSub>
                          <m:sSubPr>
                            <m:ctrlPr>
                              <w:rPr>
                                <w:rFonts w:ascii="Cambria Math" w:hAnsi="Cambria Math"/>
                                <w:i/>
                              </w:rPr>
                            </m:ctrlPr>
                          </m:sSubPr>
                          <m:e>
                            <m:r>
                              <w:rPr>
                                <w:rFonts w:ascii="Cambria Math" w:hAnsi="Cambria Math"/>
                              </w:rPr>
                              <m:t>S</m:t>
                            </m:r>
                          </m:e>
                          <m:sub>
                            <m:r>
                              <w:rPr>
                                <w:rFonts w:ascii="Cambria Math" w:hAnsi="Cambria Math"/>
                              </w:rPr>
                              <m:t>sr</m:t>
                            </m:r>
                            <m:r>
                              <w:rPr>
                                <w:rFonts w:ascii="Cambria Math" w:hAnsi="Cambria Math"/>
                              </w:rPr>
                              <m:t>04,</m:t>
                            </m:r>
                            <m:r>
                              <w:rPr>
                                <w:rFonts w:ascii="Cambria Math" w:hAnsi="Cambria Math"/>
                              </w:rPr>
                              <m:t>t</m:t>
                            </m:r>
                          </m:sub>
                        </m:sSub>
                        <m:r>
                          <w:rPr>
                            <w:rFonts w:ascii="Cambria Math" w:hAnsi="Cambria Math"/>
                          </w:rPr>
                          <m:t>=</m:t>
                        </m:r>
                        <m:sSub>
                          <m:sSubPr>
                            <m:ctrlPr>
                              <w:rPr>
                                <w:rFonts w:ascii="Cambria Math" w:hAnsi="Cambria Math"/>
                                <w:i/>
                              </w:rPr>
                            </m:ctrlPr>
                          </m:sSubPr>
                          <m:e>
                            <m:r>
                              <w:rPr>
                                <w:rFonts w:ascii="Cambria Math" w:hAnsi="Cambria Math"/>
                              </w:rPr>
                              <m:t>E</m:t>
                            </m:r>
                          </m:e>
                          <m:sub>
                            <m:r>
                              <w:rPr>
                                <w:rFonts w:ascii="Cambria Math" w:hAnsi="Cambria Math"/>
                              </w:rPr>
                              <m:t>sr</m:t>
                            </m:r>
                            <m:r>
                              <w:rPr>
                                <w:rFonts w:ascii="Cambria Math" w:hAnsi="Cambria Math"/>
                              </w:rPr>
                              <m:t>04,</m:t>
                            </m:r>
                            <m:r>
                              <w:rPr>
                                <w:rFonts w:ascii="Cambria Math" w:hAnsi="Cambria Math"/>
                              </w:rPr>
                              <m:t>t</m:t>
                            </m:r>
                          </m:sub>
                        </m:sSub>
                        <m:r>
                          <w:rPr>
                            <w:rFonts w:ascii="Cambria Math" w:hAnsi="Cambria Math"/>
                          </w:rPr>
                          <m:t>×(</m:t>
                        </m:r>
                        <m:sSub>
                          <m:sSubPr>
                            <m:ctrlPr>
                              <w:rPr>
                                <w:rFonts w:ascii="Cambria Math" w:hAnsi="Cambria Math"/>
                                <w:i/>
                              </w:rPr>
                            </m:ctrlPr>
                          </m:sSubPr>
                          <m:e>
                            <m:r>
                              <w:rPr>
                                <w:rFonts w:ascii="Cambria Math" w:hAnsi="Cambria Math"/>
                              </w:rPr>
                              <m:t>T</m:t>
                            </m:r>
                          </m:e>
                          <m:sub>
                            <m:r>
                              <w:rPr>
                                <w:rFonts w:ascii="Cambria Math" w:hAnsi="Cambria Math"/>
                              </w:rPr>
                              <m:t>g</m:t>
                            </m:r>
                            <m:r>
                              <w:rPr>
                                <w:rFonts w:ascii="Cambria Math" w:hAnsi="Cambria Math"/>
                              </w:rPr>
                              <m:t>04,</m:t>
                            </m:r>
                            <m:r>
                              <w:rPr>
                                <w:rFonts w:ascii="Cambria Math" w:hAnsi="Cambria Math"/>
                              </w:rPr>
                              <m:t>t</m:t>
                            </m:r>
                          </m:sub>
                        </m:sSub>
                        <m:r>
                          <w:rPr>
                            <w:rFonts w:ascii="Cambria Math" w:hAnsi="Cambria Math"/>
                          </w:rPr>
                          <m:t>+</m:t>
                        </m:r>
                        <m:sSubSup>
                          <m:sSubSupPr>
                            <m:ctrlPr>
                              <w:rPr>
                                <w:rFonts w:ascii="Cambria Math" w:hAnsi="Cambria Math"/>
                                <w:i/>
                              </w:rPr>
                            </m:ctrlPr>
                          </m:sSubSupPr>
                          <m:e>
                            <m:r>
                              <w:rPr>
                                <w:rFonts w:ascii="Cambria Math" w:hAnsi="Cambria Math"/>
                              </w:rPr>
                              <m:t>T</m:t>
                            </m:r>
                          </m:e>
                          <m:sub>
                            <m:r>
                              <w:rPr>
                                <w:rFonts w:ascii="Cambria Math" w:hAnsi="Cambria Math"/>
                              </w:rPr>
                              <m:t>110,</m:t>
                            </m:r>
                            <m:r>
                              <w:rPr>
                                <w:rFonts w:ascii="Cambria Math" w:hAnsi="Cambria Math"/>
                              </w:rPr>
                              <m:t>t</m:t>
                            </m:r>
                          </m:sub>
                          <m:sup>
                            <m:r>
                              <w:rPr>
                                <w:rFonts w:ascii="Cambria Math" w:hAnsi="Cambria Math"/>
                              </w:rPr>
                              <m:t>'</m:t>
                            </m:r>
                          </m:sup>
                        </m:sSubSup>
                        <m:r>
                          <w:rPr>
                            <w:rFonts w:ascii="Cambria Math" w:hAnsi="Cambria Math"/>
                          </w:rPr>
                          <m:t>+</m:t>
                        </m:r>
                        <m:sSubSup>
                          <m:sSubSupPr>
                            <m:ctrlPr>
                              <w:rPr>
                                <w:rFonts w:ascii="Cambria Math" w:hAnsi="Cambria Math"/>
                                <w:i/>
                              </w:rPr>
                            </m:ctrlPr>
                          </m:sSubSupPr>
                          <m:e>
                            <m:r>
                              <w:rPr>
                                <w:rFonts w:ascii="Cambria Math" w:hAnsi="Cambria Math"/>
                              </w:rPr>
                              <m:t>T</m:t>
                            </m:r>
                          </m:e>
                          <m:sub>
                            <m:r>
                              <w:rPr>
                                <w:rFonts w:ascii="Cambria Math" w:hAnsi="Cambria Math"/>
                              </w:rPr>
                              <m:t>10,</m:t>
                            </m:r>
                            <m:r>
                              <w:rPr>
                                <w:rFonts w:ascii="Cambria Math" w:hAnsi="Cambria Math"/>
                              </w:rPr>
                              <m:t>t</m:t>
                            </m:r>
                          </m:sub>
                          <m:sup>
                            <m:r>
                              <w:rPr>
                                <w:rFonts w:ascii="Cambria Math" w:hAnsi="Cambria Math"/>
                              </w:rPr>
                              <m:t>'</m:t>
                            </m:r>
                          </m:sup>
                        </m:sSubSup>
                        <m:r>
                          <w:rPr>
                            <w:rFonts w:ascii="Cambria Math" w:hAnsi="Cambria Math"/>
                          </w:rPr>
                          <m:t>)</m:t>
                        </m:r>
                      </m:oMath>
                      <w:r>
                        <w:tab/>
                      </w:r>
                      <w:r>
                        <w:rPr>
                          <w:szCs w:val="24"/>
                        </w:rPr>
                        <w:t>(38)</w:t>
                      </w:r>
                    </w:p>
                    <w:p>
                      <w:pPr>
                        <w:tabs>
                          <w:tab w:val="left" w:pos="9214"/>
                        </w:tabs>
                        <w:jc w:val="both"/>
                        <w:rPr>
                          <w:szCs w:val="24"/>
                        </w:rPr>
                      </w:pPr>
                    </w:p>
                    <w:p>
                      <w:pPr>
                        <w:tabs>
                          <w:tab w:val="left" w:pos="1134"/>
                          <w:tab w:val="left" w:pos="1843"/>
                          <w:tab w:val="left" w:pos="2268"/>
                        </w:tabs>
                        <w:contextualSpacing/>
                        <w:jc w:val="both"/>
                        <w:rPr>
                          <w:i/>
                          <w:szCs w:val="24"/>
                        </w:rPr>
                      </w:pPr>
                      <w:r>
                        <w:rPr>
                          <w:i/>
                          <w:szCs w:val="24"/>
                        </w:rPr>
                        <w:t>čia:</w:t>
                      </w:r>
                    </w:p>
                    <w:p>
                      <w:pPr>
                        <w:tabs>
                          <w:tab w:val="left" w:pos="1134"/>
                          <w:tab w:val="left" w:pos="1843"/>
                          <w:tab w:val="left" w:pos="2268"/>
                        </w:tabs>
                        <w:jc w:val="both"/>
                        <w:rPr>
                          <w:szCs w:val="24"/>
                        </w:rPr>
                      </w:pPr>
                      <w:r>
                        <w:rPr>
                          <w:szCs w:val="24"/>
                        </w:rPr>
                        <w:t>S</w:t>
                      </w:r>
                      <w:r>
                        <w:rPr>
                          <w:szCs w:val="24"/>
                          <w:vertAlign w:val="subscript"/>
                        </w:rPr>
                        <w:t>sr04,t</w:t>
                      </w:r>
                      <w:r>
                        <w:rPr>
                          <w:szCs w:val="24"/>
                        </w:rPr>
                        <w:t xml:space="preserve"> – planuojami </w:t>
                      </w:r>
                      <w:r>
                        <w:rPr>
                          <w:i/>
                          <w:szCs w:val="24"/>
                        </w:rPr>
                        <w:t>t</w:t>
                      </w:r>
                      <w:r>
                        <w:rPr>
                          <w:szCs w:val="24"/>
                        </w:rPr>
                        <w:t xml:space="preserve"> metų elektros energijos pirkimo kaštai savoms reikmėms padengti ŽĮ tinkle;</w:t>
                      </w:r>
                    </w:p>
                    <w:p>
                      <w:pPr>
                        <w:tabs>
                          <w:tab w:val="left" w:pos="1134"/>
                          <w:tab w:val="left" w:pos="1843"/>
                          <w:tab w:val="left" w:pos="2268"/>
                        </w:tabs>
                        <w:jc w:val="both"/>
                        <w:rPr>
                          <w:szCs w:val="24"/>
                        </w:rPr>
                      </w:pPr>
                      <w:r>
                        <w:rPr>
                          <w:szCs w:val="24"/>
                        </w:rPr>
                        <w:t>E</w:t>
                      </w:r>
                      <w:r>
                        <w:rPr>
                          <w:szCs w:val="24"/>
                          <w:vertAlign w:val="subscript"/>
                        </w:rPr>
                        <w:t>sr04,t</w:t>
                      </w:r>
                      <w:r>
                        <w:rPr>
                          <w:szCs w:val="24"/>
                        </w:rPr>
                        <w:t xml:space="preserve"> – </w:t>
                      </w:r>
                      <w:r>
                        <w:rPr>
                          <w:i/>
                          <w:szCs w:val="24"/>
                        </w:rPr>
                        <w:t xml:space="preserve">t </w:t>
                      </w:r>
                      <w:r>
                        <w:rPr>
                          <w:szCs w:val="24"/>
                        </w:rPr>
                        <w:t>metų elektros energijos suvartojimas savoms reikmėms ŽĮ tinkle, kWh;</w:t>
                      </w:r>
                    </w:p>
                    <w:p>
                      <w:pPr>
                        <w:tabs>
                          <w:tab w:val="left" w:pos="1134"/>
                          <w:tab w:val="left" w:pos="1843"/>
                          <w:tab w:val="left" w:pos="2268"/>
                        </w:tabs>
                        <w:jc w:val="both"/>
                        <w:rPr>
                          <w:szCs w:val="24"/>
                        </w:rPr>
                      </w:pPr>
                      <w:r>
                        <w:rPr>
                          <w:szCs w:val="24"/>
                        </w:rPr>
                        <w:t>T</w:t>
                      </w:r>
                      <w:r>
                        <w:rPr>
                          <w:szCs w:val="24"/>
                          <w:vertAlign w:val="subscript"/>
                        </w:rPr>
                        <w:t>g04,t</w:t>
                      </w:r>
                      <w:r>
                        <w:rPr>
                          <w:szCs w:val="24"/>
                        </w:rPr>
                        <w:t xml:space="preserve"> – </w:t>
                      </w:r>
                      <w:r>
                        <w:rPr>
                          <w:i/>
                          <w:szCs w:val="24"/>
                        </w:rPr>
                        <w:t xml:space="preserve">t </w:t>
                      </w:r>
                      <w:r>
                        <w:rPr>
                          <w:szCs w:val="24"/>
                        </w:rPr>
                        <w:t>metų elektros energijos pirkimo kaina ŽĮ tinkle, EUR/kWh;</w:t>
                      </w:r>
                    </w:p>
                    <w:p>
                      <w:pPr>
                        <w:tabs>
                          <w:tab w:val="left" w:pos="1134"/>
                          <w:tab w:val="left" w:pos="1843"/>
                          <w:tab w:val="left" w:pos="2268"/>
                        </w:tabs>
                        <w:jc w:val="both"/>
                        <w:rPr>
                          <w:szCs w:val="24"/>
                        </w:rPr>
                      </w:pPr>
                      <w:r>
                        <w:rPr>
                          <w:szCs w:val="24"/>
                        </w:rPr>
                        <w:t>T’</w:t>
                      </w:r>
                      <w:r>
                        <w:rPr>
                          <w:szCs w:val="24"/>
                          <w:vertAlign w:val="subscript"/>
                        </w:rPr>
                        <w:t>110,t</w:t>
                      </w:r>
                      <w:r>
                        <w:rPr>
                          <w:szCs w:val="24"/>
                        </w:rPr>
                        <w:t xml:space="preserve"> – </w:t>
                      </w:r>
                      <w:r>
                        <w:rPr>
                          <w:i/>
                          <w:szCs w:val="24"/>
                        </w:rPr>
                        <w:t>t</w:t>
                      </w:r>
                      <w:r>
                        <w:rPr>
                          <w:szCs w:val="24"/>
                        </w:rPr>
                        <w:t xml:space="preserve"> metų elektros energijos perdavimo paslaugos kainos viršutinė riba, EUR/kWh;</w:t>
                      </w:r>
                    </w:p>
                    <w:p>
                      <w:pPr>
                        <w:tabs>
                          <w:tab w:val="left" w:pos="1134"/>
                          <w:tab w:val="left" w:pos="1843"/>
                          <w:tab w:val="left" w:pos="2268"/>
                        </w:tabs>
                        <w:jc w:val="both"/>
                        <w:rPr>
                          <w:szCs w:val="24"/>
                        </w:rPr>
                      </w:pPr>
                      <w:r>
                        <w:rPr>
                          <w:szCs w:val="24"/>
                        </w:rPr>
                        <w:t>T’</w:t>
                      </w:r>
                      <w:r>
                        <w:rPr>
                          <w:szCs w:val="24"/>
                          <w:vertAlign w:val="subscript"/>
                        </w:rPr>
                        <w:t>10,t</w:t>
                      </w:r>
                      <w:r>
                        <w:rPr>
                          <w:szCs w:val="24"/>
                        </w:rPr>
                        <w:t xml:space="preserve"> – </w:t>
                      </w:r>
                      <w:r>
                        <w:rPr>
                          <w:i/>
                          <w:szCs w:val="24"/>
                        </w:rPr>
                        <w:t>t</w:t>
                      </w:r>
                      <w:r>
                        <w:rPr>
                          <w:szCs w:val="24"/>
                        </w:rPr>
                        <w:t xml:space="preserve"> metų elektros energijos skirstymo paslaugos VĮ tinklais kainos viršutinė riba, EUR/kWh.</w:t>
                      </w:r>
                    </w:p>
                  </w:sdtContent>
                </w:sdt>
                <w:sdt>
                  <w:sdtPr>
                    <w:alias w:val="69 p."/>
                    <w:tag w:val="part_eb35f36f476a4d8089757dcf08e569a5"/>
                    <w:lock w:val="sdtLocked"/>
                    <w:richText/>
                  </w:sdtPr>
                  <w:sdtContent>
                    <w:p>
                      <w:pPr>
                        <w:tabs>
                          <w:tab w:val="left" w:pos="1134"/>
                          <w:tab w:val="left" w:pos="1843"/>
                          <w:tab w:val="left" w:pos="2268"/>
                        </w:tabs>
                        <w:ind w:firstLine="709"/>
                        <w:jc w:val="both"/>
                        <w:rPr>
                          <w:szCs w:val="24"/>
                        </w:rPr>
                      </w:pPr>
                      <w:sdt>
                        <w:sdtPr>
                          <w:alias w:val="Numeris"/>
                          <w:tag w:val="nr_eb35f36f476a4d8089757dcf08e569a5"/>
                          <w:lock w:val="sdtLocked"/>
                          <w:richText/>
                        </w:sdtPr>
                        <w:sdtContent>
                          <w:r>
                            <w:rPr>
                              <w:szCs w:val="24"/>
                            </w:rPr>
                            <w:t>69</w:t>
                          </w:r>
                        </w:sdtContent>
                      </w:sdt>
                      <w:r>
                        <w:rPr>
                          <w:szCs w:val="24"/>
                        </w:rPr>
                        <w:t xml:space="preserve">. Planuojami </w:t>
                      </w:r>
                      <w:r>
                        <w:rPr>
                          <w:i/>
                          <w:szCs w:val="24"/>
                        </w:rPr>
                        <w:t>t</w:t>
                      </w:r>
                      <w:r>
                        <w:rPr>
                          <w:szCs w:val="24"/>
                        </w:rPr>
                        <w:t xml:space="preserve"> metų STO elektros energijos pirkimo kaštai savoms reikmėms VĮ tinkle padengti apskaičiuojami pagal formulę:</w:t>
                      </w:r>
                    </w:p>
                    <w:p>
                      <w:pPr>
                        <w:tabs>
                          <w:tab w:val="left" w:pos="1134"/>
                          <w:tab w:val="left" w:pos="1843"/>
                          <w:tab w:val="left" w:pos="2268"/>
                        </w:tabs>
                        <w:jc w:val="both"/>
                        <w:rPr>
                          <w:szCs w:val="24"/>
                        </w:rPr>
                      </w:pPr>
                    </w:p>
                    <w:p>
                      <w:pPr>
                        <w:tabs>
                          <w:tab w:val="left" w:pos="9214"/>
                        </w:tabs>
                        <w:ind w:firstLine="9214"/>
                        <w:jc w:val="both"/>
                        <w:rPr>
                          <w:szCs w:val="24"/>
                        </w:rPr>
                      </w:pPr>
                      <w:r>
                        <w:t xml:space="preserve"> </w:t>
                      </w:r>
                      <m:oMath>
                        <m:sSub>
                          <m:sSubPr>
                            <m:ctrlPr>
                              <w:rPr>
                                <w:rFonts w:ascii="Cambria Math" w:hAnsi="Cambria Math"/>
                                <w:i/>
                              </w:rPr>
                            </m:ctrlPr>
                          </m:sSubPr>
                          <m:e>
                            <m:r>
                              <w:rPr>
                                <w:rFonts w:ascii="Cambria Math" w:hAnsi="Cambria Math"/>
                              </w:rPr>
                              <m:t>S</m:t>
                            </m:r>
                          </m:e>
                          <m:sub>
                            <m:r>
                              <w:rPr>
                                <w:rFonts w:ascii="Cambria Math" w:hAnsi="Cambria Math"/>
                              </w:rPr>
                              <m:t>sr</m:t>
                            </m:r>
                            <m:r>
                              <w:rPr>
                                <w:rFonts w:ascii="Cambria Math" w:hAnsi="Cambria Math"/>
                              </w:rPr>
                              <m:t>10</m:t>
                            </m:r>
                          </m:sub>
                        </m:sSub>
                        <m:r>
                          <w:rPr>
                            <w:rFonts w:ascii="Cambria Math" w:hAnsi="Cambria Math"/>
                          </w:rPr>
                          <m:t>=</m:t>
                        </m:r>
                        <m:sSub>
                          <m:sSubPr>
                            <m:ctrlPr>
                              <w:rPr>
                                <w:rFonts w:ascii="Cambria Math" w:hAnsi="Cambria Math"/>
                                <w:i/>
                              </w:rPr>
                            </m:ctrlPr>
                          </m:sSubPr>
                          <m:e>
                            <m:r>
                              <w:rPr>
                                <w:rFonts w:ascii="Cambria Math" w:hAnsi="Cambria Math"/>
                              </w:rPr>
                              <m:t>E</m:t>
                            </m:r>
                          </m:e>
                          <m:sub>
                            <m:r>
                              <w:rPr>
                                <w:rFonts w:ascii="Cambria Math" w:hAnsi="Cambria Math"/>
                              </w:rPr>
                              <m:t>sr</m:t>
                            </m:r>
                            <m:r>
                              <w:rPr>
                                <w:rFonts w:ascii="Cambria Math" w:hAnsi="Cambria Math"/>
                              </w:rPr>
                              <m:t>10,</m:t>
                            </m:r>
                            <m:r>
                              <w:rPr>
                                <w:rFonts w:ascii="Cambria Math" w:hAnsi="Cambria Math"/>
                              </w:rPr>
                              <m:t>t</m:t>
                            </m:r>
                          </m:sub>
                        </m:sSub>
                        <m:r>
                          <w:rPr>
                            <w:rFonts w:ascii="Cambria Math" w:hAnsi="Cambria Math"/>
                          </w:rPr>
                          <m:t>×(</m:t>
                        </m:r>
                        <m:sSub>
                          <m:sSubPr>
                            <m:ctrlPr>
                              <w:rPr>
                                <w:rFonts w:ascii="Cambria Math" w:hAnsi="Cambria Math"/>
                                <w:i/>
                              </w:rPr>
                            </m:ctrlPr>
                          </m:sSubPr>
                          <m:e>
                            <m:r>
                              <w:rPr>
                                <w:rFonts w:ascii="Cambria Math" w:hAnsi="Cambria Math"/>
                              </w:rPr>
                              <m:t>T</m:t>
                            </m:r>
                          </m:e>
                          <m:sub>
                            <m:r>
                              <w:rPr>
                                <w:rFonts w:ascii="Cambria Math" w:hAnsi="Cambria Math"/>
                              </w:rPr>
                              <m:t>g</m:t>
                            </m:r>
                            <m:r>
                              <w:rPr>
                                <w:rFonts w:ascii="Cambria Math" w:hAnsi="Cambria Math"/>
                              </w:rPr>
                              <m:t>10,</m:t>
                            </m:r>
                            <m:r>
                              <w:rPr>
                                <w:rFonts w:ascii="Cambria Math" w:hAnsi="Cambria Math"/>
                              </w:rPr>
                              <m:t>t</m:t>
                            </m:r>
                          </m:sub>
                        </m:sSub>
                        <m:r>
                          <w:rPr>
                            <w:rFonts w:ascii="Cambria Math" w:hAnsi="Cambria Math"/>
                          </w:rPr>
                          <m:t>+</m:t>
                        </m:r>
                        <m:sSubSup>
                          <m:sSubSupPr>
                            <m:ctrlPr>
                              <w:rPr>
                                <w:rFonts w:ascii="Cambria Math" w:hAnsi="Cambria Math"/>
                                <w:i/>
                              </w:rPr>
                            </m:ctrlPr>
                          </m:sSubSupPr>
                          <m:e>
                            <m:r>
                              <w:rPr>
                                <w:rFonts w:ascii="Cambria Math" w:hAnsi="Cambria Math"/>
                              </w:rPr>
                              <m:t>T</m:t>
                            </m:r>
                          </m:e>
                          <m:sub>
                            <m:r>
                              <w:rPr>
                                <w:rFonts w:ascii="Cambria Math" w:hAnsi="Cambria Math"/>
                              </w:rPr>
                              <m:t>110,</m:t>
                            </m:r>
                            <m:r>
                              <w:rPr>
                                <w:rFonts w:ascii="Cambria Math" w:hAnsi="Cambria Math"/>
                              </w:rPr>
                              <m:t>t</m:t>
                            </m:r>
                          </m:sub>
                          <m:sup>
                            <m:r>
                              <w:rPr>
                                <w:rFonts w:ascii="Cambria Math" w:hAnsi="Cambria Math"/>
                              </w:rPr>
                              <m:t>'</m:t>
                            </m:r>
                          </m:sup>
                        </m:sSubSup>
                        <m:r>
                          <w:rPr>
                            <w:rFonts w:ascii="Cambria Math" w:hAnsi="Cambria Math"/>
                          </w:rPr>
                          <m:t>)</m:t>
                        </m:r>
                      </m:oMath>
                      <w:r>
                        <w:tab/>
                      </w:r>
                      <w:r>
                        <w:rPr>
                          <w:szCs w:val="24"/>
                        </w:rPr>
                        <w:t>(39)</w:t>
                      </w:r>
                    </w:p>
                    <w:p>
                      <w:pPr>
                        <w:tabs>
                          <w:tab w:val="left" w:pos="1134"/>
                          <w:tab w:val="left" w:pos="1843"/>
                          <w:tab w:val="left" w:pos="2268"/>
                        </w:tabs>
                        <w:jc w:val="both"/>
                        <w:rPr>
                          <w:szCs w:val="24"/>
                        </w:rPr>
                      </w:pPr>
                    </w:p>
                    <w:p>
                      <w:pPr>
                        <w:tabs>
                          <w:tab w:val="left" w:pos="1134"/>
                          <w:tab w:val="left" w:pos="1843"/>
                          <w:tab w:val="left" w:pos="2268"/>
                        </w:tabs>
                        <w:contextualSpacing/>
                        <w:jc w:val="both"/>
                        <w:rPr>
                          <w:i/>
                          <w:szCs w:val="24"/>
                        </w:rPr>
                      </w:pPr>
                      <w:r>
                        <w:rPr>
                          <w:i/>
                          <w:szCs w:val="24"/>
                        </w:rPr>
                        <w:t>čia:</w:t>
                      </w:r>
                    </w:p>
                    <w:p>
                      <w:pPr>
                        <w:tabs>
                          <w:tab w:val="left" w:pos="1134"/>
                          <w:tab w:val="left" w:pos="1843"/>
                          <w:tab w:val="left" w:pos="2268"/>
                        </w:tabs>
                        <w:jc w:val="both"/>
                        <w:rPr>
                          <w:szCs w:val="24"/>
                        </w:rPr>
                      </w:pPr>
                      <w:r>
                        <w:rPr>
                          <w:szCs w:val="24"/>
                        </w:rPr>
                        <w:t>S</w:t>
                      </w:r>
                      <w:r>
                        <w:rPr>
                          <w:szCs w:val="24"/>
                          <w:vertAlign w:val="subscript"/>
                        </w:rPr>
                        <w:t>sr10,t</w:t>
                      </w:r>
                      <w:r>
                        <w:rPr>
                          <w:szCs w:val="24"/>
                        </w:rPr>
                        <w:t xml:space="preserve"> – planuojami </w:t>
                      </w:r>
                      <w:r>
                        <w:rPr>
                          <w:i/>
                          <w:szCs w:val="24"/>
                        </w:rPr>
                        <w:t xml:space="preserve">t </w:t>
                      </w:r>
                      <w:r>
                        <w:rPr>
                          <w:szCs w:val="24"/>
                        </w:rPr>
                        <w:t>metų elektros energijos pirkimo kaštai savoms reikmėms padengti VĮ tinkle;</w:t>
                      </w:r>
                    </w:p>
                    <w:p>
                      <w:pPr>
                        <w:tabs>
                          <w:tab w:val="left" w:pos="1134"/>
                          <w:tab w:val="left" w:pos="1843"/>
                          <w:tab w:val="left" w:pos="2268"/>
                        </w:tabs>
                        <w:jc w:val="both"/>
                        <w:rPr>
                          <w:szCs w:val="24"/>
                        </w:rPr>
                      </w:pPr>
                      <w:r>
                        <w:rPr>
                          <w:szCs w:val="24"/>
                        </w:rPr>
                        <w:t>E</w:t>
                      </w:r>
                      <w:r>
                        <w:rPr>
                          <w:szCs w:val="24"/>
                          <w:vertAlign w:val="subscript"/>
                        </w:rPr>
                        <w:t>sr10,t</w:t>
                      </w:r>
                      <w:r>
                        <w:rPr>
                          <w:szCs w:val="24"/>
                        </w:rPr>
                        <w:t xml:space="preserve"> – </w:t>
                      </w:r>
                      <w:r>
                        <w:rPr>
                          <w:i/>
                          <w:szCs w:val="24"/>
                        </w:rPr>
                        <w:t xml:space="preserve">t </w:t>
                      </w:r>
                      <w:r>
                        <w:rPr>
                          <w:szCs w:val="24"/>
                        </w:rPr>
                        <w:t>metų elektros energijos suvartojimas savoms reikmėms VĮ tinkle, kWh;</w:t>
                      </w:r>
                    </w:p>
                    <w:p>
                      <w:pPr>
                        <w:tabs>
                          <w:tab w:val="left" w:pos="1134"/>
                          <w:tab w:val="left" w:pos="1843"/>
                          <w:tab w:val="left" w:pos="2268"/>
                        </w:tabs>
                        <w:jc w:val="both"/>
                        <w:rPr>
                          <w:szCs w:val="24"/>
                        </w:rPr>
                      </w:pPr>
                      <w:r>
                        <w:rPr>
                          <w:szCs w:val="24"/>
                        </w:rPr>
                        <w:t>T</w:t>
                      </w:r>
                      <w:r>
                        <w:rPr>
                          <w:szCs w:val="24"/>
                          <w:vertAlign w:val="subscript"/>
                        </w:rPr>
                        <w:t>g10,t</w:t>
                      </w:r>
                      <w:r>
                        <w:rPr>
                          <w:szCs w:val="24"/>
                        </w:rPr>
                        <w:t xml:space="preserve"> – </w:t>
                      </w:r>
                      <w:r>
                        <w:rPr>
                          <w:i/>
                          <w:szCs w:val="24"/>
                        </w:rPr>
                        <w:t xml:space="preserve">t </w:t>
                      </w:r>
                      <w:r>
                        <w:rPr>
                          <w:szCs w:val="24"/>
                        </w:rPr>
                        <w:t>metų elektros energijos pirkimo kaina VĮ tinkle, EUR/kWh;</w:t>
                      </w:r>
                    </w:p>
                    <w:p>
                      <w:pPr>
                        <w:tabs>
                          <w:tab w:val="left" w:pos="1134"/>
                          <w:tab w:val="left" w:pos="1843"/>
                          <w:tab w:val="left" w:pos="2268"/>
                        </w:tabs>
                        <w:jc w:val="both"/>
                        <w:rPr>
                          <w:szCs w:val="24"/>
                        </w:rPr>
                      </w:pPr>
                      <w:r>
                        <w:rPr>
                          <w:szCs w:val="24"/>
                        </w:rPr>
                        <w:t>T’</w:t>
                      </w:r>
                      <w:r>
                        <w:rPr>
                          <w:szCs w:val="24"/>
                          <w:vertAlign w:val="subscript"/>
                        </w:rPr>
                        <w:t>110,t</w:t>
                      </w:r>
                      <w:r>
                        <w:rPr>
                          <w:szCs w:val="24"/>
                        </w:rPr>
                        <w:t xml:space="preserve"> – </w:t>
                      </w:r>
                      <w:r>
                        <w:rPr>
                          <w:i/>
                          <w:szCs w:val="24"/>
                        </w:rPr>
                        <w:t>t</w:t>
                      </w:r>
                      <w:r>
                        <w:rPr>
                          <w:szCs w:val="24"/>
                        </w:rPr>
                        <w:t xml:space="preserve"> metų elektros energijos perdavimo paslaugos kainos viršutinė riba, EUR/kWh.</w:t>
                      </w:r>
                    </w:p>
                  </w:sdtContent>
                </w:sdt>
                <w:sdt>
                  <w:sdtPr>
                    <w:alias w:val="70 p."/>
                    <w:tag w:val="part_0b4e43af05d44611a06f6d7bea1116ca"/>
                    <w:lock w:val="sdtLocked"/>
                    <w:richText/>
                  </w:sdtPr>
                  <w:sdtContent>
                    <w:p>
                      <w:pPr>
                        <w:tabs>
                          <w:tab w:val="left" w:pos="1134"/>
                          <w:tab w:val="left" w:pos="1843"/>
                          <w:tab w:val="left" w:pos="2268"/>
                        </w:tabs>
                        <w:ind w:firstLine="709"/>
                        <w:jc w:val="both"/>
                        <w:rPr>
                          <w:szCs w:val="24"/>
                        </w:rPr>
                      </w:pPr>
                      <w:sdt>
                        <w:sdtPr>
                          <w:alias w:val="Numeris"/>
                          <w:tag w:val="nr_0b4e43af05d44611a06f6d7bea1116ca"/>
                          <w:lock w:val="sdtLocked"/>
                          <w:richText/>
                        </w:sdtPr>
                        <w:sdtContent>
                          <w:r>
                            <w:rPr>
                              <w:szCs w:val="24"/>
                            </w:rPr>
                            <w:t>70</w:t>
                          </w:r>
                        </w:sdtContent>
                      </w:sdt>
                      <w:r>
                        <w:rPr>
                          <w:szCs w:val="24"/>
                        </w:rPr>
                        <w:t>. Planuojami elektros energijos pirkimo kaštai elektros energijai, sunaudotai technologiniuose įrenginiuose ŽĮ tinkle, padengti apskaičiuojami pagal formulę:</w:t>
                      </w:r>
                    </w:p>
                    <w:p>
                      <w:pPr>
                        <w:tabs>
                          <w:tab w:val="left" w:pos="1134"/>
                          <w:tab w:val="left" w:pos="1843"/>
                          <w:tab w:val="left" w:pos="2268"/>
                        </w:tabs>
                        <w:jc w:val="both"/>
                        <w:rPr>
                          <w:szCs w:val="24"/>
                        </w:rPr>
                      </w:pPr>
                    </w:p>
                    <w:p>
                      <w:pPr>
                        <w:tabs>
                          <w:tab w:val="left" w:pos="9214"/>
                        </w:tabs>
                        <w:ind w:firstLine="9214"/>
                        <w:jc w:val="both"/>
                        <w:rPr>
                          <w:szCs w:val="24"/>
                        </w:rPr>
                      </w:pPr>
                      <w:r>
                        <w:t xml:space="preserve"> </w:t>
                      </w:r>
                      <m:oMath>
                        <m:sSub>
                          <m:sSubPr>
                            <m:ctrlPr>
                              <w:rPr>
                                <w:rFonts w:ascii="Cambria Math" w:hAnsi="Cambria Math"/>
                                <w:i/>
                              </w:rPr>
                            </m:ctrlPr>
                          </m:sSubPr>
                          <m:e>
                            <m:r>
                              <w:rPr>
                                <w:rFonts w:ascii="Cambria Math" w:hAnsi="Cambria Math"/>
                              </w:rPr>
                              <m:t>S</m:t>
                            </m:r>
                          </m:e>
                          <m:sub>
                            <m:r>
                              <w:rPr>
                                <w:rFonts w:ascii="Cambria Math" w:hAnsi="Cambria Math"/>
                              </w:rPr>
                              <m:t>n</m:t>
                            </m:r>
                            <m:r>
                              <w:rPr>
                                <w:rFonts w:ascii="Cambria Math" w:hAnsi="Cambria Math"/>
                              </w:rPr>
                              <m:t>04,</m:t>
                            </m:r>
                            <m:r>
                              <w:rPr>
                                <w:rFonts w:ascii="Cambria Math" w:hAnsi="Cambria Math"/>
                              </w:rPr>
                              <m:t>t</m:t>
                            </m:r>
                          </m:sub>
                        </m:sSub>
                        <m:r>
                          <w:rPr>
                            <w:rFonts w:ascii="Cambria Math" w:hAnsi="Cambria Math"/>
                          </w:rPr>
                          <m:t>=</m:t>
                        </m:r>
                        <m:sSub>
                          <m:sSubPr>
                            <m:ctrlPr>
                              <w:rPr>
                                <w:rFonts w:ascii="Cambria Math" w:hAnsi="Cambria Math"/>
                                <w:i/>
                              </w:rPr>
                            </m:ctrlPr>
                          </m:sSubPr>
                          <m:e>
                            <m:r>
                              <w:rPr>
                                <w:rFonts w:ascii="Cambria Math" w:hAnsi="Cambria Math"/>
                              </w:rPr>
                              <m:t>E</m:t>
                            </m:r>
                          </m:e>
                          <m:sub>
                            <m:r>
                              <w:rPr>
                                <w:rFonts w:ascii="Cambria Math" w:hAnsi="Cambria Math"/>
                              </w:rPr>
                              <m:t>n</m:t>
                            </m:r>
                            <m:r>
                              <w:rPr>
                                <w:rFonts w:ascii="Cambria Math" w:hAnsi="Cambria Math"/>
                              </w:rPr>
                              <m:t>04,</m:t>
                            </m:r>
                            <m:r>
                              <w:rPr>
                                <w:rFonts w:ascii="Cambria Math" w:hAnsi="Cambria Math"/>
                              </w:rPr>
                              <m:t>t</m:t>
                            </m:r>
                          </m:sub>
                        </m:sSub>
                        <m:r>
                          <w:rPr>
                            <w:rFonts w:ascii="Cambria Math" w:hAnsi="Cambria Math"/>
                          </w:rPr>
                          <m:t>×(</m:t>
                        </m:r>
                        <m:sSub>
                          <m:sSubPr>
                            <m:ctrlPr>
                              <w:rPr>
                                <w:rFonts w:ascii="Cambria Math" w:hAnsi="Cambria Math"/>
                                <w:i/>
                              </w:rPr>
                            </m:ctrlPr>
                          </m:sSubPr>
                          <m:e>
                            <m:r>
                              <w:rPr>
                                <w:rFonts w:ascii="Cambria Math" w:hAnsi="Cambria Math"/>
                              </w:rPr>
                              <m:t>T</m:t>
                            </m:r>
                          </m:e>
                          <m:sub>
                            <m:r>
                              <w:rPr>
                                <w:rFonts w:ascii="Cambria Math" w:hAnsi="Cambria Math"/>
                              </w:rPr>
                              <m:t>g</m:t>
                            </m:r>
                            <m:r>
                              <w:rPr>
                                <w:rFonts w:ascii="Cambria Math" w:hAnsi="Cambria Math"/>
                              </w:rPr>
                              <m:t>04,</m:t>
                            </m:r>
                            <m:r>
                              <w:rPr>
                                <w:rFonts w:ascii="Cambria Math" w:hAnsi="Cambria Math"/>
                              </w:rPr>
                              <m:t>t</m:t>
                            </m:r>
                          </m:sub>
                        </m:sSub>
                        <m:r>
                          <w:rPr>
                            <w:rFonts w:ascii="Cambria Math" w:hAnsi="Cambria Math"/>
                          </w:rPr>
                          <m:t>+</m:t>
                        </m:r>
                        <m:sSubSup>
                          <m:sSubSupPr>
                            <m:ctrlPr>
                              <w:rPr>
                                <w:rFonts w:ascii="Cambria Math" w:hAnsi="Cambria Math"/>
                                <w:i/>
                              </w:rPr>
                            </m:ctrlPr>
                          </m:sSubSupPr>
                          <m:e>
                            <m:r>
                              <w:rPr>
                                <w:rFonts w:ascii="Cambria Math" w:hAnsi="Cambria Math"/>
                              </w:rPr>
                              <m:t>T</m:t>
                            </m:r>
                          </m:e>
                          <m:sub>
                            <m:r>
                              <w:rPr>
                                <w:rFonts w:ascii="Cambria Math" w:hAnsi="Cambria Math"/>
                              </w:rPr>
                              <m:t>110,</m:t>
                            </m:r>
                            <m:r>
                              <w:rPr>
                                <w:rFonts w:ascii="Cambria Math" w:hAnsi="Cambria Math"/>
                              </w:rPr>
                              <m:t>t</m:t>
                            </m:r>
                          </m:sub>
                          <m:sup>
                            <m:r>
                              <w:rPr>
                                <w:rFonts w:ascii="Cambria Math" w:hAnsi="Cambria Math"/>
                              </w:rPr>
                              <m:t>'</m:t>
                            </m:r>
                          </m:sup>
                        </m:sSubSup>
                        <m:r>
                          <w:rPr>
                            <w:rFonts w:ascii="Cambria Math" w:hAnsi="Cambria Math"/>
                          </w:rPr>
                          <m:t>+</m:t>
                        </m:r>
                        <m:sSubSup>
                          <m:sSubSupPr>
                            <m:ctrlPr>
                              <w:rPr>
                                <w:rFonts w:ascii="Cambria Math" w:hAnsi="Cambria Math"/>
                                <w:i/>
                              </w:rPr>
                            </m:ctrlPr>
                          </m:sSubSupPr>
                          <m:e>
                            <m:r>
                              <w:rPr>
                                <w:rFonts w:ascii="Cambria Math" w:hAnsi="Cambria Math"/>
                              </w:rPr>
                              <m:t>T</m:t>
                            </m:r>
                          </m:e>
                          <m:sub>
                            <m:r>
                              <w:rPr>
                                <w:rFonts w:ascii="Cambria Math" w:hAnsi="Cambria Math"/>
                              </w:rPr>
                              <m:t>10,</m:t>
                            </m:r>
                            <m:r>
                              <w:rPr>
                                <w:rFonts w:ascii="Cambria Math" w:hAnsi="Cambria Math"/>
                              </w:rPr>
                              <m:t>t</m:t>
                            </m:r>
                          </m:sub>
                          <m:sup>
                            <m:r>
                              <w:rPr>
                                <w:rFonts w:ascii="Cambria Math" w:hAnsi="Cambria Math"/>
                              </w:rPr>
                              <m:t>'</m:t>
                            </m:r>
                          </m:sup>
                        </m:sSubSup>
                        <m:r>
                          <w:rPr>
                            <w:rFonts w:ascii="Cambria Math" w:hAnsi="Cambria Math"/>
                          </w:rPr>
                          <m:t>)</m:t>
                        </m:r>
                      </m:oMath>
                      <w:r>
                        <w:tab/>
                      </w:r>
                      <w:r>
                        <w:rPr>
                          <w:szCs w:val="24"/>
                        </w:rPr>
                        <w:t>(40)</w:t>
                      </w:r>
                    </w:p>
                    <w:p>
                      <w:pPr>
                        <w:tabs>
                          <w:tab w:val="left" w:pos="1134"/>
                          <w:tab w:val="left" w:pos="1843"/>
                          <w:tab w:val="left" w:pos="2268"/>
                        </w:tabs>
                        <w:jc w:val="both"/>
                        <w:rPr>
                          <w:szCs w:val="24"/>
                        </w:rPr>
                      </w:pPr>
                    </w:p>
                    <w:p>
                      <w:pPr>
                        <w:tabs>
                          <w:tab w:val="left" w:pos="1134"/>
                          <w:tab w:val="left" w:pos="1843"/>
                          <w:tab w:val="left" w:pos="2268"/>
                        </w:tabs>
                        <w:jc w:val="both"/>
                        <w:rPr>
                          <w:i/>
                          <w:szCs w:val="24"/>
                        </w:rPr>
                      </w:pPr>
                      <w:r>
                        <w:rPr>
                          <w:i/>
                          <w:szCs w:val="24"/>
                        </w:rPr>
                        <w:t>čia:</w:t>
                      </w:r>
                    </w:p>
                    <w:p>
                      <w:pPr>
                        <w:tabs>
                          <w:tab w:val="left" w:pos="1134"/>
                          <w:tab w:val="left" w:pos="1843"/>
                          <w:tab w:val="left" w:pos="2268"/>
                        </w:tabs>
                        <w:jc w:val="both"/>
                        <w:rPr>
                          <w:szCs w:val="24"/>
                        </w:rPr>
                      </w:pPr>
                      <w:r>
                        <w:rPr>
                          <w:szCs w:val="24"/>
                        </w:rPr>
                        <w:t>S</w:t>
                      </w:r>
                      <w:r>
                        <w:rPr>
                          <w:szCs w:val="24"/>
                          <w:vertAlign w:val="subscript"/>
                        </w:rPr>
                        <w:t>n04,t</w:t>
                      </w:r>
                      <w:r>
                        <w:rPr>
                          <w:szCs w:val="24"/>
                        </w:rPr>
                        <w:t xml:space="preserve"> – planuojami </w:t>
                      </w:r>
                      <w:r>
                        <w:rPr>
                          <w:i/>
                          <w:szCs w:val="24"/>
                        </w:rPr>
                        <w:t>t</w:t>
                      </w:r>
                      <w:r>
                        <w:rPr>
                          <w:szCs w:val="24"/>
                        </w:rPr>
                        <w:t xml:space="preserve"> metų elektros energijos pirkimo kaštai elektros energijai, sunaudotai technologiniuose įrenginiuose ŽĮ tinkle, padengti, EUR;</w:t>
                      </w:r>
                    </w:p>
                    <w:p>
                      <w:pPr>
                        <w:tabs>
                          <w:tab w:val="left" w:pos="1134"/>
                          <w:tab w:val="left" w:pos="1843"/>
                          <w:tab w:val="left" w:pos="2268"/>
                        </w:tabs>
                        <w:jc w:val="both"/>
                        <w:rPr>
                          <w:szCs w:val="24"/>
                        </w:rPr>
                      </w:pPr>
                      <w:r>
                        <w:rPr>
                          <w:szCs w:val="24"/>
                        </w:rPr>
                        <w:t>E</w:t>
                      </w:r>
                      <w:r>
                        <w:rPr>
                          <w:szCs w:val="24"/>
                          <w:vertAlign w:val="subscript"/>
                        </w:rPr>
                        <w:t>n04,t</w:t>
                      </w:r>
                      <w:r>
                        <w:rPr>
                          <w:szCs w:val="24"/>
                        </w:rPr>
                        <w:t xml:space="preserve"> – elektros energijos kiekis, suvartojamas ŽĮ tinklo technologiniuose įrenginiuose, kWh;</w:t>
                      </w:r>
                    </w:p>
                    <w:p>
                      <w:pPr>
                        <w:tabs>
                          <w:tab w:val="left" w:pos="1134"/>
                          <w:tab w:val="left" w:pos="1843"/>
                          <w:tab w:val="left" w:pos="2268"/>
                        </w:tabs>
                        <w:jc w:val="both"/>
                        <w:rPr>
                          <w:szCs w:val="24"/>
                        </w:rPr>
                      </w:pPr>
                      <w:r>
                        <w:rPr>
                          <w:szCs w:val="24"/>
                        </w:rPr>
                        <w:t>T</w:t>
                      </w:r>
                      <w:r>
                        <w:rPr>
                          <w:szCs w:val="24"/>
                          <w:vertAlign w:val="subscript"/>
                        </w:rPr>
                        <w:t>g04,t</w:t>
                      </w:r>
                      <w:r>
                        <w:rPr>
                          <w:szCs w:val="24"/>
                        </w:rPr>
                        <w:t xml:space="preserve"> – elektros energijos pirkimo kaina ŽĮ tinkle, EUR/kWh;</w:t>
                      </w:r>
                    </w:p>
                    <w:p>
                      <w:pPr>
                        <w:tabs>
                          <w:tab w:val="left" w:pos="1134"/>
                          <w:tab w:val="left" w:pos="1843"/>
                          <w:tab w:val="left" w:pos="2268"/>
                        </w:tabs>
                        <w:jc w:val="both"/>
                        <w:rPr>
                          <w:szCs w:val="24"/>
                        </w:rPr>
                      </w:pPr>
                      <w:r>
                        <w:rPr>
                          <w:szCs w:val="24"/>
                        </w:rPr>
                        <w:t>T’</w:t>
                      </w:r>
                      <w:r>
                        <w:rPr>
                          <w:szCs w:val="24"/>
                          <w:vertAlign w:val="subscript"/>
                        </w:rPr>
                        <w:t>110,t</w:t>
                      </w:r>
                      <w:r>
                        <w:rPr>
                          <w:szCs w:val="24"/>
                        </w:rPr>
                        <w:t xml:space="preserve"> – </w:t>
                      </w:r>
                      <w:r>
                        <w:rPr>
                          <w:i/>
                          <w:szCs w:val="24"/>
                        </w:rPr>
                        <w:t xml:space="preserve">t </w:t>
                      </w:r>
                      <w:r>
                        <w:rPr>
                          <w:szCs w:val="24"/>
                        </w:rPr>
                        <w:t>metų elektros energijos perdavimo paslaugos kainos viršutinė riba, EUR/kWh;</w:t>
                      </w:r>
                    </w:p>
                    <w:p>
                      <w:pPr>
                        <w:tabs>
                          <w:tab w:val="left" w:pos="1134"/>
                          <w:tab w:val="left" w:pos="1843"/>
                          <w:tab w:val="left" w:pos="2268"/>
                        </w:tabs>
                        <w:jc w:val="both"/>
                        <w:rPr>
                          <w:szCs w:val="24"/>
                        </w:rPr>
                      </w:pPr>
                      <w:r>
                        <w:rPr>
                          <w:szCs w:val="24"/>
                        </w:rPr>
                        <w:t>T’</w:t>
                      </w:r>
                      <w:r>
                        <w:rPr>
                          <w:szCs w:val="24"/>
                          <w:vertAlign w:val="subscript"/>
                        </w:rPr>
                        <w:t>10,t</w:t>
                      </w:r>
                      <w:r>
                        <w:rPr>
                          <w:szCs w:val="24"/>
                        </w:rPr>
                        <w:t xml:space="preserve"> – </w:t>
                      </w:r>
                      <w:r>
                        <w:rPr>
                          <w:i/>
                          <w:szCs w:val="24"/>
                        </w:rPr>
                        <w:t>t</w:t>
                      </w:r>
                      <w:r>
                        <w:rPr>
                          <w:szCs w:val="24"/>
                        </w:rPr>
                        <w:t xml:space="preserve"> metų elektros energijos skirstymo paslaugos VĮ tinklais kainos viršutinė riba, EUR/kWh.</w:t>
                      </w:r>
                    </w:p>
                  </w:sdtContent>
                </w:sdt>
                <w:sdt>
                  <w:sdtPr>
                    <w:alias w:val="71 p."/>
                    <w:tag w:val="part_10a8da1aa3b7405c94034d3a7880bac8"/>
                    <w:lock w:val="sdtLocked"/>
                    <w:richText/>
                  </w:sdtPr>
                  <w:sdtContent>
                    <w:p>
                      <w:pPr>
                        <w:tabs>
                          <w:tab w:val="left" w:pos="1134"/>
                          <w:tab w:val="left" w:pos="1843"/>
                          <w:tab w:val="left" w:pos="2268"/>
                        </w:tabs>
                        <w:ind w:firstLine="709"/>
                        <w:jc w:val="both"/>
                        <w:rPr>
                          <w:szCs w:val="24"/>
                        </w:rPr>
                      </w:pPr>
                      <w:sdt>
                        <w:sdtPr>
                          <w:alias w:val="Numeris"/>
                          <w:tag w:val="nr_10a8da1aa3b7405c94034d3a7880bac8"/>
                          <w:lock w:val="sdtLocked"/>
                          <w:richText/>
                        </w:sdtPr>
                        <w:sdtContent>
                          <w:r>
                            <w:rPr>
                              <w:szCs w:val="24"/>
                            </w:rPr>
                            <w:t>71</w:t>
                          </w:r>
                        </w:sdtContent>
                      </w:sdt>
                      <w:r>
                        <w:rPr>
                          <w:szCs w:val="24"/>
                        </w:rPr>
                        <w:t>. Planuojami elektros energijos pirkimo kaštai elektros energijai, sunaudotai technologiniuose įrenginiuose VĮ tinkle, padengti apskaičiuojami pagal formulę:</w:t>
                      </w:r>
                    </w:p>
                    <w:p>
                      <w:pPr>
                        <w:tabs>
                          <w:tab w:val="left" w:pos="1134"/>
                          <w:tab w:val="left" w:pos="1843"/>
                          <w:tab w:val="left" w:pos="2268"/>
                        </w:tabs>
                        <w:jc w:val="both"/>
                        <w:rPr>
                          <w:szCs w:val="24"/>
                        </w:rPr>
                      </w:pPr>
                    </w:p>
                    <w:p>
                      <w:pPr>
                        <w:tabs>
                          <w:tab w:val="left" w:pos="9214"/>
                        </w:tabs>
                        <w:ind w:firstLine="9214"/>
                        <w:jc w:val="both"/>
                        <w:rPr>
                          <w:szCs w:val="24"/>
                        </w:rPr>
                      </w:pPr>
                      <w:r>
                        <w:t xml:space="preserve"> </w:t>
                      </w:r>
                      <m:oMath>
                        <m:sSub>
                          <m:sSubPr>
                            <m:ctrlPr>
                              <w:rPr>
                                <w:rFonts w:ascii="Cambria Math" w:hAnsi="Cambria Math"/>
                                <w:i/>
                              </w:rPr>
                            </m:ctrlPr>
                          </m:sSubPr>
                          <m:e>
                            <m:r>
                              <w:rPr>
                                <w:rFonts w:ascii="Cambria Math" w:hAnsi="Cambria Math"/>
                              </w:rPr>
                              <m:t>S</m:t>
                            </m:r>
                          </m:e>
                          <m:sub>
                            <m:r>
                              <w:rPr>
                                <w:rFonts w:ascii="Cambria Math" w:hAnsi="Cambria Math"/>
                              </w:rPr>
                              <m:t>n</m:t>
                            </m:r>
                            <m:r>
                              <w:rPr>
                                <w:rFonts w:ascii="Cambria Math" w:hAnsi="Cambria Math"/>
                              </w:rPr>
                              <m:t>10,</m:t>
                            </m:r>
                            <m:r>
                              <w:rPr>
                                <w:rFonts w:ascii="Cambria Math" w:hAnsi="Cambria Math"/>
                              </w:rPr>
                              <m:t>t</m:t>
                            </m:r>
                          </m:sub>
                        </m:sSub>
                        <m:r>
                          <w:rPr>
                            <w:rFonts w:ascii="Cambria Math" w:hAnsi="Cambria Math"/>
                          </w:rPr>
                          <m:t>=</m:t>
                        </m:r>
                        <m:sSub>
                          <m:sSubPr>
                            <m:ctrlPr>
                              <w:rPr>
                                <w:rFonts w:ascii="Cambria Math" w:hAnsi="Cambria Math"/>
                                <w:i/>
                              </w:rPr>
                            </m:ctrlPr>
                          </m:sSubPr>
                          <m:e>
                            <m:r>
                              <w:rPr>
                                <w:rFonts w:ascii="Cambria Math" w:hAnsi="Cambria Math"/>
                              </w:rPr>
                              <m:t>E</m:t>
                            </m:r>
                          </m:e>
                          <m:sub>
                            <m:r>
                              <w:rPr>
                                <w:rFonts w:ascii="Cambria Math" w:hAnsi="Cambria Math"/>
                              </w:rPr>
                              <m:t>n</m:t>
                            </m:r>
                            <m:r>
                              <w:rPr>
                                <w:rFonts w:ascii="Cambria Math" w:hAnsi="Cambria Math"/>
                              </w:rPr>
                              <m:t>10,</m:t>
                            </m:r>
                            <m:r>
                              <w:rPr>
                                <w:rFonts w:ascii="Cambria Math" w:hAnsi="Cambria Math"/>
                              </w:rPr>
                              <m:t>t</m:t>
                            </m:r>
                          </m:sub>
                        </m:sSub>
                        <m:r>
                          <w:rPr>
                            <w:rFonts w:ascii="Cambria Math" w:hAnsi="Cambria Math"/>
                          </w:rPr>
                          <m:t>×(</m:t>
                        </m:r>
                        <m:sSub>
                          <m:sSubPr>
                            <m:ctrlPr>
                              <w:rPr>
                                <w:rFonts w:ascii="Cambria Math" w:hAnsi="Cambria Math"/>
                                <w:i/>
                              </w:rPr>
                            </m:ctrlPr>
                          </m:sSubPr>
                          <m:e>
                            <m:r>
                              <w:rPr>
                                <w:rFonts w:ascii="Cambria Math" w:hAnsi="Cambria Math"/>
                              </w:rPr>
                              <m:t>T</m:t>
                            </m:r>
                          </m:e>
                          <m:sub>
                            <m:r>
                              <w:rPr>
                                <w:rFonts w:ascii="Cambria Math" w:hAnsi="Cambria Math"/>
                              </w:rPr>
                              <m:t>g</m:t>
                            </m:r>
                            <m:r>
                              <w:rPr>
                                <w:rFonts w:ascii="Cambria Math" w:hAnsi="Cambria Math"/>
                              </w:rPr>
                              <m:t>10,</m:t>
                            </m:r>
                            <m:r>
                              <w:rPr>
                                <w:rFonts w:ascii="Cambria Math" w:hAnsi="Cambria Math"/>
                              </w:rPr>
                              <m:t>t</m:t>
                            </m:r>
                          </m:sub>
                        </m:sSub>
                        <m:r>
                          <w:rPr>
                            <w:rFonts w:ascii="Cambria Math" w:hAnsi="Cambria Math"/>
                          </w:rPr>
                          <m:t>+</m:t>
                        </m:r>
                        <m:sSubSup>
                          <m:sSubSupPr>
                            <m:ctrlPr>
                              <w:rPr>
                                <w:rFonts w:ascii="Cambria Math" w:hAnsi="Cambria Math"/>
                                <w:i/>
                              </w:rPr>
                            </m:ctrlPr>
                          </m:sSubSupPr>
                          <m:e>
                            <m:r>
                              <w:rPr>
                                <w:rFonts w:ascii="Cambria Math" w:hAnsi="Cambria Math"/>
                              </w:rPr>
                              <m:t>T</m:t>
                            </m:r>
                          </m:e>
                          <m:sub>
                            <m:r>
                              <w:rPr>
                                <w:rFonts w:ascii="Cambria Math" w:hAnsi="Cambria Math"/>
                              </w:rPr>
                              <m:t>110,</m:t>
                            </m:r>
                            <m:r>
                              <w:rPr>
                                <w:rFonts w:ascii="Cambria Math" w:hAnsi="Cambria Math"/>
                              </w:rPr>
                              <m:t>t</m:t>
                            </m:r>
                          </m:sub>
                          <m:sup>
                            <m:r>
                              <w:rPr>
                                <w:rFonts w:ascii="Cambria Math" w:hAnsi="Cambria Math"/>
                              </w:rPr>
                              <m:t>'</m:t>
                            </m:r>
                          </m:sup>
                        </m:sSubSup>
                        <m:r>
                          <w:rPr>
                            <w:rFonts w:ascii="Cambria Math" w:hAnsi="Cambria Math"/>
                          </w:rPr>
                          <m:t>)</m:t>
                        </m:r>
                      </m:oMath>
                      <w:r>
                        <w:tab/>
                      </w:r>
                      <w:r>
                        <w:rPr>
                          <w:szCs w:val="24"/>
                        </w:rPr>
                        <w:t>(41)</w:t>
                      </w:r>
                    </w:p>
                    <w:p>
                      <w:pPr>
                        <w:tabs>
                          <w:tab w:val="left" w:pos="9214"/>
                        </w:tabs>
                        <w:jc w:val="both"/>
                        <w:rPr>
                          <w:szCs w:val="24"/>
                        </w:rPr>
                      </w:pPr>
                    </w:p>
                    <w:p>
                      <w:pPr>
                        <w:tabs>
                          <w:tab w:val="left" w:pos="1134"/>
                          <w:tab w:val="left" w:pos="1843"/>
                          <w:tab w:val="left" w:pos="2268"/>
                        </w:tabs>
                        <w:jc w:val="both"/>
                        <w:rPr>
                          <w:i/>
                          <w:szCs w:val="24"/>
                        </w:rPr>
                      </w:pPr>
                      <w:r>
                        <w:rPr>
                          <w:i/>
                          <w:szCs w:val="24"/>
                        </w:rPr>
                        <w:t>čia:</w:t>
                      </w:r>
                    </w:p>
                    <w:p>
                      <w:pPr>
                        <w:tabs>
                          <w:tab w:val="left" w:pos="1134"/>
                          <w:tab w:val="left" w:pos="1843"/>
                          <w:tab w:val="left" w:pos="2268"/>
                        </w:tabs>
                        <w:jc w:val="both"/>
                        <w:rPr>
                          <w:szCs w:val="24"/>
                        </w:rPr>
                      </w:pPr>
                      <w:r>
                        <w:rPr>
                          <w:szCs w:val="24"/>
                        </w:rPr>
                        <w:t>S</w:t>
                      </w:r>
                      <w:r>
                        <w:rPr>
                          <w:szCs w:val="24"/>
                          <w:vertAlign w:val="subscript"/>
                        </w:rPr>
                        <w:t>n10,t</w:t>
                      </w:r>
                      <w:r>
                        <w:rPr>
                          <w:szCs w:val="24"/>
                        </w:rPr>
                        <w:t xml:space="preserve"> – planuojami </w:t>
                      </w:r>
                      <w:r>
                        <w:rPr>
                          <w:i/>
                          <w:szCs w:val="24"/>
                        </w:rPr>
                        <w:t>t</w:t>
                      </w:r>
                      <w:r>
                        <w:rPr>
                          <w:szCs w:val="24"/>
                        </w:rPr>
                        <w:t xml:space="preserve"> metų elektros energijos pirkimo kaštai elektros energijai, sunaudotai technologiniuose įrenginiuose VĮ tinkle, padengti, EUR;</w:t>
                      </w:r>
                    </w:p>
                    <w:p>
                      <w:pPr>
                        <w:tabs>
                          <w:tab w:val="left" w:pos="1134"/>
                          <w:tab w:val="left" w:pos="1843"/>
                          <w:tab w:val="left" w:pos="2268"/>
                        </w:tabs>
                        <w:jc w:val="both"/>
                        <w:rPr>
                          <w:szCs w:val="24"/>
                        </w:rPr>
                      </w:pPr>
                      <w:r>
                        <w:rPr>
                          <w:szCs w:val="24"/>
                        </w:rPr>
                        <w:t>E</w:t>
                      </w:r>
                      <w:r>
                        <w:rPr>
                          <w:szCs w:val="24"/>
                          <w:vertAlign w:val="subscript"/>
                        </w:rPr>
                        <w:t>n10,t</w:t>
                      </w:r>
                      <w:r>
                        <w:rPr>
                          <w:szCs w:val="24"/>
                        </w:rPr>
                        <w:t xml:space="preserve"> – elektros energijos kiekis suvartojamas VĮ tinklo technologiniuose įrenginiuose, kWh;</w:t>
                      </w:r>
                    </w:p>
                    <w:p>
                      <w:pPr>
                        <w:tabs>
                          <w:tab w:val="left" w:pos="1134"/>
                          <w:tab w:val="left" w:pos="1843"/>
                          <w:tab w:val="left" w:pos="2268"/>
                        </w:tabs>
                        <w:jc w:val="both"/>
                        <w:rPr>
                          <w:szCs w:val="24"/>
                        </w:rPr>
                      </w:pPr>
                      <w:r>
                        <w:rPr>
                          <w:szCs w:val="24"/>
                        </w:rPr>
                        <w:t>T</w:t>
                      </w:r>
                      <w:r>
                        <w:rPr>
                          <w:szCs w:val="24"/>
                          <w:vertAlign w:val="subscript"/>
                        </w:rPr>
                        <w:t>g10,t</w:t>
                      </w:r>
                      <w:r>
                        <w:rPr>
                          <w:szCs w:val="24"/>
                        </w:rPr>
                        <w:t xml:space="preserve"> – elektros energijos pirkimo kaina VĮ tinkle, EUR/kWh;</w:t>
                      </w:r>
                    </w:p>
                    <w:p>
                      <w:pPr>
                        <w:tabs>
                          <w:tab w:val="left" w:pos="1134"/>
                          <w:tab w:val="left" w:pos="1843"/>
                          <w:tab w:val="left" w:pos="2268"/>
                        </w:tabs>
                        <w:jc w:val="both"/>
                        <w:rPr>
                          <w:szCs w:val="24"/>
                        </w:rPr>
                      </w:pPr>
                      <w:r>
                        <w:rPr>
                          <w:szCs w:val="24"/>
                        </w:rPr>
                        <w:t>T’</w:t>
                      </w:r>
                      <w:r>
                        <w:rPr>
                          <w:szCs w:val="24"/>
                          <w:vertAlign w:val="subscript"/>
                        </w:rPr>
                        <w:t>110,t</w:t>
                      </w:r>
                      <w:r>
                        <w:rPr>
                          <w:szCs w:val="24"/>
                        </w:rPr>
                        <w:t xml:space="preserve"> – </w:t>
                      </w:r>
                      <w:r>
                        <w:rPr>
                          <w:i/>
                          <w:szCs w:val="24"/>
                        </w:rPr>
                        <w:t>t</w:t>
                      </w:r>
                      <w:r>
                        <w:rPr>
                          <w:szCs w:val="24"/>
                        </w:rPr>
                        <w:t xml:space="preserve"> metų elektros energijos perdavimo paslaugos kainos viršutinė riba, EUR/kWh.</w:t>
                      </w:r>
                    </w:p>
                    <w:p>
                      <w:pPr>
                        <w:tabs>
                          <w:tab w:val="left" w:pos="1134"/>
                          <w:tab w:val="left" w:pos="1843"/>
                          <w:tab w:val="left" w:pos="2268"/>
                        </w:tabs>
                        <w:ind w:firstLine="567"/>
                        <w:jc w:val="both"/>
                        <w:rPr>
                          <w:szCs w:val="24"/>
                        </w:rPr>
                      </w:pPr>
                    </w:p>
                    <w:p>
                      <w:pPr>
                        <w:tabs>
                          <w:tab w:val="left" w:pos="1134"/>
                          <w:tab w:val="left" w:pos="1843"/>
                          <w:tab w:val="left" w:pos="2268"/>
                        </w:tabs>
                        <w:ind w:firstLine="567"/>
                        <w:jc w:val="both"/>
                        <w:rPr>
                          <w:szCs w:val="24"/>
                        </w:rPr>
                      </w:pPr>
                    </w:p>
                  </w:sdtContent>
                </w:sdt>
              </w:sdtContent>
            </w:sdt>
            <w:sdt>
              <w:sdtPr>
                <w:alias w:val="skirsnis"/>
                <w:tag w:val="part_4c3b49c5d6004535876b251115b2f576"/>
                <w:lock w:val="sdtLocked"/>
                <w:richText/>
              </w:sdtPr>
              <w:sdtContent>
                <w:p>
                  <w:pPr>
                    <w:tabs>
                      <w:tab w:val="left" w:pos="1134"/>
                      <w:tab w:val="left" w:pos="1843"/>
                      <w:tab w:val="left" w:pos="2268"/>
                    </w:tabs>
                    <w:jc w:val="center"/>
                    <w:rPr>
                      <w:b/>
                      <w:szCs w:val="24"/>
                    </w:rPr>
                  </w:pPr>
                  <w:sdt>
                    <w:sdtPr>
                      <w:alias w:val="Numeris"/>
                      <w:tag w:val="nr_4c3b49c5d6004535876b251115b2f576"/>
                      <w:lock w:val="sdtLocked"/>
                      <w:richText/>
                    </w:sdtPr>
                    <w:sdtContent>
                      <w:r>
                        <w:rPr>
                          <w:b/>
                          <w:szCs w:val="24"/>
                        </w:rPr>
                        <w:t>ŠEŠTASIS</w:t>
                      </w:r>
                    </w:sdtContent>
                  </w:sdt>
                  <w:r>
                    <w:rPr>
                      <w:b/>
                      <w:szCs w:val="24"/>
                    </w:rPr>
                    <w:t xml:space="preserve"> SKIRSNIS</w:t>
                  </w:r>
                </w:p>
                <w:p>
                  <w:pPr>
                    <w:tabs>
                      <w:tab w:val="left" w:pos="1134"/>
                      <w:tab w:val="left" w:pos="1843"/>
                      <w:tab w:val="left" w:pos="2268"/>
                    </w:tabs>
                    <w:jc w:val="center"/>
                    <w:rPr>
                      <w:b/>
                      <w:szCs w:val="24"/>
                    </w:rPr>
                  </w:pPr>
                  <w:sdt>
                    <w:sdtPr>
                      <w:alias w:val="Pavadinimas"/>
                      <w:tag w:val="title_4c3b49c5d6004535876b251115b2f576"/>
                      <w:lock w:val="sdtLocked"/>
                      <w:richText/>
                    </w:sdtPr>
                    <w:sdtContent>
                      <w:r>
                        <w:rPr>
                          <w:b/>
                          <w:szCs w:val="24"/>
                        </w:rPr>
                        <w:t>SKIRSTYMO ŽEMOS IR VIDUTINĖS ĮTAMPOS TINKLAIS PASLAUGOS KAINOS VIRŠUTINĖS RIBOS NUSTATYMAS IR KOREGAVIMAS</w:t>
                      </w:r>
                    </w:sdtContent>
                  </w:sdt>
                </w:p>
                <w:p>
                  <w:pPr>
                    <w:pStyle w:val="PlainText"/>
                    <w:rPr>
                      <w:rFonts w:ascii="Times New Roman" w:eastAsia="MS Mincho" w:hAnsi="Times New Roman"/>
                      <w:sz w:val="20"/>
                      <w:i/>
                      <w:iCs/>
                    </w:rPr>
                  </w:pPr>
                  <w:r>
                    <w:rPr>
                      <w:rFonts w:ascii="Times New Roman" w:eastAsia="MS Mincho" w:hAnsi="Times New Roman"/>
                      <w:sz w:val="20"/>
                      <w:i/>
                      <w:iCs/>
                    </w:rPr>
                    <w:t>Pakeistas skirsnio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sdt>
                  <w:sdtPr>
                    <w:alias w:val="72 p."/>
                    <w:tag w:val="part_c397b10889c340a2bb32b50ebb669216"/>
                    <w:lock w:val="sdtLocked"/>
                    <w:richText/>
                  </w:sdtPr>
                  <w:sdtContent>
                    <w:p>
                      <w:pPr>
                        <w:tabs>
                          <w:tab w:val="left" w:pos="1134"/>
                        </w:tabs>
                        <w:ind w:firstLine="709"/>
                        <w:jc w:val="both"/>
                        <w:rPr>
                          <w:szCs w:val="24"/>
                        </w:rPr>
                      </w:pPr>
                      <w:sdt>
                        <w:sdtPr>
                          <w:alias w:val="Numeris"/>
                          <w:tag w:val="nr_c397b10889c340a2bb32b50ebb669216"/>
                          <w:lock w:val="sdtLocked"/>
                          <w:richText/>
                        </w:sdtPr>
                        <w:sdtContent>
                          <w:r>
                            <w:rPr>
                              <w:szCs w:val="24"/>
                            </w:rPr>
                            <w:t>72</w:t>
                          </w:r>
                        </w:sdtContent>
                      </w:sdt>
                      <w:r>
                        <w:rPr>
                          <w:szCs w:val="24"/>
                        </w:rPr>
                        <w:t>. Elektros energijos skirstymo paslaugos žemos įtampos ir vidutinės įtampos tinklais kainos viršutinė riba visam reguliavimo periodui apskaičiuojama galutines pirmiesiems reguliavimo periodo metams STO atitinkamos įtampos tinkluose leidžiamas pajamas padalijus išplanuojamo paskirstyti atitinkamos įtampos tinklais elektros energijos kiekio ir apskaičiuojama pagal formules:</w:t>
                      </w:r>
                    </w:p>
                    <w:p>
                      <w:pPr>
                        <w:tabs>
                          <w:tab w:val="left" w:pos="1134"/>
                        </w:tabs>
                        <w:ind w:firstLine="709"/>
                        <w:jc w:val="both"/>
                        <w:rPr>
                          <w:szCs w:val="24"/>
                        </w:rPr>
                      </w:pPr>
                    </w:p>
                    <w:p>
                      <w:pPr>
                        <w:tabs>
                          <w:tab w:val="left" w:pos="1134"/>
                        </w:tabs>
                        <w:ind w:firstLine="4320"/>
                        <w:jc w:val="both"/>
                      </w:pPr>
                      <m:oMath>
                        <m:sSub>
                          <m:sSubPr>
                            <m:ctrlPr>
                              <w:rPr>
                                <w:rFonts w:ascii="Cambria Math" w:hAnsi="Cambria Math"/>
                                <w:i/>
                              </w:rPr>
                            </m:ctrlPr>
                          </m:sSubPr>
                          <m:e>
                            <m:r>
                              <w:rPr>
                                <w:rFonts w:ascii="Cambria Math" w:hAnsi="Cambria Math"/>
                              </w:rPr>
                              <m:t>T</m:t>
                            </m:r>
                          </m:e>
                          <m:sub>
                            <m:r>
                              <w:rPr>
                                <w:rFonts w:ascii="Cambria Math" w:hAnsi="Cambria Math"/>
                              </w:rPr>
                              <m:t>04</m:t>
                            </m:r>
                          </m:sub>
                        </m:sSub>
                        <m:r>
                          <w:rPr>
                            <w:rFonts w:ascii="Cambria Math" w:hAnsi="Cambria Math"/>
                          </w:rPr>
                          <m:t>=</m:t>
                        </m:r>
                        <m:f>
                          <m:fPr>
                            <m:ctrlPr>
                              <w:rPr>
                                <w:rFonts w:ascii="Cambria Math" w:hAnsi="Cambria Math"/>
                                <w:i/>
                              </w:rPr>
                            </m:ctrlPr>
                          </m:fPr>
                          <m:num>
                            <m:sSub>
                              <m:sSubPr>
                                <m:ctrlPr>
                                  <w:rPr>
                                    <w:rFonts w:ascii="Cambria Math" w:hAnsi="Cambria Math"/>
                                    <w:i/>
                                  </w:rPr>
                                </m:ctrlPr>
                              </m:sSubPr>
                              <m:e>
                                <m:r>
                                  <w:rPr>
                                    <w:rFonts w:ascii="Cambria Math" w:hAnsi="Cambria Math"/>
                                  </w:rPr>
                                  <m:t>P</m:t>
                                </m:r>
                              </m:e>
                              <m:sub>
                                <m:r>
                                  <w:rPr>
                                    <w:rFonts w:ascii="Cambria Math" w:hAnsi="Cambria Math"/>
                                  </w:rPr>
                                  <m:t xml:space="preserve">04 </m:t>
                                </m:r>
                              </m:sub>
                            </m:sSub>
                          </m:num>
                          <m:den>
                            <m:sSub>
                              <m:sSubPr>
                                <m:ctrlPr>
                                  <w:rPr>
                                    <w:rFonts w:ascii="Cambria Math" w:hAnsi="Cambria Math"/>
                                    <w:i/>
                                  </w:rPr>
                                </m:ctrlPr>
                              </m:sSubPr>
                              <m:e>
                                <m:r>
                                  <w:rPr>
                                    <w:rFonts w:ascii="Cambria Math" w:hAnsi="Cambria Math"/>
                                  </w:rPr>
                                  <m:t>E</m:t>
                                </m:r>
                              </m:e>
                              <m:sub>
                                <m:r>
                                  <w:rPr>
                                    <w:rFonts w:ascii="Cambria Math" w:hAnsi="Cambria Math"/>
                                  </w:rPr>
                                  <m:t>04</m:t>
                                </m:r>
                              </m:sub>
                            </m:sSub>
                          </m:den>
                        </m:f>
                        <m:r>
                          <w:rPr>
                            <w:rFonts w:ascii="Cambria Math" w:hAnsi="Cambria Math"/>
                          </w:rPr>
                          <m:t xml:space="preserve">×100          </m:t>
                        </m:r>
                      </m:oMath>
                      <w:r>
                        <w:t>(41</w:t>
                      </w:r>
                      <w:r>
                        <w:rPr>
                          <w:vertAlign w:val="superscript"/>
                        </w:rPr>
                        <w:t>1</w:t>
                      </w:r>
                      <w:r>
                        <w:t>)</w:t>
                      </w:r>
                    </w:p>
                    <w:p>
                      <w:pPr>
                        <w:tabs>
                          <w:tab w:val="left" w:pos="1134"/>
                        </w:tabs>
                        <w:ind w:firstLine="709"/>
                        <w:jc w:val="both"/>
                      </w:pPr>
                    </w:p>
                    <w:p>
                      <w:pPr>
                        <w:tabs>
                          <w:tab w:val="left" w:pos="1134"/>
                        </w:tabs>
                        <w:ind w:firstLine="709"/>
                        <w:jc w:val="both"/>
                        <w:rPr>
                          <w:szCs w:val="24"/>
                        </w:rPr>
                      </w:pPr>
                      <w:r>
                        <w:rPr>
                          <w:szCs w:val="24"/>
                        </w:rPr>
                        <w:t>ir</w:t>
                      </w:r>
                    </w:p>
                    <w:p>
                      <w:pPr>
                        <w:tabs>
                          <w:tab w:val="left" w:pos="1134"/>
                        </w:tabs>
                        <w:ind w:firstLine="709"/>
                        <w:jc w:val="both"/>
                        <w:rPr>
                          <w:szCs w:val="24"/>
                        </w:rPr>
                      </w:pPr>
                    </w:p>
                    <w:p>
                      <w:pPr>
                        <w:tabs>
                          <w:tab w:val="left" w:pos="1134"/>
                        </w:tabs>
                        <w:ind w:firstLine="4320"/>
                        <w:rPr>
                          <w:szCs w:val="24"/>
                        </w:rPr>
                      </w:pPr>
                      <m:oMath>
                        <m:sSub>
                          <m:sSubPr>
                            <m:ctrlPr>
                              <w:rPr>
                                <w:rFonts w:ascii="Cambria Math" w:hAnsi="Cambria Math"/>
                                <w:i/>
                              </w:rPr>
                            </m:ctrlPr>
                          </m:sSubPr>
                          <m:e>
                            <m:r>
                              <w:rPr>
                                <w:rFonts w:ascii="Cambria Math" w:hAnsi="Cambria Math"/>
                              </w:rPr>
                              <m:t>T</m:t>
                            </m:r>
                          </m:e>
                          <m:sub>
                            <m:r>
                              <w:rPr>
                                <w:rFonts w:ascii="Cambria Math" w:hAnsi="Cambria Math"/>
                              </w:rPr>
                              <m:t>10</m:t>
                            </m:r>
                          </m:sub>
                        </m:sSub>
                        <m:r>
                          <w:rPr>
                            <w:rFonts w:ascii="Cambria Math" w:hAnsi="Cambria Math"/>
                          </w:rPr>
                          <m:t>=</m:t>
                        </m:r>
                        <m:f>
                          <m:fPr>
                            <m:ctrlPr>
                              <w:rPr>
                                <w:rFonts w:ascii="Cambria Math" w:hAnsi="Cambria Math"/>
                                <w:i/>
                              </w:rPr>
                            </m:ctrlPr>
                          </m:fPr>
                          <m:num>
                            <m:sSub>
                              <m:sSubPr>
                                <m:ctrlPr>
                                  <w:rPr>
                                    <w:rFonts w:ascii="Cambria Math" w:hAnsi="Cambria Math"/>
                                    <w:i/>
                                  </w:rPr>
                                </m:ctrlPr>
                              </m:sSubPr>
                              <m:e>
                                <m:r>
                                  <w:rPr>
                                    <w:rFonts w:ascii="Cambria Math" w:hAnsi="Cambria Math"/>
                                  </w:rPr>
                                  <m:t>P</m:t>
                                </m:r>
                              </m:e>
                              <m:sub>
                                <m:r>
                                  <w:rPr>
                                    <w:rFonts w:ascii="Cambria Math" w:hAnsi="Cambria Math"/>
                                  </w:rPr>
                                  <m:t>10</m:t>
                                </m:r>
                              </m:sub>
                            </m:sSub>
                          </m:num>
                          <m:den>
                            <m:sSub>
                              <m:sSubPr>
                                <m:ctrlPr>
                                  <w:rPr>
                                    <w:rFonts w:ascii="Cambria Math" w:hAnsi="Cambria Math"/>
                                    <w:i/>
                                  </w:rPr>
                                </m:ctrlPr>
                              </m:sSubPr>
                              <m:e>
                                <m:r>
                                  <w:rPr>
                                    <w:rFonts w:ascii="Cambria Math" w:hAnsi="Cambria Math"/>
                                  </w:rPr>
                                  <m:t>E</m:t>
                                </m:r>
                              </m:e>
                              <m:sub>
                                <m:r>
                                  <w:rPr>
                                    <w:rFonts w:ascii="Cambria Math" w:hAnsi="Cambria Math"/>
                                  </w:rPr>
                                  <m:t>10</m:t>
                                </m:r>
                              </m:sub>
                            </m:sSub>
                          </m:den>
                        </m:f>
                        <m:r>
                          <w:rPr>
                            <w:rFonts w:ascii="Cambria Math" w:hAnsi="Cambria Math"/>
                          </w:rPr>
                          <m:t xml:space="preserve"> ×100</m:t>
                        </m:r>
                      </m:oMath>
                      <w:r>
                        <w:tab/>
                        <w:t>(41</w:t>
                      </w:r>
                      <w:r>
                        <w:rPr>
                          <w:vertAlign w:val="superscript"/>
                        </w:rPr>
                        <w:t>2</w:t>
                      </w:r>
                      <w:r>
                        <w:t>)</w:t>
                      </w:r>
                    </w:p>
                    <w:p>
                      <w:pPr>
                        <w:tabs>
                          <w:tab w:val="left" w:pos="1134"/>
                        </w:tabs>
                        <w:ind w:firstLine="771"/>
                        <w:jc w:val="both"/>
                      </w:pPr>
                    </w:p>
                    <w:p>
                      <w:pPr>
                        <w:tabs>
                          <w:tab w:val="left" w:pos="1134"/>
                          <w:tab w:val="left" w:pos="1843"/>
                          <w:tab w:val="left" w:pos="2268"/>
                        </w:tabs>
                        <w:ind w:firstLine="709"/>
                        <w:jc w:val="both"/>
                        <w:rPr>
                          <w:i/>
                          <w:szCs w:val="24"/>
                        </w:rPr>
                      </w:pPr>
                      <w:r>
                        <w:rPr>
                          <w:i/>
                          <w:szCs w:val="24"/>
                        </w:rPr>
                        <w:t>čia:</w:t>
                      </w:r>
                    </w:p>
                    <w:p>
                      <w:pPr>
                        <w:tabs>
                          <w:tab w:val="left" w:pos="1134"/>
                          <w:tab w:val="left" w:pos="1843"/>
                          <w:tab w:val="left" w:pos="2268"/>
                        </w:tabs>
                        <w:ind w:firstLine="709"/>
                        <w:jc w:val="both"/>
                        <w:rPr>
                          <w:szCs w:val="24"/>
                        </w:rPr>
                      </w:pPr>
                      <w:r>
                        <w:rPr>
                          <w:szCs w:val="24"/>
                        </w:rPr>
                        <w:t>T</w:t>
                      </w:r>
                      <w:r>
                        <w:rPr>
                          <w:szCs w:val="24"/>
                          <w:vertAlign w:val="subscript"/>
                        </w:rPr>
                        <w:t>04</w:t>
                      </w:r>
                      <w:r>
                        <w:rPr>
                          <w:szCs w:val="24"/>
                        </w:rPr>
                        <w:t xml:space="preserve"> – bazinė elektros energijos skirstymo paslaugos ŽĮ tinklais kainos viršutinė riba, ct/kWh;</w:t>
                      </w:r>
                    </w:p>
                    <w:p>
                      <w:pPr>
                        <w:tabs>
                          <w:tab w:val="left" w:pos="1134"/>
                          <w:tab w:val="left" w:pos="1843"/>
                          <w:tab w:val="left" w:pos="2268"/>
                        </w:tabs>
                        <w:ind w:firstLine="709"/>
                        <w:jc w:val="both"/>
                        <w:rPr>
                          <w:szCs w:val="24"/>
                        </w:rPr>
                      </w:pPr>
                      <w:r>
                        <w:rPr>
                          <w:szCs w:val="24"/>
                        </w:rPr>
                        <w:t>P</w:t>
                      </w:r>
                      <w:r>
                        <w:rPr>
                          <w:szCs w:val="24"/>
                          <w:vertAlign w:val="subscript"/>
                        </w:rPr>
                        <w:t>04</w:t>
                      </w:r>
                      <w:r>
                        <w:rPr>
                          <w:szCs w:val="24"/>
                        </w:rPr>
                        <w:t xml:space="preserve"> – galutinės pirmųjų reguliavimo periodo metų STO ŽĮ tinkle</w:t>
                      </w:r>
                      <w:r>
                        <w:rPr>
                          <w:i/>
                          <w:szCs w:val="24"/>
                        </w:rPr>
                        <w:t xml:space="preserve"> </w:t>
                      </w:r>
                      <w:r>
                        <w:rPr>
                          <w:szCs w:val="24"/>
                        </w:rPr>
                        <w:t>leidžiamos pajamos, EUR;</w:t>
                      </w:r>
                    </w:p>
                    <w:p>
                      <w:pPr>
                        <w:tabs>
                          <w:tab w:val="left" w:pos="1134"/>
                          <w:tab w:val="left" w:pos="1843"/>
                          <w:tab w:val="left" w:pos="2268"/>
                        </w:tabs>
                        <w:ind w:firstLine="709"/>
                        <w:jc w:val="both"/>
                        <w:rPr>
                          <w:szCs w:val="24"/>
                        </w:rPr>
                      </w:pPr>
                      <w:r>
                        <w:rPr>
                          <w:szCs w:val="24"/>
                        </w:rPr>
                        <w:t>E</w:t>
                      </w:r>
                      <w:r>
                        <w:rPr>
                          <w:szCs w:val="24"/>
                          <w:vertAlign w:val="subscript"/>
                        </w:rPr>
                        <w:t>04</w:t>
                      </w:r>
                      <w:r>
                        <w:rPr>
                          <w:szCs w:val="24"/>
                        </w:rPr>
                        <w:t xml:space="preserve"> – STO prognozuojamas paskirstyti elektros energijos kiekis ŽĮ tinklais pirmaisiais reguliavimo periodo metais, kWh.</w:t>
                      </w:r>
                    </w:p>
                    <w:p>
                      <w:pPr>
                        <w:tabs>
                          <w:tab w:val="left" w:pos="1134"/>
                          <w:tab w:val="left" w:pos="1843"/>
                          <w:tab w:val="left" w:pos="2268"/>
                        </w:tabs>
                        <w:ind w:firstLine="709"/>
                        <w:jc w:val="both"/>
                        <w:rPr>
                          <w:szCs w:val="24"/>
                        </w:rPr>
                      </w:pPr>
                      <w:r>
                        <w:rPr>
                          <w:szCs w:val="24"/>
                        </w:rPr>
                        <w:t>T</w:t>
                      </w:r>
                      <w:r>
                        <w:rPr>
                          <w:szCs w:val="24"/>
                          <w:vertAlign w:val="subscript"/>
                        </w:rPr>
                        <w:t>10</w:t>
                      </w:r>
                      <w:r>
                        <w:rPr>
                          <w:szCs w:val="24"/>
                        </w:rPr>
                        <w:t xml:space="preserve"> – bazinė elektros energijos skirstymo paslaugos VĮ tinklais kainos viršutinė riba, ct/kWh;</w:t>
                      </w:r>
                    </w:p>
                    <w:p>
                      <w:pPr>
                        <w:tabs>
                          <w:tab w:val="left" w:pos="1134"/>
                          <w:tab w:val="left" w:pos="1843"/>
                          <w:tab w:val="left" w:pos="2268"/>
                        </w:tabs>
                        <w:ind w:firstLine="709"/>
                        <w:jc w:val="both"/>
                        <w:rPr>
                          <w:szCs w:val="24"/>
                        </w:rPr>
                      </w:pPr>
                      <w:r>
                        <w:rPr>
                          <w:szCs w:val="24"/>
                        </w:rPr>
                        <w:t>P</w:t>
                      </w:r>
                      <w:r>
                        <w:rPr>
                          <w:szCs w:val="24"/>
                          <w:vertAlign w:val="subscript"/>
                        </w:rPr>
                        <w:t>10</w:t>
                      </w:r>
                      <w:r>
                        <w:rPr>
                          <w:szCs w:val="24"/>
                        </w:rPr>
                        <w:t xml:space="preserve"> – galutinės pirmųjų reguliavimo periodo metų STO VĮ tinkle</w:t>
                      </w:r>
                      <w:r>
                        <w:rPr>
                          <w:i/>
                          <w:szCs w:val="24"/>
                        </w:rPr>
                        <w:t xml:space="preserve"> </w:t>
                      </w:r>
                      <w:r>
                        <w:rPr>
                          <w:szCs w:val="24"/>
                        </w:rPr>
                        <w:t>leidžiamos pajamos, EUR;</w:t>
                      </w:r>
                    </w:p>
                    <w:p>
                      <w:pPr>
                        <w:ind w:firstLine="709"/>
                        <w:jc w:val="both"/>
                        <w:rPr>
                          <w:szCs w:val="24"/>
                        </w:rPr>
                      </w:pPr>
                      <w:r>
                        <w:rPr>
                          <w:szCs w:val="24"/>
                        </w:rPr>
                        <w:t>E</w:t>
                      </w:r>
                      <w:r>
                        <w:rPr>
                          <w:szCs w:val="24"/>
                          <w:vertAlign w:val="subscript"/>
                        </w:rPr>
                        <w:t>10</w:t>
                      </w:r>
                      <w:r>
                        <w:rPr>
                          <w:szCs w:val="24"/>
                        </w:rPr>
                        <w:t xml:space="preserve"> – STO prognozuojamas paskirstyti elektros energijos kiekis VĮ tinklais pirmaisiais reguliavimo periodo metais, kWh.</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sdtContent>
                </w:sdt>
                <w:sdt>
                  <w:sdtPr>
                    <w:alias w:val="73 p."/>
                    <w:tag w:val="part_cc285e55730f4420a5746e6637ad23a4"/>
                    <w:lock w:val="sdtLocked"/>
                    <w:richText/>
                  </w:sdtPr>
                  <w:sdtContent>
                    <w:p>
                      <w:pPr>
                        <w:ind w:firstLine="709"/>
                        <w:jc w:val="both"/>
                        <w:rPr>
                          <w:szCs w:val="24"/>
                        </w:rPr>
                      </w:pPr>
                      <w:sdt>
                        <w:sdtPr>
                          <w:alias w:val="Numeris"/>
                          <w:tag w:val="nr_cc285e55730f4420a5746e6637ad23a4"/>
                          <w:lock w:val="sdtLocked"/>
                          <w:richText/>
                        </w:sdtPr>
                        <w:sdtContent>
                          <w:r>
                            <w:rPr>
                              <w:szCs w:val="24"/>
                            </w:rPr>
                            <w:t>73</w:t>
                          </w:r>
                        </w:sdtContent>
                      </w:sdt>
                      <w:r>
                        <w:rPr>
                          <w:szCs w:val="24"/>
                        </w:rPr>
                        <w:t xml:space="preserve">. Elektros energijos skirstymo paslaugų ŽĮ ir VĮ tinklais kainų viršutinės ribos </w:t>
                      </w:r>
                      <w:r>
                        <w:t>kitiems reguliavimo periodo metams yra koreguojamos</w:t>
                      </w:r>
                      <w:r>
                        <w:rPr>
                          <w:szCs w:val="24"/>
                        </w:rPr>
                        <w:t xml:space="preserve"> dėl infliacijos, vidutinio darbo užmokesčio pokyčio, planuojamų technologinių sąnaudų, mokesčių ir kapitalo kaštų pokyčių bei prognozuojamo paskirstyti elektros energijos kiekio. Bazinės STO leidžiamos pajamos gali būti koreguojamos ir dėl kitų reikšmingų pajamų ir (ar) sąnaudų pokyčių, kuriuos sąlygojo teisės aktų pakeitimai ir (ar) kiti objektyvūs (nuo STO nepriklausantys) veiksniai.</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sdtContent>
                </w:sdt>
                <w:sdt>
                  <w:sdtPr>
                    <w:alias w:val="74 p."/>
                    <w:tag w:val="part_64ce8331903044ce822c8e85f23396aa"/>
                    <w:lock w:val="sdtLocked"/>
                    <w:richText/>
                  </w:sdtPr>
                  <w:sdtContent>
                    <w:p>
                      <w:pPr>
                        <w:tabs>
                          <w:tab w:val="left" w:pos="1080"/>
                          <w:tab w:val="left" w:pos="1843"/>
                          <w:tab w:val="left" w:pos="2268"/>
                        </w:tabs>
                        <w:ind w:firstLine="720"/>
                        <w:jc w:val="both"/>
                        <w:rPr>
                          <w:szCs w:val="24"/>
                        </w:rPr>
                      </w:pPr>
                      <w:sdt>
                        <w:sdtPr>
                          <w:alias w:val="Numeris"/>
                          <w:tag w:val="nr_64ce8331903044ce822c8e85f23396aa"/>
                          <w:lock w:val="sdtLocked"/>
                          <w:richText/>
                        </w:sdtPr>
                        <w:sdtContent>
                          <w:r>
                            <w:rPr>
                              <w:szCs w:val="24"/>
                            </w:rPr>
                            <w:t>74</w:t>
                          </w:r>
                        </w:sdtContent>
                      </w:sdt>
                      <w:r>
                        <w:rPr>
                          <w:szCs w:val="24"/>
                        </w:rPr>
                        <w:t xml:space="preserve">. Koreguotos </w:t>
                      </w:r>
                      <w:r>
                        <w:rPr>
                          <w:i/>
                          <w:szCs w:val="24"/>
                        </w:rPr>
                        <w:t>t</w:t>
                      </w:r>
                      <w:r>
                        <w:rPr>
                          <w:szCs w:val="24"/>
                        </w:rPr>
                        <w:t xml:space="preserve"> metų STO leidžiamos skirstymo paslaugos atitinkamos įtampos tinkle pajamos apskaičiuojamos pagal formules:</w:t>
                      </w:r>
                    </w:p>
                    <w:p>
                      <w:pPr>
                        <w:tabs>
                          <w:tab w:val="left" w:pos="1134"/>
                          <w:tab w:val="left" w:pos="1843"/>
                          <w:tab w:val="left" w:pos="2268"/>
                        </w:tabs>
                        <w:ind w:left="709"/>
                        <w:jc w:val="both"/>
                        <w:rPr>
                          <w:szCs w:val="24"/>
                        </w:rPr>
                      </w:pPr>
                    </w:p>
                    <w:p>
                      <w:pPr>
                        <w:tabs>
                          <w:tab w:val="left" w:pos="142"/>
                        </w:tabs>
                        <w:ind w:right="-567" w:firstLine="142"/>
                        <w:jc w:val="both"/>
                        <w:rPr>
                          <w:szCs w:val="24"/>
                        </w:rPr>
                      </w:pPr>
                      <m:oMathPara>
                        <m:oMathParaPr>
                          <m:jc m:val="left"/>
                        </m:oMathParaPr>
                        <m:oMath>
                          <m:sSub>
                            <m:sSubPr>
                              <m:ctrlPr>
                                <w:rPr>
                                  <w:rFonts w:ascii="Cambria Math" w:hAnsi="Cambria Math"/>
                                  <w:i/>
                                  <w:szCs w:val="24"/>
                                </w:rPr>
                              </m:ctrlPr>
                            </m:sSubPr>
                            <m:e>
                              <m:r>
                                <w:rPr>
                                  <w:rFonts w:ascii="Cambria Math" w:hAnsi="Cambria Math"/>
                                  <w:szCs w:val="24"/>
                                </w:rPr>
                                <m:t>P</m:t>
                              </m:r>
                              <m:r>
                                <w:rPr>
                                  <w:rFonts w:ascii="Cambria Math" w:hAnsi="Cambria Math"/>
                                  <w:szCs w:val="24"/>
                                </w:rPr>
                                <m:t>'</m:t>
                              </m:r>
                            </m:e>
                            <m:sub>
                              <m:r>
                                <w:rPr>
                                  <w:rFonts w:ascii="Cambria Math" w:hAnsi="Cambria Math"/>
                                  <w:szCs w:val="24"/>
                                </w:rPr>
                                <m:t>04,</m:t>
                              </m:r>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OPEX</m:t>
                              </m:r>
                              <m:r>
                                <w:rPr>
                                  <w:rFonts w:ascii="Cambria Math" w:hAnsi="Cambria Math"/>
                                  <w:szCs w:val="24"/>
                                </w:rPr>
                                <m:t>'</m:t>
                              </m:r>
                            </m:e>
                            <m:sub>
                              <m:d>
                                <m:dPr>
                                  <m:ctrlPr>
                                    <w:rPr>
                                      <w:rFonts w:ascii="Cambria Math" w:hAnsi="Cambria Math"/>
                                      <w:i/>
                                      <w:szCs w:val="24"/>
                                    </w:rPr>
                                  </m:ctrlPr>
                                </m:dPr>
                                <m:e>
                                  <m:r>
                                    <w:rPr>
                                      <w:rFonts w:ascii="Cambria Math" w:hAnsi="Cambria Math"/>
                                      <w:szCs w:val="24"/>
                                    </w:rPr>
                                    <m:t>be</m:t>
                                  </m:r>
                                  <m:r>
                                    <w:rPr>
                                      <w:rFonts w:ascii="Cambria Math" w:hAnsi="Cambria Math"/>
                                      <w:szCs w:val="24"/>
                                    </w:rPr>
                                    <m:t xml:space="preserve"> </m:t>
                                  </m:r>
                                  <m:r>
                                    <w:rPr>
                                      <w:rFonts w:ascii="Cambria Math" w:hAnsi="Cambria Math"/>
                                      <w:szCs w:val="24"/>
                                    </w:rPr>
                                    <m:t>DU</m:t>
                                  </m:r>
                                </m:e>
                              </m:d>
                              <m:r>
                                <w:rPr>
                                  <w:rFonts w:ascii="Cambria Math" w:hAnsi="Cambria Math"/>
                                  <w:szCs w:val="24"/>
                                </w:rPr>
                                <m:t>04,</m:t>
                              </m:r>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OPEX</m:t>
                              </m:r>
                              <m:r>
                                <w:rPr>
                                  <w:rFonts w:ascii="Cambria Math" w:hAnsi="Cambria Math"/>
                                  <w:szCs w:val="24"/>
                                </w:rPr>
                                <m:t>'</m:t>
                              </m:r>
                            </m:e>
                            <m:sub>
                              <m:d>
                                <m:dPr>
                                  <m:ctrlPr>
                                    <w:rPr>
                                      <w:rFonts w:ascii="Cambria Math" w:hAnsi="Cambria Math"/>
                                      <w:i/>
                                      <w:szCs w:val="24"/>
                                    </w:rPr>
                                  </m:ctrlPr>
                                </m:dPr>
                                <m:e>
                                  <m:r>
                                    <w:rPr>
                                      <w:rFonts w:ascii="Cambria Math" w:hAnsi="Cambria Math"/>
                                      <w:szCs w:val="24"/>
                                    </w:rPr>
                                    <m:t>DU</m:t>
                                  </m:r>
                                </m:e>
                              </m:d>
                              <m:r>
                                <w:rPr>
                                  <w:rFonts w:ascii="Cambria Math" w:hAnsi="Cambria Math"/>
                                  <w:szCs w:val="24"/>
                                </w:rPr>
                                <m:t>04,</m:t>
                              </m:r>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M</m:t>
                              </m:r>
                            </m:e>
                            <m:sub>
                              <m:r>
                                <w:rPr>
                                  <w:rFonts w:ascii="Cambria Math" w:hAnsi="Cambria Math"/>
                                  <w:szCs w:val="24"/>
                                </w:rPr>
                                <m:t>04,</m:t>
                              </m:r>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S</m:t>
                              </m:r>
                            </m:e>
                            <m:sub>
                              <m:r>
                                <w:rPr>
                                  <w:rFonts w:ascii="Cambria Math" w:hAnsi="Cambria Math"/>
                                  <w:szCs w:val="24"/>
                                </w:rPr>
                                <m:t>sr</m:t>
                              </m:r>
                              <m:r>
                                <w:rPr>
                                  <w:rFonts w:ascii="Cambria Math" w:hAnsi="Cambria Math"/>
                                  <w:szCs w:val="24"/>
                                </w:rPr>
                                <m:t>04,</m:t>
                              </m:r>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S</m:t>
                              </m:r>
                            </m:e>
                            <m:sub>
                              <m:r>
                                <w:rPr>
                                  <w:rFonts w:ascii="Cambria Math" w:hAnsi="Cambria Math"/>
                                  <w:szCs w:val="24"/>
                                </w:rPr>
                                <m:t>n</m:t>
                              </m:r>
                              <m:r>
                                <w:rPr>
                                  <w:rFonts w:ascii="Cambria Math" w:hAnsi="Cambria Math"/>
                                  <w:szCs w:val="24"/>
                                </w:rPr>
                                <m:t>04,</m:t>
                              </m:r>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sSub>
                                <m:sSubPr>
                                  <m:ctrlPr>
                                    <w:rPr>
                                      <w:rFonts w:ascii="Cambria Math" w:hAnsi="Cambria Math"/>
                                      <w:i/>
                                      <w:szCs w:val="24"/>
                                    </w:rPr>
                                  </m:ctrlPr>
                                </m:sSubPr>
                                <m:e>
                                  <m:r>
                                    <w:rPr>
                                      <w:rFonts w:ascii="Cambria Math" w:hAnsi="Cambria Math"/>
                                      <w:szCs w:val="24"/>
                                    </w:rPr>
                                    <m:t>N</m:t>
                                  </m:r>
                                </m:e>
                                <m:sub>
                                  <m:r>
                                    <w:rPr>
                                      <w:rFonts w:ascii="Cambria Math" w:hAnsi="Cambria Math"/>
                                      <w:szCs w:val="24"/>
                                    </w:rPr>
                                    <m:t>04,</m:t>
                                  </m:r>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NT</m:t>
                                  </m:r>
                                </m:e>
                                <m:sub>
                                  <m:r>
                                    <w:rPr>
                                      <w:rFonts w:ascii="Cambria Math" w:hAnsi="Cambria Math"/>
                                      <w:szCs w:val="24"/>
                                    </w:rPr>
                                    <m:t>04,</m:t>
                                  </m:r>
                                  <m:r>
                                    <w:rPr>
                                      <w:rFonts w:ascii="Cambria Math" w:hAnsi="Cambria Math"/>
                                      <w:szCs w:val="24"/>
                                    </w:rPr>
                                    <m:t>t</m:t>
                                  </m:r>
                                </m:sub>
                              </m:sSub>
                              <m:r>
                                <w:rPr>
                                  <w:rFonts w:ascii="Cambria Math" w:hAnsi="Cambria Math"/>
                                  <w:szCs w:val="24"/>
                                </w:rPr>
                                <m:t>+</m:t>
                              </m:r>
                              <m:r>
                                <w:rPr>
                                  <w:rFonts w:ascii="Cambria Math" w:hAnsi="Cambria Math"/>
                                  <w:szCs w:val="24"/>
                                </w:rPr>
                                <m:t>ROI</m:t>
                              </m:r>
                            </m:e>
                            <m:sub>
                              <m:r>
                                <w:rPr>
                                  <w:rFonts w:ascii="Cambria Math" w:hAnsi="Cambria Math"/>
                                  <w:szCs w:val="24"/>
                                </w:rPr>
                                <m:t>04,</m:t>
                              </m:r>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S</m:t>
                              </m:r>
                            </m:e>
                            <m:sub>
                              <m:r>
                                <w:rPr>
                                  <w:rFonts w:ascii="Cambria Math" w:hAnsi="Cambria Math"/>
                                  <w:szCs w:val="24"/>
                                </w:rPr>
                                <m:t>04,</m:t>
                              </m:r>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OI</m:t>
                              </m:r>
                            </m:e>
                            <m:sub>
                              <m:r>
                                <w:rPr>
                                  <w:rFonts w:ascii="Cambria Math" w:hAnsi="Cambria Math"/>
                                  <w:szCs w:val="24"/>
                                </w:rPr>
                                <m:t>04,</m:t>
                              </m:r>
                              <m:r>
                                <w:rPr>
                                  <w:rFonts w:ascii="Cambria Math" w:hAnsi="Cambria Math"/>
                                  <w:szCs w:val="24"/>
                                </w:rPr>
                                <m:t>t</m:t>
                              </m:r>
                            </m:sub>
                          </m:sSub>
                          <m:r>
                            <w:rPr>
                              <w:rFonts w:ascii="Cambria Math" w:hAnsi="Cambria Math"/>
                              <w:szCs w:val="24"/>
                            </w:rPr>
                            <m:t xml:space="preserve">- </m:t>
                          </m:r>
                          <m:sSub>
                            <m:sSubPr>
                              <m:ctrlPr>
                                <w:rPr>
                                  <w:rFonts w:ascii="Cambria Math" w:hAnsi="Cambria Math"/>
                                  <w:i/>
                                  <w:szCs w:val="24"/>
                                </w:rPr>
                              </m:ctrlPr>
                            </m:sSubPr>
                            <m:e>
                              <m:r>
                                <w:rPr>
                                  <w:rFonts w:ascii="Cambria Math" w:hAnsi="Cambria Math"/>
                                  <w:szCs w:val="24"/>
                                </w:rPr>
                                <m:t>K</m:t>
                              </m:r>
                            </m:e>
                            <m:sub>
                              <m:r>
                                <w:rPr>
                                  <w:rFonts w:ascii="Cambria Math" w:hAnsi="Cambria Math"/>
                                  <w:szCs w:val="24"/>
                                </w:rPr>
                                <m:t>04,</m:t>
                              </m:r>
                              <m:r>
                                <w:rPr>
                                  <w:rFonts w:ascii="Cambria Math" w:hAnsi="Cambria Math"/>
                                  <w:szCs w:val="24"/>
                                </w:rPr>
                                <m:t>t</m:t>
                              </m:r>
                            </m:sub>
                          </m:sSub>
                          <m:r>
                            <w:rPr>
                              <w:rFonts w:ascii="Cambria Math" w:hAnsi="Cambria Math"/>
                              <w:szCs w:val="24"/>
                            </w:rPr>
                            <m:t xml:space="preserve"> </m:t>
                          </m:r>
                        </m:oMath>
                      </m:oMathPara>
                    </w:p>
                    <w:p>
                      <w:pPr>
                        <w:tabs>
                          <w:tab w:val="left" w:pos="1134"/>
                          <w:tab w:val="left" w:pos="1843"/>
                          <w:tab w:val="left" w:pos="2268"/>
                        </w:tabs>
                        <w:jc w:val="both"/>
                        <w:rPr>
                          <w:szCs w:val="24"/>
                        </w:rPr>
                      </w:pPr>
                    </w:p>
                    <w:p>
                      <w:pPr>
                        <w:tabs>
                          <w:tab w:val="left" w:pos="1134"/>
                          <w:tab w:val="left" w:pos="1843"/>
                          <w:tab w:val="left" w:pos="2268"/>
                        </w:tabs>
                        <w:jc w:val="both"/>
                        <w:rPr>
                          <w:szCs w:val="24"/>
                        </w:rPr>
                      </w:pPr>
                      <m:oMath>
                        <m:sSub>
                          <m:sSubPr>
                            <m:ctrlPr>
                              <w:rPr>
                                <w:rFonts w:ascii="Cambria Math" w:hAnsi="Cambria Math"/>
                                <w:i/>
                                <w:szCs w:val="24"/>
                              </w:rPr>
                            </m:ctrlPr>
                          </m:sSubPr>
                          <m:e>
                            <m:r>
                              <w:rPr>
                                <w:rFonts w:ascii="Cambria Math" w:hAnsi="Cambria Math"/>
                                <w:szCs w:val="24"/>
                              </w:rPr>
                              <m:t>P</m:t>
                            </m:r>
                            <m:r>
                              <w:rPr>
                                <w:rFonts w:ascii="Cambria Math" w:hAnsi="Cambria Math"/>
                                <w:szCs w:val="24"/>
                              </w:rPr>
                              <m:t>'</m:t>
                            </m:r>
                          </m:e>
                          <m:sub>
                            <m:r>
                              <w:rPr>
                                <w:rFonts w:ascii="Cambria Math" w:hAnsi="Cambria Math"/>
                                <w:szCs w:val="24"/>
                              </w:rPr>
                              <m:t>10,</m:t>
                            </m:r>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OPEX</m:t>
                            </m:r>
                            <m:r>
                              <w:rPr>
                                <w:rFonts w:ascii="Cambria Math" w:hAnsi="Cambria Math"/>
                                <w:szCs w:val="24"/>
                              </w:rPr>
                              <m:t>'</m:t>
                            </m:r>
                          </m:e>
                          <m:sub>
                            <m:d>
                              <m:dPr>
                                <m:ctrlPr>
                                  <w:rPr>
                                    <w:rFonts w:ascii="Cambria Math" w:hAnsi="Cambria Math"/>
                                    <w:i/>
                                    <w:szCs w:val="24"/>
                                  </w:rPr>
                                </m:ctrlPr>
                              </m:dPr>
                              <m:e>
                                <m:r>
                                  <w:rPr>
                                    <w:rFonts w:ascii="Cambria Math" w:hAnsi="Cambria Math"/>
                                    <w:szCs w:val="24"/>
                                  </w:rPr>
                                  <m:t>be</m:t>
                                </m:r>
                                <m:r>
                                  <w:rPr>
                                    <w:rFonts w:ascii="Cambria Math" w:hAnsi="Cambria Math"/>
                                    <w:szCs w:val="24"/>
                                  </w:rPr>
                                  <m:t xml:space="preserve"> </m:t>
                                </m:r>
                                <m:r>
                                  <w:rPr>
                                    <w:rFonts w:ascii="Cambria Math" w:hAnsi="Cambria Math"/>
                                    <w:szCs w:val="24"/>
                                  </w:rPr>
                                  <m:t>DU</m:t>
                                </m:r>
                              </m:e>
                            </m:d>
                            <m:r>
                              <w:rPr>
                                <w:rFonts w:ascii="Cambria Math" w:hAnsi="Cambria Math"/>
                                <w:szCs w:val="24"/>
                              </w:rPr>
                              <m:t>10,</m:t>
                            </m:r>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OPEX</m:t>
                            </m:r>
                            <m:r>
                              <w:rPr>
                                <w:rFonts w:ascii="Cambria Math" w:hAnsi="Cambria Math"/>
                                <w:szCs w:val="24"/>
                              </w:rPr>
                              <m:t>'</m:t>
                            </m:r>
                          </m:e>
                          <m:sub>
                            <m:d>
                              <m:dPr>
                                <m:ctrlPr>
                                  <w:rPr>
                                    <w:rFonts w:ascii="Cambria Math" w:hAnsi="Cambria Math"/>
                                    <w:i/>
                                    <w:szCs w:val="24"/>
                                  </w:rPr>
                                </m:ctrlPr>
                              </m:dPr>
                              <m:e>
                                <m:r>
                                  <w:rPr>
                                    <w:rFonts w:ascii="Cambria Math" w:hAnsi="Cambria Math"/>
                                    <w:szCs w:val="24"/>
                                  </w:rPr>
                                  <m:t>DU</m:t>
                                </m:r>
                              </m:e>
                            </m:d>
                            <m:r>
                              <w:rPr>
                                <w:rFonts w:ascii="Cambria Math" w:hAnsi="Cambria Math"/>
                                <w:szCs w:val="24"/>
                              </w:rPr>
                              <m:t>10,</m:t>
                            </m:r>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M</m:t>
                            </m:r>
                          </m:e>
                          <m:sub>
                            <m:r>
                              <w:rPr>
                                <w:rFonts w:ascii="Cambria Math" w:hAnsi="Cambria Math"/>
                                <w:szCs w:val="24"/>
                              </w:rPr>
                              <m:t>10,</m:t>
                            </m:r>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S</m:t>
                            </m:r>
                          </m:e>
                          <m:sub>
                            <m:r>
                              <w:rPr>
                                <w:rFonts w:ascii="Cambria Math" w:hAnsi="Cambria Math"/>
                                <w:szCs w:val="24"/>
                              </w:rPr>
                              <m:t>sr</m:t>
                            </m:r>
                            <m:r>
                              <w:rPr>
                                <w:rFonts w:ascii="Cambria Math" w:hAnsi="Cambria Math"/>
                                <w:szCs w:val="24"/>
                              </w:rPr>
                              <m:t>10,</m:t>
                            </m:r>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S</m:t>
                            </m:r>
                          </m:e>
                          <m:sub>
                            <m:r>
                              <w:rPr>
                                <w:rFonts w:ascii="Cambria Math" w:hAnsi="Cambria Math"/>
                                <w:szCs w:val="24"/>
                              </w:rPr>
                              <m:t>n</m:t>
                            </m:r>
                            <m:r>
                              <w:rPr>
                                <w:rFonts w:ascii="Cambria Math" w:hAnsi="Cambria Math"/>
                                <w:szCs w:val="24"/>
                              </w:rPr>
                              <m:t>10,</m:t>
                            </m:r>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sSub>
                              <m:sSubPr>
                                <m:ctrlPr>
                                  <w:rPr>
                                    <w:rFonts w:ascii="Cambria Math" w:hAnsi="Cambria Math"/>
                                    <w:i/>
                                    <w:szCs w:val="24"/>
                                  </w:rPr>
                                </m:ctrlPr>
                              </m:sSubPr>
                              <m:e>
                                <m:r>
                                  <w:rPr>
                                    <w:rFonts w:ascii="Cambria Math" w:hAnsi="Cambria Math"/>
                                    <w:szCs w:val="24"/>
                                  </w:rPr>
                                  <m:t>N</m:t>
                                </m:r>
                              </m:e>
                              <m:sub>
                                <m:r>
                                  <w:rPr>
                                    <w:rFonts w:ascii="Cambria Math" w:hAnsi="Cambria Math"/>
                                    <w:szCs w:val="24"/>
                                  </w:rPr>
                                  <m:t>10,</m:t>
                                </m:r>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NT</m:t>
                                </m:r>
                              </m:e>
                              <m:sub>
                                <m:r>
                                  <w:rPr>
                                    <w:rFonts w:ascii="Cambria Math" w:hAnsi="Cambria Math"/>
                                    <w:szCs w:val="24"/>
                                  </w:rPr>
                                  <m:t>10,</m:t>
                                </m:r>
                                <m:r>
                                  <w:rPr>
                                    <w:rFonts w:ascii="Cambria Math" w:hAnsi="Cambria Math"/>
                                    <w:szCs w:val="24"/>
                                  </w:rPr>
                                  <m:t>t</m:t>
                                </m:r>
                              </m:sub>
                            </m:sSub>
                            <m:r>
                              <w:rPr>
                                <w:rFonts w:ascii="Cambria Math" w:hAnsi="Cambria Math"/>
                                <w:szCs w:val="24"/>
                              </w:rPr>
                              <m:t>+</m:t>
                            </m:r>
                            <m:r>
                              <w:rPr>
                                <w:rFonts w:ascii="Cambria Math" w:hAnsi="Cambria Math"/>
                                <w:szCs w:val="24"/>
                              </w:rPr>
                              <m:t>ROI</m:t>
                            </m:r>
                          </m:e>
                          <m:sub>
                            <m:r>
                              <w:rPr>
                                <w:rFonts w:ascii="Cambria Math" w:hAnsi="Cambria Math"/>
                                <w:szCs w:val="24"/>
                              </w:rPr>
                              <m:t>10,</m:t>
                            </m:r>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S</m:t>
                            </m:r>
                          </m:e>
                          <m:sub>
                            <m:r>
                              <w:rPr>
                                <w:rFonts w:ascii="Cambria Math" w:hAnsi="Cambria Math"/>
                                <w:szCs w:val="24"/>
                              </w:rPr>
                              <m:t>10,</m:t>
                            </m:r>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OI</m:t>
                            </m:r>
                          </m:e>
                          <m:sub>
                            <m:r>
                              <w:rPr>
                                <w:rFonts w:ascii="Cambria Math" w:hAnsi="Cambria Math"/>
                                <w:szCs w:val="24"/>
                              </w:rPr>
                              <m:t>10,</m:t>
                            </m:r>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K</m:t>
                            </m:r>
                          </m:e>
                          <m:sub>
                            <m:r>
                              <w:rPr>
                                <w:rFonts w:ascii="Cambria Math" w:hAnsi="Cambria Math"/>
                                <w:szCs w:val="24"/>
                              </w:rPr>
                              <m:t>10,</m:t>
                            </m:r>
                            <m:r>
                              <w:rPr>
                                <w:rFonts w:ascii="Cambria Math" w:hAnsi="Cambria Math"/>
                                <w:szCs w:val="24"/>
                              </w:rPr>
                              <m:t>t</m:t>
                            </m:r>
                          </m:sub>
                        </m:sSub>
                      </m:oMath>
                      <w:r>
                        <w:rPr>
                          <w:szCs w:val="24"/>
                        </w:rPr>
                        <w:tab/>
                        <w:tab/>
                        <w:tab/>
                        <w:tab/>
                        <w:tab/>
                        <w:tab/>
                        <w:tab/>
                        <w:t>(42)</w:t>
                      </w:r>
                    </w:p>
                    <w:p>
                      <w:pPr>
                        <w:tabs>
                          <w:tab w:val="left" w:pos="142"/>
                        </w:tabs>
                        <w:jc w:val="both"/>
                        <w:rPr>
                          <w:i/>
                          <w:szCs w:val="24"/>
                        </w:rPr>
                      </w:pPr>
                    </w:p>
                    <w:p>
                      <w:pPr>
                        <w:tabs>
                          <w:tab w:val="left" w:pos="142"/>
                        </w:tabs>
                        <w:ind w:firstLine="709"/>
                        <w:jc w:val="both"/>
                        <w:rPr>
                          <w:i/>
                          <w:szCs w:val="24"/>
                        </w:rPr>
                      </w:pPr>
                      <w:r>
                        <w:rPr>
                          <w:i/>
                          <w:szCs w:val="24"/>
                        </w:rPr>
                        <w:t>čia:</w:t>
                      </w:r>
                    </w:p>
                    <w:p>
                      <w:pPr>
                        <w:tabs>
                          <w:tab w:val="left" w:pos="142"/>
                        </w:tabs>
                        <w:ind w:firstLine="709"/>
                        <w:jc w:val="both"/>
                        <w:rPr>
                          <w:szCs w:val="24"/>
                          <w:lang w:eastAsia="lt-LT"/>
                        </w:rPr>
                      </w:pPr>
                      <w:r>
                        <w:rPr>
                          <w:szCs w:val="24"/>
                        </w:rPr>
                        <w:t>P‘</w:t>
                      </w:r>
                      <w:r>
                        <w:rPr>
                          <w:szCs w:val="24"/>
                          <w:vertAlign w:val="subscript"/>
                        </w:rPr>
                        <w:t>04,t</w:t>
                      </w:r>
                      <w:r>
                        <w:rPr>
                          <w:szCs w:val="24"/>
                        </w:rPr>
                        <w:t xml:space="preserve"> – koreguotos </w:t>
                      </w:r>
                      <w:r>
                        <w:rPr>
                          <w:i/>
                          <w:iCs/>
                          <w:szCs w:val="24"/>
                        </w:rPr>
                        <w:t>t</w:t>
                      </w:r>
                      <w:r>
                        <w:rPr>
                          <w:szCs w:val="24"/>
                        </w:rPr>
                        <w:t xml:space="preserve"> metų STO ŽĮ tinkle leidžiamos pajamos, EUR;</w:t>
                      </w:r>
                    </w:p>
                    <w:p>
                      <w:pPr>
                        <w:tabs>
                          <w:tab w:val="left" w:pos="142"/>
                        </w:tabs>
                        <w:ind w:firstLine="709"/>
                        <w:jc w:val="both"/>
                        <w:rPr>
                          <w:szCs w:val="24"/>
                          <w:lang w:eastAsia="lt-LT"/>
                        </w:rPr>
                      </w:pPr>
                      <w:r>
                        <w:rPr>
                          <w:szCs w:val="24"/>
                          <w:lang w:eastAsia="lt-LT"/>
                        </w:rPr>
                        <w:t>OPEX‘</w:t>
                      </w:r>
                      <w:r>
                        <w:rPr>
                          <w:szCs w:val="24"/>
                          <w:vertAlign w:val="subscript"/>
                          <w:lang w:eastAsia="lt-LT"/>
                        </w:rPr>
                        <w:t xml:space="preserve">(be DU)04,t </w:t>
                      </w:r>
                      <w:r>
                        <w:rPr>
                          <w:szCs w:val="24"/>
                          <w:lang w:eastAsia="lt-LT"/>
                        </w:rPr>
                        <w:t xml:space="preserve">– koreguoti </w:t>
                      </w:r>
                      <w:r>
                        <w:rPr>
                          <w:i/>
                          <w:iCs/>
                          <w:szCs w:val="24"/>
                        </w:rPr>
                        <w:t>t</w:t>
                      </w:r>
                      <w:r>
                        <w:rPr>
                          <w:szCs w:val="24"/>
                          <w:lang w:eastAsia="lt-LT"/>
                        </w:rPr>
                        <w:t xml:space="preserve"> metų ŽĮ OPEX(be DU) kaštai;</w:t>
                      </w:r>
                    </w:p>
                    <w:p>
                      <w:pPr>
                        <w:tabs>
                          <w:tab w:val="left" w:pos="142"/>
                        </w:tabs>
                        <w:ind w:firstLine="709"/>
                        <w:jc w:val="both"/>
                        <w:rPr>
                          <w:szCs w:val="24"/>
                          <w:lang w:eastAsia="lt-LT"/>
                        </w:rPr>
                      </w:pPr>
                      <w:r>
                        <w:rPr>
                          <w:szCs w:val="24"/>
                          <w:lang w:eastAsia="lt-LT"/>
                        </w:rPr>
                        <w:t>OPEX‘</w:t>
                      </w:r>
                      <w:r>
                        <w:rPr>
                          <w:szCs w:val="24"/>
                          <w:vertAlign w:val="subscript"/>
                          <w:lang w:eastAsia="lt-LT"/>
                        </w:rPr>
                        <w:t>(DU)04,t</w:t>
                      </w:r>
                      <w:r>
                        <w:rPr>
                          <w:szCs w:val="24"/>
                          <w:lang w:eastAsia="lt-LT"/>
                        </w:rPr>
                        <w:t xml:space="preserve"> – koreguoti </w:t>
                      </w:r>
                      <w:r>
                        <w:rPr>
                          <w:i/>
                          <w:iCs/>
                          <w:szCs w:val="24"/>
                        </w:rPr>
                        <w:t>t</w:t>
                      </w:r>
                      <w:r>
                        <w:rPr>
                          <w:szCs w:val="24"/>
                          <w:lang w:eastAsia="lt-LT"/>
                        </w:rPr>
                        <w:t xml:space="preserve"> metų ŽĮ darbo užmokesčio kaštai;</w:t>
                      </w:r>
                    </w:p>
                    <w:p>
                      <w:pPr>
                        <w:tabs>
                          <w:tab w:val="left" w:pos="142"/>
                        </w:tabs>
                        <w:ind w:firstLine="709"/>
                        <w:jc w:val="both"/>
                        <w:rPr>
                          <w:szCs w:val="24"/>
                          <w:lang w:eastAsia="lt-LT"/>
                        </w:rPr>
                      </w:pPr>
                      <w:r>
                        <w:rPr>
                          <w:szCs w:val="24"/>
                          <w:lang w:eastAsia="lt-LT"/>
                        </w:rPr>
                        <w:t>M</w:t>
                      </w:r>
                      <w:r>
                        <w:rPr>
                          <w:szCs w:val="24"/>
                          <w:vertAlign w:val="subscript"/>
                          <w:lang w:eastAsia="lt-LT"/>
                        </w:rPr>
                        <w:t xml:space="preserve">04,t </w:t>
                      </w:r>
                      <w:r>
                        <w:rPr>
                          <w:szCs w:val="24"/>
                          <w:lang w:eastAsia="lt-LT"/>
                        </w:rPr>
                        <w:t xml:space="preserve">– planuojami </w:t>
                      </w:r>
                      <w:r>
                        <w:rPr>
                          <w:i/>
                          <w:iCs/>
                          <w:szCs w:val="24"/>
                        </w:rPr>
                        <w:t>t</w:t>
                      </w:r>
                      <w:r>
                        <w:rPr>
                          <w:szCs w:val="24"/>
                          <w:lang w:eastAsia="lt-LT"/>
                        </w:rPr>
                        <w:t xml:space="preserve"> metų ŽĮ mokesčiai;</w:t>
                      </w:r>
                    </w:p>
                    <w:p>
                      <w:pPr>
                        <w:tabs>
                          <w:tab w:val="left" w:pos="993"/>
                        </w:tabs>
                        <w:ind w:firstLine="709"/>
                        <w:jc w:val="both"/>
                        <w:rPr>
                          <w:szCs w:val="24"/>
                        </w:rPr>
                      </w:pPr>
                      <w:r>
                        <w:rPr>
                          <w:szCs w:val="24"/>
                        </w:rPr>
                        <w:t>S</w:t>
                      </w:r>
                      <w:r>
                        <w:rPr>
                          <w:szCs w:val="24"/>
                          <w:vertAlign w:val="subscript"/>
                        </w:rPr>
                        <w:t>sr04,t</w:t>
                      </w:r>
                      <w:r>
                        <w:rPr>
                          <w:szCs w:val="24"/>
                        </w:rPr>
                        <w:t xml:space="preserve"> – planuojami </w:t>
                      </w:r>
                      <w:r>
                        <w:rPr>
                          <w:i/>
                          <w:iCs/>
                          <w:szCs w:val="24"/>
                        </w:rPr>
                        <w:t xml:space="preserve">t </w:t>
                      </w:r>
                      <w:r>
                        <w:rPr>
                          <w:szCs w:val="24"/>
                        </w:rPr>
                        <w:t>metų ŽĮ elektros energijos pirkimo kaštai savoms reikmėms padengti;</w:t>
                      </w:r>
                    </w:p>
                    <w:p>
                      <w:pPr>
                        <w:tabs>
                          <w:tab w:val="left" w:pos="993"/>
                        </w:tabs>
                        <w:ind w:firstLine="709"/>
                        <w:jc w:val="both"/>
                        <w:rPr>
                          <w:szCs w:val="24"/>
                        </w:rPr>
                      </w:pPr>
                      <w:r>
                        <w:rPr>
                          <w:szCs w:val="24"/>
                        </w:rPr>
                        <w:t>S</w:t>
                      </w:r>
                      <w:r>
                        <w:rPr>
                          <w:szCs w:val="24"/>
                          <w:vertAlign w:val="subscript"/>
                        </w:rPr>
                        <w:t>n04,t</w:t>
                      </w:r>
                      <w:r>
                        <w:rPr>
                          <w:szCs w:val="24"/>
                        </w:rPr>
                        <w:t xml:space="preserve"> – planuojami </w:t>
                      </w:r>
                      <w:r>
                        <w:rPr>
                          <w:i/>
                          <w:iCs/>
                          <w:szCs w:val="24"/>
                        </w:rPr>
                        <w:t xml:space="preserve">t </w:t>
                      </w:r>
                      <w:r>
                        <w:rPr>
                          <w:szCs w:val="24"/>
                        </w:rPr>
                        <w:t>metų ŽĮ elektros energijos pirkimo kaštai elektros energijos sąnaudoms technologiniuose įrenginiuose padengti;</w:t>
                      </w:r>
                    </w:p>
                    <w:p>
                      <w:pPr>
                        <w:tabs>
                          <w:tab w:val="left" w:pos="142"/>
                        </w:tabs>
                        <w:ind w:firstLine="709"/>
                        <w:jc w:val="both"/>
                        <w:rPr>
                          <w:szCs w:val="24"/>
                          <w:lang w:eastAsia="lt-LT"/>
                        </w:rPr>
                      </w:pPr>
                      <w:r>
                        <w:rPr>
                          <w:szCs w:val="24"/>
                          <w:lang w:eastAsia="lt-LT"/>
                        </w:rPr>
                        <w:t>N</w:t>
                      </w:r>
                      <w:r>
                        <w:rPr>
                          <w:szCs w:val="24"/>
                          <w:vertAlign w:val="subscript"/>
                          <w:lang w:eastAsia="lt-LT"/>
                        </w:rPr>
                        <w:t xml:space="preserve">04,t </w:t>
                      </w:r>
                      <w:r>
                        <w:rPr>
                          <w:szCs w:val="24"/>
                          <w:lang w:eastAsia="lt-LT"/>
                        </w:rPr>
                        <w:t xml:space="preserve">– planuojamos </w:t>
                      </w:r>
                      <w:r>
                        <w:rPr>
                          <w:i/>
                          <w:iCs/>
                          <w:szCs w:val="24"/>
                        </w:rPr>
                        <w:t>t</w:t>
                      </w:r>
                      <w:r>
                        <w:rPr>
                          <w:szCs w:val="24"/>
                          <w:lang w:eastAsia="lt-LT"/>
                        </w:rPr>
                        <w:t xml:space="preserve"> metų ŽĮ nusidėvėjimo sąnaudos;</w:t>
                      </w:r>
                    </w:p>
                    <w:p>
                      <w:pPr>
                        <w:tabs>
                          <w:tab w:val="left" w:pos="142"/>
                        </w:tabs>
                        <w:ind w:firstLine="709"/>
                        <w:jc w:val="both"/>
                        <w:rPr>
                          <w:szCs w:val="24"/>
                          <w:lang w:eastAsia="lt-LT"/>
                        </w:rPr>
                      </w:pPr>
                      <w:r>
                        <w:rPr>
                          <w:szCs w:val="24"/>
                        </w:rPr>
                        <w:t>NT</w:t>
                      </w:r>
                      <w:r>
                        <w:rPr>
                          <w:szCs w:val="24"/>
                          <w:vertAlign w:val="subscript"/>
                        </w:rPr>
                        <w:t xml:space="preserve">04,t </w:t>
                      </w:r>
                      <w:r>
                        <w:rPr>
                          <w:szCs w:val="24"/>
                          <w:lang w:eastAsia="lt-LT"/>
                        </w:rPr>
                        <w:t xml:space="preserve">– planuojamos </w:t>
                      </w:r>
                      <w:r>
                        <w:rPr>
                          <w:i/>
                          <w:iCs/>
                          <w:szCs w:val="24"/>
                        </w:rPr>
                        <w:t>t</w:t>
                      </w:r>
                      <w:r>
                        <w:rPr>
                          <w:szCs w:val="24"/>
                          <w:lang w:eastAsia="lt-LT"/>
                        </w:rPr>
                        <w:t xml:space="preserve"> metų ŽĮ nurašomo turto sąnaudos;</w:t>
                      </w:r>
                      <w:r>
                        <w:rPr>
                          <w:szCs w:val="24"/>
                          <w:vertAlign w:val="subscript"/>
                        </w:rPr>
                        <w:t xml:space="preserve"> </w:t>
                      </w:r>
                    </w:p>
                    <w:p>
                      <w:pPr>
                        <w:tabs>
                          <w:tab w:val="left" w:pos="142"/>
                        </w:tabs>
                        <w:ind w:firstLine="709"/>
                        <w:jc w:val="both"/>
                        <w:rPr>
                          <w:szCs w:val="24"/>
                          <w:lang w:eastAsia="lt-LT"/>
                        </w:rPr>
                      </w:pPr>
                      <w:r>
                        <w:rPr>
                          <w:szCs w:val="24"/>
                          <w:lang w:eastAsia="lt-LT"/>
                        </w:rPr>
                        <w:t>ROI</w:t>
                      </w:r>
                      <w:r>
                        <w:rPr>
                          <w:szCs w:val="24"/>
                          <w:vertAlign w:val="subscript"/>
                          <w:lang w:eastAsia="lt-LT"/>
                        </w:rPr>
                        <w:t xml:space="preserve">04,t </w:t>
                      </w:r>
                      <w:r>
                        <w:rPr>
                          <w:szCs w:val="24"/>
                          <w:lang w:eastAsia="lt-LT"/>
                        </w:rPr>
                        <w:t xml:space="preserve">– ŽĮ investicijų grąža, apskaičiuota taikant Komisijos </w:t>
                      </w:r>
                      <w:r>
                        <w:rPr>
                          <w:i/>
                          <w:iCs/>
                          <w:szCs w:val="24"/>
                        </w:rPr>
                        <w:t>t</w:t>
                      </w:r>
                      <w:r>
                        <w:rPr>
                          <w:szCs w:val="24"/>
                          <w:lang w:eastAsia="lt-LT"/>
                        </w:rPr>
                        <w:t xml:space="preserve"> metų nustatytą investicijų grąžos normą nuo reguliuojamos turto bazės metų pradžiai;</w:t>
                      </w:r>
                    </w:p>
                    <w:p>
                      <w:pPr>
                        <w:tabs>
                          <w:tab w:val="left" w:pos="142"/>
                        </w:tabs>
                        <w:ind w:firstLine="709"/>
                        <w:jc w:val="both"/>
                        <w:rPr>
                          <w:szCs w:val="24"/>
                          <w:lang w:eastAsia="lt-LT"/>
                        </w:rPr>
                      </w:pPr>
                      <w:r>
                        <w:rPr>
                          <w:szCs w:val="24"/>
                          <w:lang w:eastAsia="lt-LT"/>
                        </w:rPr>
                        <w:t>S</w:t>
                      </w:r>
                      <w:r>
                        <w:rPr>
                          <w:szCs w:val="24"/>
                          <w:vertAlign w:val="subscript"/>
                          <w:lang w:eastAsia="lt-LT"/>
                        </w:rPr>
                        <w:t>04,t</w:t>
                      </w:r>
                      <w:r>
                        <w:rPr>
                          <w:szCs w:val="24"/>
                          <w:lang w:eastAsia="lt-LT"/>
                        </w:rPr>
                        <w:t xml:space="preserve"> – planuojamas </w:t>
                      </w:r>
                      <w:r>
                        <w:rPr>
                          <w:i/>
                          <w:iCs/>
                          <w:szCs w:val="24"/>
                        </w:rPr>
                        <w:t>t</w:t>
                      </w:r>
                      <w:r>
                        <w:rPr>
                          <w:szCs w:val="24"/>
                          <w:lang w:eastAsia="lt-LT"/>
                        </w:rPr>
                        <w:t xml:space="preserve"> metų ŽĮ OPEX padidėjimas/sumažėjimas, sąlygotas teisės aktų pasikeitimų </w:t>
                      </w:r>
                      <w:r>
                        <w:rPr>
                          <w:szCs w:val="24"/>
                        </w:rPr>
                        <w:t>ir/ar kitų objektyvių (nuo STO nepriklausančių) veiksnių</w:t>
                      </w:r>
                      <w:r>
                        <w:rPr>
                          <w:szCs w:val="24"/>
                          <w:lang w:eastAsia="lt-LT"/>
                        </w:rPr>
                        <w:t>;</w:t>
                      </w:r>
                    </w:p>
                    <w:p>
                      <w:pPr>
                        <w:tabs>
                          <w:tab w:val="left" w:pos="142"/>
                        </w:tabs>
                        <w:ind w:firstLine="709"/>
                        <w:jc w:val="both"/>
                        <w:rPr>
                          <w:szCs w:val="24"/>
                          <w:lang w:eastAsia="lt-LT"/>
                        </w:rPr>
                      </w:pPr>
                      <w:r>
                        <w:rPr>
                          <w:szCs w:val="24"/>
                          <w:lang w:eastAsia="lt-LT"/>
                        </w:rPr>
                        <w:t>OI</w:t>
                      </w:r>
                      <w:r>
                        <w:rPr>
                          <w:szCs w:val="24"/>
                          <w:vertAlign w:val="subscript"/>
                          <w:lang w:eastAsia="lt-LT"/>
                        </w:rPr>
                        <w:t>04,t</w:t>
                      </w:r>
                      <w:r>
                        <w:rPr>
                          <w:szCs w:val="24"/>
                          <w:lang w:eastAsia="lt-LT"/>
                        </w:rPr>
                        <w:t xml:space="preserve"> – planuojamos </w:t>
                      </w:r>
                      <w:r>
                        <w:rPr>
                          <w:i/>
                          <w:iCs/>
                          <w:szCs w:val="24"/>
                        </w:rPr>
                        <w:t>t</w:t>
                      </w:r>
                      <w:r>
                        <w:rPr>
                          <w:szCs w:val="24"/>
                          <w:lang w:eastAsia="lt-LT"/>
                        </w:rPr>
                        <w:t xml:space="preserve"> metų ŽĮ kitos pajamos;</w:t>
                      </w:r>
                    </w:p>
                    <w:p>
                      <w:pPr>
                        <w:tabs>
                          <w:tab w:val="left" w:pos="142"/>
                        </w:tabs>
                        <w:ind w:firstLine="709"/>
                        <w:jc w:val="both"/>
                        <w:rPr>
                          <w:szCs w:val="24"/>
                        </w:rPr>
                      </w:pPr>
                      <w:r>
                        <w:rPr>
                          <w:szCs w:val="24"/>
                          <w:lang w:eastAsia="lt-LT"/>
                        </w:rPr>
                        <w:t>K</w:t>
                      </w:r>
                      <w:r>
                        <w:rPr>
                          <w:szCs w:val="24"/>
                          <w:vertAlign w:val="subscript"/>
                          <w:lang w:eastAsia="lt-LT"/>
                        </w:rPr>
                        <w:t xml:space="preserve">04,t </w:t>
                      </w:r>
                      <w:r>
                        <w:rPr>
                          <w:szCs w:val="24"/>
                          <w:lang w:eastAsia="lt-LT"/>
                        </w:rPr>
                        <w:t>– Komisijos nustatyta praėjusių laikotarpių ŽĮ investicijų grąžos korekcija.</w:t>
                      </w:r>
                    </w:p>
                    <w:p>
                      <w:pPr>
                        <w:tabs>
                          <w:tab w:val="left" w:pos="142"/>
                        </w:tabs>
                        <w:ind w:firstLine="709"/>
                        <w:jc w:val="both"/>
                        <w:rPr>
                          <w:szCs w:val="24"/>
                          <w:lang w:eastAsia="lt-LT"/>
                        </w:rPr>
                      </w:pPr>
                      <w:r>
                        <w:rPr>
                          <w:szCs w:val="24"/>
                        </w:rPr>
                        <w:t>P‘</w:t>
                      </w:r>
                      <w:r>
                        <w:rPr>
                          <w:szCs w:val="24"/>
                          <w:vertAlign w:val="subscript"/>
                        </w:rPr>
                        <w:t>10,t</w:t>
                      </w:r>
                      <w:r>
                        <w:rPr>
                          <w:szCs w:val="24"/>
                        </w:rPr>
                        <w:t xml:space="preserve"> – koreguotos </w:t>
                      </w:r>
                      <w:r>
                        <w:rPr>
                          <w:i/>
                          <w:iCs/>
                          <w:szCs w:val="24"/>
                        </w:rPr>
                        <w:t>t</w:t>
                      </w:r>
                      <w:r>
                        <w:rPr>
                          <w:szCs w:val="24"/>
                        </w:rPr>
                        <w:t xml:space="preserve"> metų STO VĮ tinkle leidžiamos pajamos, EUR;</w:t>
                      </w:r>
                    </w:p>
                    <w:p>
                      <w:pPr>
                        <w:tabs>
                          <w:tab w:val="left" w:pos="142"/>
                        </w:tabs>
                        <w:ind w:firstLine="709"/>
                        <w:jc w:val="both"/>
                        <w:rPr>
                          <w:szCs w:val="24"/>
                          <w:lang w:eastAsia="lt-LT"/>
                        </w:rPr>
                      </w:pPr>
                      <w:r>
                        <w:rPr>
                          <w:szCs w:val="24"/>
                          <w:lang w:eastAsia="lt-LT"/>
                        </w:rPr>
                        <w:t>OPEX‘</w:t>
                      </w:r>
                      <w:r>
                        <w:rPr>
                          <w:szCs w:val="24"/>
                          <w:vertAlign w:val="subscript"/>
                          <w:lang w:eastAsia="lt-LT"/>
                        </w:rPr>
                        <w:t xml:space="preserve">(be DU)10,t </w:t>
                      </w:r>
                      <w:r>
                        <w:rPr>
                          <w:szCs w:val="24"/>
                          <w:lang w:eastAsia="lt-LT"/>
                        </w:rPr>
                        <w:t xml:space="preserve">– koreguoti </w:t>
                      </w:r>
                      <w:r>
                        <w:rPr>
                          <w:i/>
                          <w:iCs/>
                          <w:szCs w:val="24"/>
                        </w:rPr>
                        <w:t>t</w:t>
                      </w:r>
                      <w:r>
                        <w:rPr>
                          <w:szCs w:val="24"/>
                          <w:lang w:eastAsia="lt-LT"/>
                        </w:rPr>
                        <w:t xml:space="preserve"> metų VĮ OPEX(be DU) kaštai;</w:t>
                      </w:r>
                    </w:p>
                    <w:p>
                      <w:pPr>
                        <w:tabs>
                          <w:tab w:val="left" w:pos="142"/>
                        </w:tabs>
                        <w:ind w:firstLine="709"/>
                        <w:jc w:val="both"/>
                        <w:rPr>
                          <w:szCs w:val="24"/>
                          <w:lang w:eastAsia="lt-LT"/>
                        </w:rPr>
                      </w:pPr>
                      <w:r>
                        <w:rPr>
                          <w:szCs w:val="24"/>
                          <w:lang w:eastAsia="lt-LT"/>
                        </w:rPr>
                        <w:t>OPEX‘</w:t>
                      </w:r>
                      <w:r>
                        <w:rPr>
                          <w:szCs w:val="24"/>
                          <w:vertAlign w:val="subscript"/>
                          <w:lang w:eastAsia="lt-LT"/>
                        </w:rPr>
                        <w:t>(DU)10,t</w:t>
                      </w:r>
                      <w:r>
                        <w:rPr>
                          <w:szCs w:val="24"/>
                          <w:lang w:eastAsia="lt-LT"/>
                        </w:rPr>
                        <w:t xml:space="preserve"> – koreguoti </w:t>
                      </w:r>
                      <w:r>
                        <w:rPr>
                          <w:i/>
                          <w:iCs/>
                          <w:szCs w:val="24"/>
                        </w:rPr>
                        <w:t>t</w:t>
                      </w:r>
                      <w:r>
                        <w:rPr>
                          <w:szCs w:val="24"/>
                          <w:lang w:eastAsia="lt-LT"/>
                        </w:rPr>
                        <w:t xml:space="preserve"> metų VĮ darbo užmokesčio kaštai;</w:t>
                      </w:r>
                    </w:p>
                    <w:p>
                      <w:pPr>
                        <w:tabs>
                          <w:tab w:val="left" w:pos="142"/>
                        </w:tabs>
                        <w:ind w:firstLine="709"/>
                        <w:jc w:val="both"/>
                        <w:rPr>
                          <w:szCs w:val="24"/>
                          <w:lang w:eastAsia="lt-LT"/>
                        </w:rPr>
                      </w:pPr>
                      <w:r>
                        <w:rPr>
                          <w:szCs w:val="24"/>
                          <w:lang w:eastAsia="lt-LT"/>
                        </w:rPr>
                        <w:t>M</w:t>
                      </w:r>
                      <w:r>
                        <w:rPr>
                          <w:szCs w:val="24"/>
                          <w:vertAlign w:val="subscript"/>
                          <w:lang w:eastAsia="lt-LT"/>
                        </w:rPr>
                        <w:t xml:space="preserve">10,t </w:t>
                      </w:r>
                      <w:r>
                        <w:rPr>
                          <w:szCs w:val="24"/>
                          <w:lang w:eastAsia="lt-LT"/>
                        </w:rPr>
                        <w:t xml:space="preserve">– planuojami </w:t>
                      </w:r>
                      <w:r>
                        <w:rPr>
                          <w:i/>
                          <w:iCs/>
                          <w:szCs w:val="24"/>
                        </w:rPr>
                        <w:t>t</w:t>
                      </w:r>
                      <w:r>
                        <w:rPr>
                          <w:szCs w:val="24"/>
                          <w:lang w:eastAsia="lt-LT"/>
                        </w:rPr>
                        <w:t xml:space="preserve"> metų VĮ mokesčiai;</w:t>
                      </w:r>
                    </w:p>
                    <w:p>
                      <w:pPr>
                        <w:tabs>
                          <w:tab w:val="left" w:pos="993"/>
                        </w:tabs>
                        <w:ind w:firstLine="709"/>
                        <w:jc w:val="both"/>
                        <w:rPr>
                          <w:szCs w:val="24"/>
                        </w:rPr>
                      </w:pPr>
                      <w:r>
                        <w:rPr>
                          <w:szCs w:val="24"/>
                        </w:rPr>
                        <w:t>S</w:t>
                      </w:r>
                      <w:r>
                        <w:rPr>
                          <w:szCs w:val="24"/>
                          <w:vertAlign w:val="subscript"/>
                        </w:rPr>
                        <w:t>sr10,t</w:t>
                      </w:r>
                      <w:r>
                        <w:rPr>
                          <w:szCs w:val="24"/>
                        </w:rPr>
                        <w:t xml:space="preserve"> – planuojami </w:t>
                      </w:r>
                      <w:r>
                        <w:rPr>
                          <w:i/>
                          <w:iCs/>
                          <w:szCs w:val="24"/>
                        </w:rPr>
                        <w:t xml:space="preserve">t </w:t>
                      </w:r>
                      <w:r>
                        <w:rPr>
                          <w:szCs w:val="24"/>
                        </w:rPr>
                        <w:t>metų VĮ elektros energijos pirkimo kaštai savoms reikmėms padengti;</w:t>
                      </w:r>
                    </w:p>
                    <w:p>
                      <w:pPr>
                        <w:tabs>
                          <w:tab w:val="left" w:pos="993"/>
                        </w:tabs>
                        <w:ind w:firstLine="709"/>
                        <w:jc w:val="both"/>
                        <w:rPr>
                          <w:szCs w:val="24"/>
                        </w:rPr>
                      </w:pPr>
                      <w:r>
                        <w:rPr>
                          <w:szCs w:val="24"/>
                        </w:rPr>
                        <w:t>S</w:t>
                      </w:r>
                      <w:r>
                        <w:rPr>
                          <w:szCs w:val="24"/>
                          <w:vertAlign w:val="subscript"/>
                        </w:rPr>
                        <w:t>n10,t</w:t>
                      </w:r>
                      <w:r>
                        <w:rPr>
                          <w:szCs w:val="24"/>
                        </w:rPr>
                        <w:t xml:space="preserve"> – planuojami </w:t>
                      </w:r>
                      <w:r>
                        <w:rPr>
                          <w:i/>
                          <w:iCs/>
                          <w:szCs w:val="24"/>
                        </w:rPr>
                        <w:t xml:space="preserve">t </w:t>
                      </w:r>
                      <w:r>
                        <w:rPr>
                          <w:szCs w:val="24"/>
                        </w:rPr>
                        <w:t>metų VĮ elektros energijos pirkimo kaštai elektros energijos sąnaudoms technologiniuose įrenginiuose padengti;</w:t>
                      </w:r>
                    </w:p>
                    <w:p>
                      <w:pPr>
                        <w:tabs>
                          <w:tab w:val="left" w:pos="142"/>
                        </w:tabs>
                        <w:ind w:firstLine="709"/>
                        <w:jc w:val="both"/>
                        <w:rPr>
                          <w:szCs w:val="24"/>
                          <w:lang w:eastAsia="lt-LT"/>
                        </w:rPr>
                      </w:pPr>
                      <w:r>
                        <w:rPr>
                          <w:szCs w:val="24"/>
                          <w:lang w:eastAsia="lt-LT"/>
                        </w:rPr>
                        <w:t>N</w:t>
                      </w:r>
                      <w:r>
                        <w:rPr>
                          <w:szCs w:val="24"/>
                          <w:vertAlign w:val="subscript"/>
                          <w:lang w:eastAsia="lt-LT"/>
                        </w:rPr>
                        <w:t xml:space="preserve">10,t </w:t>
                      </w:r>
                      <w:r>
                        <w:rPr>
                          <w:szCs w:val="24"/>
                          <w:lang w:eastAsia="lt-LT"/>
                        </w:rPr>
                        <w:t xml:space="preserve">– planuojamos </w:t>
                      </w:r>
                      <w:r>
                        <w:rPr>
                          <w:i/>
                          <w:iCs/>
                          <w:szCs w:val="24"/>
                        </w:rPr>
                        <w:t>t</w:t>
                      </w:r>
                      <w:r>
                        <w:rPr>
                          <w:szCs w:val="24"/>
                          <w:lang w:eastAsia="lt-LT"/>
                        </w:rPr>
                        <w:t xml:space="preserve"> metų VĮ nusidėvėjimo sąnaudos;</w:t>
                      </w:r>
                    </w:p>
                    <w:p>
                      <w:pPr>
                        <w:tabs>
                          <w:tab w:val="left" w:pos="142"/>
                        </w:tabs>
                        <w:ind w:firstLine="709"/>
                        <w:jc w:val="both"/>
                        <w:rPr>
                          <w:szCs w:val="24"/>
                          <w:lang w:eastAsia="lt-LT"/>
                        </w:rPr>
                      </w:pPr>
                      <w:r>
                        <w:rPr>
                          <w:szCs w:val="24"/>
                        </w:rPr>
                        <w:t>NT</w:t>
                      </w:r>
                      <w:r>
                        <w:rPr>
                          <w:szCs w:val="24"/>
                          <w:vertAlign w:val="subscript"/>
                        </w:rPr>
                        <w:t xml:space="preserve">10,t </w:t>
                      </w:r>
                      <w:r>
                        <w:rPr>
                          <w:szCs w:val="24"/>
                          <w:lang w:eastAsia="lt-LT"/>
                        </w:rPr>
                        <w:t xml:space="preserve">– planuojamos </w:t>
                      </w:r>
                      <w:r>
                        <w:rPr>
                          <w:i/>
                          <w:iCs/>
                          <w:szCs w:val="24"/>
                        </w:rPr>
                        <w:t>t</w:t>
                      </w:r>
                      <w:r>
                        <w:rPr>
                          <w:szCs w:val="24"/>
                          <w:lang w:eastAsia="lt-LT"/>
                        </w:rPr>
                        <w:t xml:space="preserve"> metų VĮ nurašomo turto sąnaudos;</w:t>
                      </w:r>
                      <w:r>
                        <w:rPr>
                          <w:szCs w:val="24"/>
                          <w:vertAlign w:val="subscript"/>
                        </w:rPr>
                        <w:t xml:space="preserve"> </w:t>
                      </w:r>
                    </w:p>
                    <w:p>
                      <w:pPr>
                        <w:tabs>
                          <w:tab w:val="left" w:pos="142"/>
                        </w:tabs>
                        <w:ind w:firstLine="709"/>
                        <w:jc w:val="both"/>
                        <w:rPr>
                          <w:szCs w:val="24"/>
                          <w:lang w:eastAsia="lt-LT"/>
                        </w:rPr>
                      </w:pPr>
                      <w:r>
                        <w:rPr>
                          <w:szCs w:val="24"/>
                          <w:lang w:eastAsia="lt-LT"/>
                        </w:rPr>
                        <w:t>ROI</w:t>
                      </w:r>
                      <w:r>
                        <w:rPr>
                          <w:szCs w:val="24"/>
                          <w:vertAlign w:val="subscript"/>
                          <w:lang w:eastAsia="lt-LT"/>
                        </w:rPr>
                        <w:t xml:space="preserve">10,t </w:t>
                      </w:r>
                      <w:r>
                        <w:rPr>
                          <w:szCs w:val="24"/>
                          <w:lang w:eastAsia="lt-LT"/>
                        </w:rPr>
                        <w:t xml:space="preserve">–VĮ investicijų grąža, apskaičiuota taikant Komisijos </w:t>
                      </w:r>
                      <w:r>
                        <w:rPr>
                          <w:i/>
                          <w:iCs/>
                          <w:szCs w:val="24"/>
                        </w:rPr>
                        <w:t>t</w:t>
                      </w:r>
                      <w:r>
                        <w:rPr>
                          <w:szCs w:val="24"/>
                          <w:lang w:eastAsia="lt-LT"/>
                        </w:rPr>
                        <w:t xml:space="preserve"> metų nustatytą investicijų grąžos normą nuo reguliuojamos turto bazės metų pradžiai;</w:t>
                      </w:r>
                    </w:p>
                    <w:p>
                      <w:pPr>
                        <w:tabs>
                          <w:tab w:val="left" w:pos="142"/>
                        </w:tabs>
                        <w:ind w:firstLine="709"/>
                        <w:jc w:val="both"/>
                        <w:rPr>
                          <w:szCs w:val="24"/>
                          <w:lang w:eastAsia="lt-LT"/>
                        </w:rPr>
                      </w:pPr>
                      <w:r>
                        <w:rPr>
                          <w:szCs w:val="24"/>
                          <w:lang w:eastAsia="lt-LT"/>
                        </w:rPr>
                        <w:t>S</w:t>
                      </w:r>
                      <w:r>
                        <w:rPr>
                          <w:szCs w:val="24"/>
                          <w:vertAlign w:val="subscript"/>
                          <w:lang w:eastAsia="lt-LT"/>
                        </w:rPr>
                        <w:t>10,t</w:t>
                      </w:r>
                      <w:r>
                        <w:rPr>
                          <w:szCs w:val="24"/>
                          <w:lang w:eastAsia="lt-LT"/>
                        </w:rPr>
                        <w:t xml:space="preserve"> – planuojamas </w:t>
                      </w:r>
                      <w:r>
                        <w:rPr>
                          <w:i/>
                          <w:iCs/>
                          <w:szCs w:val="24"/>
                        </w:rPr>
                        <w:t>t</w:t>
                      </w:r>
                      <w:r>
                        <w:rPr>
                          <w:szCs w:val="24"/>
                          <w:lang w:eastAsia="lt-LT"/>
                        </w:rPr>
                        <w:t xml:space="preserve"> metų VĮ OPEX padidėjimas/sumažėjimas, sąlygotas teisės aktų pasikeitimų </w:t>
                      </w:r>
                      <w:r>
                        <w:rPr>
                          <w:szCs w:val="24"/>
                        </w:rPr>
                        <w:t>ir/ar kitų objektyvių (nuo STO nepriklausančių) veiksnių</w:t>
                      </w:r>
                      <w:r>
                        <w:rPr>
                          <w:szCs w:val="24"/>
                          <w:lang w:eastAsia="lt-LT"/>
                        </w:rPr>
                        <w:t>;</w:t>
                      </w:r>
                    </w:p>
                    <w:p>
                      <w:pPr>
                        <w:tabs>
                          <w:tab w:val="left" w:pos="142"/>
                        </w:tabs>
                        <w:ind w:firstLine="709"/>
                        <w:jc w:val="both"/>
                        <w:rPr>
                          <w:szCs w:val="24"/>
                          <w:lang w:eastAsia="lt-LT"/>
                        </w:rPr>
                      </w:pPr>
                      <w:r>
                        <w:rPr>
                          <w:szCs w:val="24"/>
                          <w:lang w:eastAsia="lt-LT"/>
                        </w:rPr>
                        <w:t>OI</w:t>
                      </w:r>
                      <w:r>
                        <w:rPr>
                          <w:szCs w:val="24"/>
                          <w:vertAlign w:val="subscript"/>
                          <w:lang w:eastAsia="lt-LT"/>
                        </w:rPr>
                        <w:t>10,t</w:t>
                      </w:r>
                      <w:r>
                        <w:rPr>
                          <w:szCs w:val="24"/>
                          <w:lang w:eastAsia="lt-LT"/>
                        </w:rPr>
                        <w:t xml:space="preserve"> – planuojamos </w:t>
                      </w:r>
                      <w:r>
                        <w:rPr>
                          <w:i/>
                          <w:iCs/>
                          <w:szCs w:val="24"/>
                        </w:rPr>
                        <w:t>t</w:t>
                      </w:r>
                      <w:r>
                        <w:rPr>
                          <w:szCs w:val="24"/>
                          <w:lang w:eastAsia="lt-LT"/>
                        </w:rPr>
                        <w:t xml:space="preserve"> metų VĮ kitos pajamos;</w:t>
                      </w:r>
                    </w:p>
                    <w:p>
                      <w:pPr>
                        <w:ind w:left="709"/>
                        <w:jc w:val="both"/>
                        <w:rPr>
                          <w:szCs w:val="24"/>
                        </w:rPr>
                      </w:pPr>
                      <w:r>
                        <w:rPr>
                          <w:szCs w:val="24"/>
                          <w:lang w:eastAsia="lt-LT"/>
                        </w:rPr>
                        <w:t>K</w:t>
                      </w:r>
                      <w:r>
                        <w:rPr>
                          <w:szCs w:val="24"/>
                          <w:vertAlign w:val="subscript"/>
                          <w:lang w:eastAsia="lt-LT"/>
                        </w:rPr>
                        <w:t xml:space="preserve">10,t </w:t>
                      </w:r>
                      <w:r>
                        <w:rPr>
                          <w:szCs w:val="24"/>
                          <w:lang w:eastAsia="lt-LT"/>
                        </w:rPr>
                        <w:t>– Komisijos nustatyta praėjusių laikotarpių VĮ investicijų grąžos korekcija.</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sdtContent>
                </w:sdt>
                <w:sdt>
                  <w:sdtPr>
                    <w:alias w:val="75 p."/>
                    <w:tag w:val="part_1a82922ff1ba4ceda93618d869df7331"/>
                    <w:lock w:val="sdtLocked"/>
                    <w:richText/>
                  </w:sdtPr>
                  <w:sdtContent>
                    <w:p>
                      <w:pPr>
                        <w:tabs>
                          <w:tab w:val="left" w:pos="1134"/>
                        </w:tabs>
                        <w:ind w:firstLine="709"/>
                        <w:jc w:val="both"/>
                        <w:rPr>
                          <w:szCs w:val="24"/>
                        </w:rPr>
                      </w:pPr>
                      <w:sdt>
                        <w:sdtPr>
                          <w:alias w:val="Numeris"/>
                          <w:tag w:val="nr_1a82922ff1ba4ceda93618d869df7331"/>
                          <w:lock w:val="sdtLocked"/>
                          <w:richText/>
                        </w:sdtPr>
                        <w:sdtContent>
                          <w:r>
                            <w:rPr>
                              <w:szCs w:val="24"/>
                            </w:rPr>
                            <w:t>75</w:t>
                          </w:r>
                        </w:sdtContent>
                      </w:sdt>
                      <w:r>
                        <w:rPr>
                          <w:szCs w:val="24"/>
                        </w:rPr>
                        <w:t xml:space="preserve">. </w:t>
                      </w:r>
                      <w:r>
                        <w:rPr>
                          <w:szCs w:val="24"/>
                          <w:lang w:eastAsia="lt-LT"/>
                        </w:rPr>
                        <w:t xml:space="preserve">Koreguoti </w:t>
                      </w:r>
                      <w:r>
                        <w:rPr>
                          <w:i/>
                          <w:szCs w:val="24"/>
                          <w:lang w:eastAsia="lt-LT"/>
                        </w:rPr>
                        <w:t>t</w:t>
                      </w:r>
                      <w:r>
                        <w:rPr>
                          <w:szCs w:val="24"/>
                          <w:lang w:eastAsia="lt-LT"/>
                        </w:rPr>
                        <w:t xml:space="preserve"> metų OPEX(be DU) kaštai</w:t>
                      </w:r>
                      <w:r>
                        <w:rPr>
                          <w:szCs w:val="24"/>
                        </w:rPr>
                        <w:t xml:space="preserve"> atitinkamos įtampos tinkle apskaičiuojami pagal formules:</w:t>
                      </w:r>
                    </w:p>
                    <w:p>
                      <w:pPr>
                        <w:tabs>
                          <w:tab w:val="left" w:pos="1134"/>
                        </w:tabs>
                        <w:ind w:firstLine="709"/>
                        <w:jc w:val="center"/>
                        <w:rPr>
                          <w:szCs w:val="24"/>
                        </w:rPr>
                      </w:pPr>
                    </w:p>
                    <w:p>
                      <w:pPr>
                        <w:tabs>
                          <w:tab w:val="left" w:pos="1134"/>
                        </w:tabs>
                        <w:ind w:firstLine="2880"/>
                        <w:jc w:val="both"/>
                        <w:rPr>
                          <w:szCs w:val="24"/>
                        </w:rPr>
                      </w:pPr>
                      <m:oMath>
                        <m:sSub>
                          <m:sSubPr>
                            <m:ctrlPr>
                              <w:rPr>
                                <w:rFonts w:ascii="Cambria Math" w:hAnsi="Cambria Math"/>
                                <w:i/>
                                <w:szCs w:val="24"/>
                              </w:rPr>
                            </m:ctrlPr>
                          </m:sSubPr>
                          <m:e>
                            <m:r>
                              <w:rPr>
                                <w:rFonts w:ascii="Cambria Math" w:hAnsi="Cambria Math"/>
                                <w:szCs w:val="24"/>
                              </w:rPr>
                              <m:t>OPEX</m:t>
                            </m:r>
                            <m:r>
                              <w:rPr>
                                <w:rFonts w:ascii="Cambria Math" w:hAnsi="Cambria Math"/>
                                <w:szCs w:val="24"/>
                              </w:rPr>
                              <m:t>'</m:t>
                            </m:r>
                          </m:e>
                          <m:sub>
                            <m:d>
                              <m:dPr>
                                <m:ctrlPr>
                                  <w:rPr>
                                    <w:rFonts w:ascii="Cambria Math" w:hAnsi="Cambria Math"/>
                                    <w:i/>
                                    <w:szCs w:val="24"/>
                                  </w:rPr>
                                </m:ctrlPr>
                              </m:dPr>
                              <m:e>
                                <m:r>
                                  <w:rPr>
                                    <w:rFonts w:ascii="Cambria Math" w:hAnsi="Cambria Math"/>
                                    <w:szCs w:val="24"/>
                                  </w:rPr>
                                  <m:t>be</m:t>
                                </m:r>
                                <m:r>
                                  <w:rPr>
                                    <w:rFonts w:ascii="Cambria Math" w:hAnsi="Cambria Math"/>
                                    <w:szCs w:val="24"/>
                                  </w:rPr>
                                  <m:t xml:space="preserve"> </m:t>
                                </m:r>
                                <m:r>
                                  <w:rPr>
                                    <w:rFonts w:ascii="Cambria Math" w:hAnsi="Cambria Math"/>
                                    <w:szCs w:val="24"/>
                                  </w:rPr>
                                  <m:t>DU</m:t>
                                </m:r>
                              </m:e>
                            </m:d>
                            <m:r>
                              <w:rPr>
                                <w:rFonts w:ascii="Cambria Math" w:hAnsi="Cambria Math"/>
                                <w:szCs w:val="24"/>
                              </w:rPr>
                              <m:t>04,</m:t>
                            </m:r>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OPEX</m:t>
                            </m:r>
                          </m:e>
                          <m:sub>
                            <m:d>
                              <m:dPr>
                                <m:ctrlPr>
                                  <w:rPr>
                                    <w:rFonts w:ascii="Cambria Math" w:hAnsi="Cambria Math"/>
                                    <w:i/>
                                    <w:szCs w:val="24"/>
                                  </w:rPr>
                                </m:ctrlPr>
                              </m:dPr>
                              <m:e>
                                <m:r>
                                  <w:rPr>
                                    <w:rFonts w:ascii="Cambria Math" w:hAnsi="Cambria Math"/>
                                    <w:szCs w:val="24"/>
                                  </w:rPr>
                                  <m:t>be</m:t>
                                </m:r>
                                <m:r>
                                  <w:rPr>
                                    <w:rFonts w:ascii="Cambria Math" w:hAnsi="Cambria Math"/>
                                    <w:szCs w:val="24"/>
                                  </w:rPr>
                                  <m:t xml:space="preserve"> </m:t>
                                </m:r>
                                <m:r>
                                  <w:rPr>
                                    <w:rFonts w:ascii="Cambria Math" w:hAnsi="Cambria Math"/>
                                    <w:szCs w:val="24"/>
                                  </w:rPr>
                                  <m:t>DU</m:t>
                                </m:r>
                              </m:e>
                            </m:d>
                            <m:r>
                              <w:rPr>
                                <w:rFonts w:ascii="Cambria Math" w:hAnsi="Cambria Math"/>
                                <w:szCs w:val="24"/>
                              </w:rPr>
                              <m:t>04</m:t>
                            </m:r>
                          </m:sub>
                        </m:sSub>
                        <m:r>
                          <w:rPr>
                            <w:rFonts w:ascii="Cambria Math" w:hAnsi="Cambria Math"/>
                            <w:szCs w:val="24"/>
                          </w:rPr>
                          <m:t xml:space="preserve"> ×</m:t>
                        </m:r>
                        <m:sSub>
                          <m:sSubPr>
                            <m:ctrlPr>
                              <w:rPr>
                                <w:rFonts w:ascii="Cambria Math" w:hAnsi="Cambria Math"/>
                                <w:i/>
                                <w:szCs w:val="24"/>
                              </w:rPr>
                            </m:ctrlPr>
                          </m:sSubPr>
                          <m:e>
                            <m:r>
                              <w:rPr>
                                <w:rFonts w:ascii="Cambria Math" w:hAnsi="Cambria Math"/>
                                <w:szCs w:val="24"/>
                              </w:rPr>
                              <m:t>I</m:t>
                            </m:r>
                            <m:r>
                              <w:rPr>
                                <w:rFonts w:ascii="Cambria Math" w:hAnsi="Cambria Math"/>
                                <w:szCs w:val="24"/>
                              </w:rPr>
                              <m:t>K</m:t>
                            </m:r>
                          </m:e>
                          <m:sub>
                            <m:r>
                              <w:rPr>
                                <w:rFonts w:ascii="Cambria Math" w:hAnsi="Cambria Math"/>
                                <w:szCs w:val="24"/>
                              </w:rPr>
                              <m:t xml:space="preserve"> </m:t>
                            </m:r>
                            <m:r>
                              <w:rPr>
                                <w:rFonts w:ascii="Cambria Math" w:hAnsi="Cambria Math"/>
                                <w:szCs w:val="24"/>
                              </w:rPr>
                              <m:t>t</m:t>
                            </m:r>
                          </m:sub>
                        </m:sSub>
                      </m:oMath>
                      <w:r>
                        <w:rPr>
                          <w:szCs w:val="24"/>
                        </w:rPr>
                        <w:tab/>
                        <w:t>(43)</w:t>
                      </w:r>
                    </w:p>
                    <w:p>
                      <w:pPr>
                        <w:tabs>
                          <w:tab w:val="left" w:pos="1134"/>
                        </w:tabs>
                        <w:ind w:firstLine="709"/>
                        <w:jc w:val="both"/>
                        <w:rPr>
                          <w:szCs w:val="24"/>
                        </w:rPr>
                      </w:pPr>
                    </w:p>
                    <w:p>
                      <w:pPr>
                        <w:tabs>
                          <w:tab w:val="left" w:pos="1134"/>
                        </w:tabs>
                        <w:ind w:firstLine="2880"/>
                        <w:jc w:val="both"/>
                        <w:rPr>
                          <w:szCs w:val="24"/>
                        </w:rPr>
                      </w:pPr>
                      <m:oMath>
                        <m:sSub>
                          <m:sSubPr>
                            <m:ctrlPr>
                              <w:rPr>
                                <w:rFonts w:ascii="Cambria Math" w:hAnsi="Cambria Math"/>
                                <w:i/>
                                <w:szCs w:val="24"/>
                              </w:rPr>
                            </m:ctrlPr>
                          </m:sSubPr>
                          <m:e>
                            <m:r>
                              <w:rPr>
                                <w:rFonts w:ascii="Cambria Math" w:hAnsi="Cambria Math"/>
                                <w:szCs w:val="24"/>
                              </w:rPr>
                              <m:t>OPEX</m:t>
                            </m:r>
                            <m:r>
                              <w:rPr>
                                <w:rFonts w:ascii="Cambria Math" w:hAnsi="Cambria Math"/>
                                <w:szCs w:val="24"/>
                              </w:rPr>
                              <m:t>'</m:t>
                            </m:r>
                          </m:e>
                          <m:sub>
                            <m:d>
                              <m:dPr>
                                <m:ctrlPr>
                                  <w:rPr>
                                    <w:rFonts w:ascii="Cambria Math" w:hAnsi="Cambria Math"/>
                                    <w:i/>
                                    <w:szCs w:val="24"/>
                                  </w:rPr>
                                </m:ctrlPr>
                              </m:dPr>
                              <m:e>
                                <m:r>
                                  <w:rPr>
                                    <w:rFonts w:ascii="Cambria Math" w:hAnsi="Cambria Math"/>
                                    <w:szCs w:val="24"/>
                                  </w:rPr>
                                  <m:t>be</m:t>
                                </m:r>
                                <m:r>
                                  <w:rPr>
                                    <w:rFonts w:ascii="Cambria Math" w:hAnsi="Cambria Math"/>
                                    <w:szCs w:val="24"/>
                                  </w:rPr>
                                  <m:t xml:space="preserve"> </m:t>
                                </m:r>
                                <m:r>
                                  <w:rPr>
                                    <w:rFonts w:ascii="Cambria Math" w:hAnsi="Cambria Math"/>
                                    <w:szCs w:val="24"/>
                                  </w:rPr>
                                  <m:t>DU</m:t>
                                </m:r>
                              </m:e>
                            </m:d>
                            <m:r>
                              <w:rPr>
                                <w:rFonts w:ascii="Cambria Math" w:hAnsi="Cambria Math"/>
                                <w:szCs w:val="24"/>
                              </w:rPr>
                              <m:t>10,</m:t>
                            </m:r>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OPEX</m:t>
                            </m:r>
                          </m:e>
                          <m:sub>
                            <m:d>
                              <m:dPr>
                                <m:ctrlPr>
                                  <w:rPr>
                                    <w:rFonts w:ascii="Cambria Math" w:hAnsi="Cambria Math"/>
                                    <w:i/>
                                    <w:szCs w:val="24"/>
                                  </w:rPr>
                                </m:ctrlPr>
                              </m:dPr>
                              <m:e>
                                <m:r>
                                  <w:rPr>
                                    <w:rFonts w:ascii="Cambria Math" w:hAnsi="Cambria Math"/>
                                    <w:szCs w:val="24"/>
                                  </w:rPr>
                                  <m:t>be</m:t>
                                </m:r>
                                <m:r>
                                  <w:rPr>
                                    <w:rFonts w:ascii="Cambria Math" w:hAnsi="Cambria Math"/>
                                    <w:szCs w:val="24"/>
                                  </w:rPr>
                                  <m:t xml:space="preserve"> </m:t>
                                </m:r>
                                <m:r>
                                  <w:rPr>
                                    <w:rFonts w:ascii="Cambria Math" w:hAnsi="Cambria Math"/>
                                    <w:szCs w:val="24"/>
                                  </w:rPr>
                                  <m:t>DU</m:t>
                                </m:r>
                              </m:e>
                            </m:d>
                            <m:r>
                              <w:rPr>
                                <w:rFonts w:ascii="Cambria Math" w:hAnsi="Cambria Math"/>
                                <w:szCs w:val="24"/>
                              </w:rPr>
                              <m:t>10</m:t>
                            </m:r>
                          </m:sub>
                        </m:sSub>
                        <m:r>
                          <w:rPr>
                            <w:rFonts w:ascii="Cambria Math" w:hAnsi="Cambria Math"/>
                            <w:szCs w:val="24"/>
                          </w:rPr>
                          <m:t xml:space="preserve"> ×</m:t>
                        </m:r>
                        <m:sSub>
                          <m:sSubPr>
                            <m:ctrlPr>
                              <w:rPr>
                                <w:rFonts w:ascii="Cambria Math" w:hAnsi="Cambria Math"/>
                                <w:i/>
                                <w:szCs w:val="24"/>
                              </w:rPr>
                            </m:ctrlPr>
                          </m:sSubPr>
                          <m:e>
                            <m:r>
                              <w:rPr>
                                <w:rFonts w:ascii="Cambria Math" w:hAnsi="Cambria Math"/>
                                <w:szCs w:val="24"/>
                              </w:rPr>
                              <m:t>IK</m:t>
                            </m:r>
                          </m:e>
                          <m:sub>
                            <m:r>
                              <w:rPr>
                                <w:rFonts w:ascii="Cambria Math" w:hAnsi="Cambria Math"/>
                                <w:szCs w:val="24"/>
                              </w:rPr>
                              <m:t xml:space="preserve"> </m:t>
                            </m:r>
                            <m:r>
                              <w:rPr>
                                <w:rFonts w:ascii="Cambria Math" w:hAnsi="Cambria Math"/>
                                <w:szCs w:val="24"/>
                              </w:rPr>
                              <m:t>t</m:t>
                            </m:r>
                          </m:sub>
                        </m:sSub>
                      </m:oMath>
                      <w:r>
                        <w:rPr>
                          <w:szCs w:val="24"/>
                        </w:rPr>
                        <w:tab/>
                        <w:t>(43</w:t>
                      </w:r>
                      <w:r>
                        <w:rPr>
                          <w:szCs w:val="24"/>
                          <w:vertAlign w:val="superscript"/>
                        </w:rPr>
                        <w:t>1</w:t>
                      </w:r>
                      <w:r>
                        <w:rPr>
                          <w:szCs w:val="24"/>
                        </w:rPr>
                        <w:t>)</w:t>
                      </w:r>
                    </w:p>
                    <w:p>
                      <w:pPr>
                        <w:tabs>
                          <w:tab w:val="left" w:pos="1134"/>
                        </w:tabs>
                        <w:ind w:firstLine="709"/>
                        <w:jc w:val="both"/>
                        <w:rPr>
                          <w:szCs w:val="24"/>
                        </w:rPr>
                      </w:pPr>
                    </w:p>
                    <w:p>
                      <w:pPr>
                        <w:tabs>
                          <w:tab w:val="left" w:pos="1134"/>
                          <w:tab w:val="left" w:pos="1843"/>
                          <w:tab w:val="left" w:pos="2268"/>
                        </w:tabs>
                        <w:ind w:firstLine="709"/>
                        <w:jc w:val="both"/>
                        <w:rPr>
                          <w:i/>
                          <w:szCs w:val="24"/>
                        </w:rPr>
                      </w:pPr>
                      <w:r>
                        <w:rPr>
                          <w:i/>
                          <w:szCs w:val="24"/>
                        </w:rPr>
                        <w:t>čia:</w:t>
                      </w:r>
                    </w:p>
                    <w:p>
                      <w:pPr>
                        <w:tabs>
                          <w:tab w:val="left" w:pos="1134"/>
                          <w:tab w:val="left" w:pos="1843"/>
                          <w:tab w:val="left" w:pos="2268"/>
                        </w:tabs>
                        <w:ind w:firstLine="709"/>
                        <w:jc w:val="both"/>
                        <w:rPr>
                          <w:szCs w:val="24"/>
                          <w:lang w:eastAsia="lt-LT"/>
                        </w:rPr>
                      </w:pPr>
                      <w:r>
                        <w:rPr>
                          <w:szCs w:val="24"/>
                          <w:lang w:eastAsia="lt-LT"/>
                        </w:rPr>
                        <w:t>OPEX‘</w:t>
                      </w:r>
                      <w:r>
                        <w:rPr>
                          <w:szCs w:val="24"/>
                          <w:vertAlign w:val="subscript"/>
                          <w:lang w:eastAsia="lt-LT"/>
                        </w:rPr>
                        <w:t xml:space="preserve"> (be DU)04,t </w:t>
                      </w:r>
                      <w:r>
                        <w:rPr>
                          <w:szCs w:val="24"/>
                          <w:lang w:eastAsia="lt-LT"/>
                        </w:rPr>
                        <w:t xml:space="preserve">– koreguoti </w:t>
                      </w:r>
                      <w:r>
                        <w:rPr>
                          <w:i/>
                          <w:szCs w:val="24"/>
                          <w:lang w:eastAsia="lt-LT"/>
                        </w:rPr>
                        <w:t>t</w:t>
                      </w:r>
                      <w:r>
                        <w:rPr>
                          <w:szCs w:val="24"/>
                          <w:lang w:eastAsia="lt-LT"/>
                        </w:rPr>
                        <w:t xml:space="preserve"> metų ŽĮ OPEX(be DU) kaštai;</w:t>
                      </w:r>
                    </w:p>
                    <w:p>
                      <w:pPr>
                        <w:tabs>
                          <w:tab w:val="left" w:pos="1134"/>
                          <w:tab w:val="left" w:pos="1843"/>
                          <w:tab w:val="left" w:pos="2268"/>
                        </w:tabs>
                        <w:ind w:firstLine="709"/>
                        <w:jc w:val="both"/>
                        <w:rPr>
                          <w:szCs w:val="24"/>
                          <w:lang w:eastAsia="lt-LT"/>
                        </w:rPr>
                      </w:pPr>
                      <w:r>
                        <w:rPr>
                          <w:szCs w:val="24"/>
                          <w:lang w:eastAsia="lt-LT"/>
                        </w:rPr>
                        <w:t>OPEX</w:t>
                      </w:r>
                      <w:r>
                        <w:rPr>
                          <w:szCs w:val="24"/>
                          <w:vertAlign w:val="subscript"/>
                          <w:lang w:eastAsia="lt-LT"/>
                        </w:rPr>
                        <w:t xml:space="preserve"> (be DU)04 </w:t>
                      </w:r>
                      <w:r>
                        <w:rPr>
                          <w:szCs w:val="24"/>
                          <w:lang w:eastAsia="lt-LT"/>
                        </w:rPr>
                        <w:t>– reguliavimo periodo baziniai ŽĮ OPEX(be DU) kaštai;</w:t>
                      </w:r>
                    </w:p>
                    <w:p>
                      <w:pPr>
                        <w:tabs>
                          <w:tab w:val="left" w:pos="1134"/>
                          <w:tab w:val="left" w:pos="1843"/>
                          <w:tab w:val="left" w:pos="2268"/>
                        </w:tabs>
                        <w:ind w:firstLine="709"/>
                        <w:jc w:val="both"/>
                        <w:rPr>
                          <w:szCs w:val="24"/>
                          <w:lang w:eastAsia="lt-LT"/>
                        </w:rPr>
                      </w:pPr>
                      <w:r>
                        <w:rPr>
                          <w:szCs w:val="24"/>
                          <w:lang w:eastAsia="lt-LT"/>
                        </w:rPr>
                        <w:t>OPEX‘</w:t>
                      </w:r>
                      <w:r>
                        <w:rPr>
                          <w:szCs w:val="24"/>
                          <w:vertAlign w:val="subscript"/>
                          <w:lang w:eastAsia="lt-LT"/>
                        </w:rPr>
                        <w:t xml:space="preserve"> (be DU)10,t </w:t>
                      </w:r>
                      <w:r>
                        <w:rPr>
                          <w:szCs w:val="24"/>
                          <w:lang w:eastAsia="lt-LT"/>
                        </w:rPr>
                        <w:t xml:space="preserve">– koreguoti </w:t>
                      </w:r>
                      <w:r>
                        <w:rPr>
                          <w:i/>
                          <w:szCs w:val="24"/>
                          <w:lang w:eastAsia="lt-LT"/>
                        </w:rPr>
                        <w:t>t</w:t>
                      </w:r>
                      <w:r>
                        <w:rPr>
                          <w:szCs w:val="24"/>
                          <w:lang w:eastAsia="lt-LT"/>
                        </w:rPr>
                        <w:t xml:space="preserve"> metų VĮ OPEX (be DU) kaštai;</w:t>
                      </w:r>
                    </w:p>
                    <w:p>
                      <w:pPr>
                        <w:tabs>
                          <w:tab w:val="left" w:pos="1134"/>
                          <w:tab w:val="left" w:pos="1843"/>
                          <w:tab w:val="left" w:pos="2268"/>
                        </w:tabs>
                        <w:ind w:firstLine="709"/>
                        <w:jc w:val="both"/>
                        <w:rPr>
                          <w:szCs w:val="24"/>
                          <w:lang w:eastAsia="lt-LT"/>
                        </w:rPr>
                      </w:pPr>
                      <w:r>
                        <w:rPr>
                          <w:szCs w:val="24"/>
                          <w:lang w:eastAsia="lt-LT"/>
                        </w:rPr>
                        <w:t>OPEX</w:t>
                      </w:r>
                      <w:r>
                        <w:rPr>
                          <w:szCs w:val="24"/>
                          <w:vertAlign w:val="subscript"/>
                          <w:lang w:eastAsia="lt-LT"/>
                        </w:rPr>
                        <w:t xml:space="preserve"> (be DU)10 </w:t>
                      </w:r>
                      <w:r>
                        <w:rPr>
                          <w:szCs w:val="24"/>
                          <w:lang w:eastAsia="lt-LT"/>
                        </w:rPr>
                        <w:t>– reguliavimo periodo baziniai VĮ OPEX(be DU) kaštai;</w:t>
                      </w:r>
                    </w:p>
                    <w:p>
                      <w:pPr>
                        <w:tabs>
                          <w:tab w:val="left" w:pos="1134"/>
                          <w:tab w:val="left" w:pos="1843"/>
                          <w:tab w:val="left" w:pos="2268"/>
                        </w:tabs>
                        <w:ind w:firstLine="709"/>
                        <w:jc w:val="both"/>
                        <w:rPr>
                          <w:szCs w:val="24"/>
                          <w:lang w:eastAsia="lt-LT"/>
                        </w:rPr>
                      </w:pPr>
                      <w:r>
                        <w:rPr>
                          <w:szCs w:val="24"/>
                        </w:rPr>
                        <w:t>IK</w:t>
                      </w:r>
                      <w:r>
                        <w:rPr>
                          <w:szCs w:val="24"/>
                          <w:vertAlign w:val="subscript"/>
                        </w:rPr>
                        <w:t>t</w:t>
                      </w:r>
                      <w:r>
                        <w:rPr>
                          <w:szCs w:val="24"/>
                        </w:rPr>
                        <w:t xml:space="preserve"> – </w:t>
                      </w:r>
                      <w:r>
                        <w:rPr>
                          <w:i/>
                          <w:szCs w:val="24"/>
                        </w:rPr>
                        <w:t>t</w:t>
                      </w:r>
                      <w:r>
                        <w:rPr>
                          <w:szCs w:val="24"/>
                        </w:rPr>
                        <w:t xml:space="preserve"> metų infliacijos koeficientas, </w:t>
                      </w:r>
                      <w:r>
                        <w:rPr>
                          <w:szCs w:val="24"/>
                          <w:lang w:eastAsia="lt-LT"/>
                        </w:rPr>
                        <w:t>kuris apskaičiuojamas pagal formulę:</w:t>
                      </w:r>
                    </w:p>
                    <w:p>
                      <w:pPr>
                        <w:tabs>
                          <w:tab w:val="left" w:pos="1134"/>
                          <w:tab w:val="left" w:pos="1843"/>
                          <w:tab w:val="left" w:pos="2268"/>
                        </w:tabs>
                        <w:jc w:val="both"/>
                        <w:rPr>
                          <w:szCs w:val="24"/>
                          <w:lang w:eastAsia="lt-LT"/>
                        </w:rPr>
                      </w:pPr>
                    </w:p>
                    <w:p>
                      <w:pPr>
                        <w:tabs>
                          <w:tab w:val="left" w:pos="1134"/>
                          <w:tab w:val="left" w:pos="1843"/>
                          <w:tab w:val="left" w:pos="2268"/>
                        </w:tabs>
                        <w:ind w:firstLine="3600"/>
                        <w:jc w:val="both"/>
                        <w:rPr>
                          <w:szCs w:val="24"/>
                          <w:lang w:eastAsia="lt-LT"/>
                        </w:rPr>
                      </w:pPr>
                      <m:oMath>
                        <m:sSub>
                          <m:sSubPr>
                            <m:ctrlPr>
                              <w:rPr>
                                <w:rFonts w:ascii="Cambria Math" w:hAnsi="Cambria Math"/>
                                <w:i/>
                                <w:szCs w:val="24"/>
                              </w:rPr>
                            </m:ctrlPr>
                          </m:sSubPr>
                          <m:e>
                            <m:r>
                              <w:rPr>
                                <w:rFonts w:ascii="Cambria Math" w:hAnsi="Cambria Math"/>
                                <w:szCs w:val="24"/>
                              </w:rPr>
                              <m:t xml:space="preserve"> </m:t>
                            </m:r>
                            <m:r>
                              <w:rPr>
                                <w:rFonts w:ascii="Cambria Math" w:hAnsi="Cambria Math"/>
                                <w:szCs w:val="24"/>
                              </w:rPr>
                              <m:t>IK</m:t>
                            </m:r>
                          </m:e>
                          <m:sub>
                            <m:r>
                              <w:rPr>
                                <w:rFonts w:ascii="Cambria Math" w:hAnsi="Cambria Math"/>
                                <w:szCs w:val="24"/>
                              </w:rPr>
                              <m:t xml:space="preserve"> </m:t>
                            </m:r>
                            <m:r>
                              <w:rPr>
                                <w:rFonts w:ascii="Cambria Math" w:hAnsi="Cambria Math"/>
                                <w:szCs w:val="24"/>
                              </w:rPr>
                              <m:t>t</m:t>
                            </m:r>
                          </m:sub>
                        </m:sSub>
                        <m:r>
                          <w:rPr>
                            <w:rFonts w:ascii="Cambria Math" w:hAnsi="Cambria Math"/>
                            <w:szCs w:val="24"/>
                          </w:rPr>
                          <m:t>= (1+</m:t>
                        </m:r>
                        <m:f>
                          <m:fPr>
                            <m:ctrlPr>
                              <w:rPr>
                                <w:rFonts w:ascii="Cambria Math" w:hAnsi="Cambria Math"/>
                                <w:i/>
                                <w:szCs w:val="24"/>
                              </w:rPr>
                            </m:ctrlPr>
                          </m:fPr>
                          <m:num>
                            <m:r>
                              <w:rPr>
                                <w:rFonts w:ascii="Cambria Math" w:hAnsi="Cambria Math"/>
                                <w:szCs w:val="24"/>
                              </w:rPr>
                              <m:t xml:space="preserve"> </m:t>
                            </m:r>
                            <m:sSub>
                              <m:sSubPr>
                                <m:ctrlPr>
                                  <w:rPr>
                                    <w:rFonts w:ascii="Cambria Math" w:hAnsi="Cambria Math"/>
                                    <w:i/>
                                    <w:szCs w:val="24"/>
                                  </w:rPr>
                                </m:ctrlPr>
                              </m:sSubPr>
                              <m:e>
                                <m:r>
                                  <w:rPr>
                                    <w:rFonts w:ascii="Cambria Math" w:hAnsi="Cambria Math"/>
                                    <w:szCs w:val="24"/>
                                  </w:rPr>
                                  <m:t>i</m:t>
                                </m:r>
                              </m:e>
                              <m:sub>
                                <m:r>
                                  <w:rPr>
                                    <w:rFonts w:ascii="Cambria Math" w:hAnsi="Cambria Math"/>
                                    <w:szCs w:val="24"/>
                                  </w:rPr>
                                  <m:t xml:space="preserve"> </m:t>
                                </m:r>
                                <m:r>
                                  <w:rPr>
                                    <w:rFonts w:ascii="Cambria Math" w:hAnsi="Cambria Math"/>
                                    <w:szCs w:val="24"/>
                                  </w:rPr>
                                  <m:t>t</m:t>
                                </m:r>
                              </m:sub>
                            </m:sSub>
                            <m:r>
                              <w:rPr>
                                <w:rFonts w:ascii="Cambria Math" w:hAnsi="Cambria Math"/>
                                <w:szCs w:val="24"/>
                              </w:rPr>
                              <m:t>-</m:t>
                            </m:r>
                            <m:r>
                              <w:rPr>
                                <w:rFonts w:ascii="Cambria Math" w:hAnsi="Cambria Math"/>
                                <w:szCs w:val="24"/>
                              </w:rPr>
                              <m:t>e</m:t>
                            </m:r>
                          </m:num>
                          <m:den>
                            <m:r>
                              <w:rPr>
                                <w:rFonts w:ascii="Cambria Math" w:hAnsi="Cambria Math"/>
                                <w:szCs w:val="24"/>
                              </w:rPr>
                              <m:t>100</m:t>
                            </m:r>
                          </m:den>
                        </m:f>
                        <m:r>
                          <w:rPr>
                            <w:rFonts w:ascii="Cambria Math" w:hAnsi="Cambria Math"/>
                            <w:szCs w:val="24"/>
                          </w:rPr>
                          <m:t>)×</m:t>
                        </m:r>
                        <m:sSub>
                          <m:sSubPr>
                            <m:ctrlPr>
                              <w:rPr>
                                <w:rFonts w:ascii="Cambria Math" w:hAnsi="Cambria Math"/>
                                <w:i/>
                                <w:szCs w:val="24"/>
                              </w:rPr>
                            </m:ctrlPr>
                          </m:sSubPr>
                          <m:e>
                            <m:r>
                              <w:rPr>
                                <w:rFonts w:ascii="Cambria Math" w:hAnsi="Cambria Math"/>
                                <w:szCs w:val="24"/>
                              </w:rPr>
                              <m:t>IK</m:t>
                            </m:r>
                          </m:e>
                          <m:sub>
                            <m:r>
                              <w:rPr>
                                <w:rFonts w:ascii="Cambria Math" w:hAnsi="Cambria Math"/>
                                <w:szCs w:val="24"/>
                              </w:rPr>
                              <m:t xml:space="preserve"> </m:t>
                            </m:r>
                            <m:r>
                              <w:rPr>
                                <w:rFonts w:ascii="Cambria Math" w:hAnsi="Cambria Math"/>
                                <w:szCs w:val="24"/>
                              </w:rPr>
                              <m:t>t</m:t>
                            </m:r>
                            <m:r>
                              <w:rPr>
                                <w:rFonts w:ascii="Cambria Math" w:hAnsi="Cambria Math"/>
                                <w:szCs w:val="24"/>
                              </w:rPr>
                              <m:t>-1</m:t>
                            </m:r>
                          </m:sub>
                        </m:sSub>
                      </m:oMath>
                      <w:r>
                        <w:rPr>
                          <w:szCs w:val="24"/>
                        </w:rPr>
                        <w:tab/>
                        <w:tab/>
                        <w:t>(43</w:t>
                      </w:r>
                      <w:r>
                        <w:rPr>
                          <w:szCs w:val="24"/>
                          <w:vertAlign w:val="superscript"/>
                        </w:rPr>
                        <w:t>2</w:t>
                      </w:r>
                      <w:r>
                        <w:rPr>
                          <w:szCs w:val="24"/>
                        </w:rPr>
                        <w:t>)</w:t>
                      </w:r>
                    </w:p>
                    <w:p>
                      <w:pPr>
                        <w:tabs>
                          <w:tab w:val="left" w:pos="1134"/>
                          <w:tab w:val="left" w:pos="1843"/>
                          <w:tab w:val="left" w:pos="2268"/>
                        </w:tabs>
                        <w:jc w:val="both"/>
                        <w:rPr>
                          <w:szCs w:val="24"/>
                        </w:rPr>
                      </w:pPr>
                    </w:p>
                    <w:p>
                      <w:pPr>
                        <w:tabs>
                          <w:tab w:val="left" w:pos="1134"/>
                          <w:tab w:val="left" w:pos="1843"/>
                          <w:tab w:val="left" w:pos="2268"/>
                        </w:tabs>
                        <w:ind w:firstLine="709"/>
                        <w:jc w:val="both"/>
                        <w:rPr>
                          <w:i/>
                          <w:szCs w:val="24"/>
                        </w:rPr>
                      </w:pPr>
                      <w:r>
                        <w:rPr>
                          <w:i/>
                          <w:szCs w:val="24"/>
                        </w:rPr>
                        <w:t>čia:</w:t>
                      </w:r>
                    </w:p>
                    <w:p>
                      <w:pPr>
                        <w:ind w:firstLine="709"/>
                        <w:jc w:val="both"/>
                        <w:rPr>
                          <w:szCs w:val="24"/>
                          <w:lang w:eastAsia="lt-LT"/>
                        </w:rPr>
                      </w:pPr>
                      <w:r>
                        <w:rPr>
                          <w:szCs w:val="24"/>
                          <w:lang w:eastAsia="lt-LT"/>
                        </w:rPr>
                        <w:t>i</w:t>
                      </w:r>
                      <w:r>
                        <w:rPr>
                          <w:szCs w:val="24"/>
                          <w:vertAlign w:val="subscript"/>
                          <w:lang w:eastAsia="lt-LT"/>
                        </w:rPr>
                        <w:t>t</w:t>
                      </w:r>
                      <w:r>
                        <w:rPr>
                          <w:szCs w:val="24"/>
                          <w:lang w:eastAsia="lt-LT"/>
                        </w:rPr>
                        <w:t xml:space="preserve"> – vidutinio metinio vartotojų kainų indekso pokytis metais </w:t>
                      </w:r>
                      <w:r>
                        <w:rPr>
                          <w:i/>
                          <w:szCs w:val="24"/>
                          <w:lang w:eastAsia="lt-LT"/>
                        </w:rPr>
                        <w:t>t</w:t>
                      </w:r>
                      <w:r>
                        <w:rPr>
                          <w:szCs w:val="24"/>
                          <w:lang w:eastAsia="lt-LT"/>
                        </w:rPr>
                        <w:t xml:space="preserve"> lyginant su atitinkamu indeksu metais </w:t>
                      </w:r>
                      <w:r>
                        <w:rPr>
                          <w:i/>
                          <w:szCs w:val="24"/>
                          <w:lang w:eastAsia="lt-LT"/>
                        </w:rPr>
                        <w:t>t-1</w:t>
                      </w:r>
                      <w:r>
                        <w:rPr>
                          <w:szCs w:val="24"/>
                          <w:lang w:eastAsia="lt-LT"/>
                        </w:rPr>
                        <w:t xml:space="preserve">, %. Jis nustatomas pagal Finansų ministerijos skelbiamus naujausius duomenis. Nesant Finansų ministerijos duomenų, nustatoma pagal Lietuvos banko duomenis; </w:t>
                      </w:r>
                    </w:p>
                    <w:p>
                      <w:pPr>
                        <w:tabs>
                          <w:tab w:val="left" w:pos="1134"/>
                        </w:tabs>
                        <w:ind w:firstLine="709"/>
                        <w:jc w:val="both"/>
                      </w:pPr>
                      <w:r>
                        <w:rPr>
                          <w:szCs w:val="24"/>
                          <w:lang w:eastAsia="lt-LT"/>
                        </w:rPr>
                        <w:t>e – efektyvumo koeficientas, %;</w:t>
                      </w:r>
                    </w:p>
                    <w:p>
                      <w:pPr>
                        <w:ind w:firstLine="709"/>
                        <w:jc w:val="both"/>
                        <w:rPr>
                          <w:szCs w:val="24"/>
                        </w:rPr>
                      </w:pPr>
                      <w:r>
                        <w:rPr>
                          <w:szCs w:val="24"/>
                        </w:rPr>
                        <w:t>IK</w:t>
                      </w:r>
                      <w:r>
                        <w:rPr>
                          <w:szCs w:val="24"/>
                          <w:vertAlign w:val="subscript"/>
                        </w:rPr>
                        <w:t>t-1</w:t>
                      </w:r>
                      <w:r>
                        <w:rPr>
                          <w:szCs w:val="24"/>
                        </w:rPr>
                        <w:t xml:space="preserve"> – </w:t>
                      </w:r>
                      <w:r>
                        <w:rPr>
                          <w:i/>
                          <w:szCs w:val="24"/>
                        </w:rPr>
                        <w:t>t-1</w:t>
                      </w:r>
                      <w:r>
                        <w:rPr>
                          <w:szCs w:val="24"/>
                        </w:rPr>
                        <w:t xml:space="preserve"> metų infliacijos koeficientas. Pirmųjų naujojo reguliavimo periodo metų infliacijos koeficientas lygus vienetui.</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sdtContent>
                </w:sdt>
                <w:sdt>
                  <w:sdtPr>
                    <w:alias w:val="76 p."/>
                    <w:tag w:val="part_d07c313857b347d784c5cbfeec54b757"/>
                    <w:lock w:val="sdtLocked"/>
                    <w:richText/>
                  </w:sdtPr>
                  <w:sdtContent>
                    <w:p>
                      <w:pPr>
                        <w:tabs>
                          <w:tab w:val="left" w:pos="1134"/>
                        </w:tabs>
                        <w:ind w:firstLine="709"/>
                        <w:jc w:val="both"/>
                        <w:rPr>
                          <w:szCs w:val="24"/>
                        </w:rPr>
                      </w:pPr>
                      <w:sdt>
                        <w:sdtPr>
                          <w:alias w:val="Numeris"/>
                          <w:tag w:val="nr_d07c313857b347d784c5cbfeec54b757"/>
                          <w:lock w:val="sdtLocked"/>
                          <w:richText/>
                        </w:sdtPr>
                        <w:sdtContent>
                          <w:r>
                            <w:rPr>
                              <w:szCs w:val="24"/>
                            </w:rPr>
                            <w:t>76</w:t>
                          </w:r>
                        </w:sdtContent>
                      </w:sdt>
                      <w:r>
                        <w:rPr>
                          <w:szCs w:val="24"/>
                        </w:rPr>
                        <w:t xml:space="preserve">. Koreguoti </w:t>
                      </w:r>
                      <w:r>
                        <w:rPr>
                          <w:i/>
                          <w:szCs w:val="24"/>
                          <w:lang w:eastAsia="lt-LT"/>
                        </w:rPr>
                        <w:t xml:space="preserve">t </w:t>
                      </w:r>
                      <w:r>
                        <w:rPr>
                          <w:szCs w:val="24"/>
                          <w:lang w:eastAsia="lt-LT"/>
                        </w:rPr>
                        <w:t>metų</w:t>
                      </w:r>
                      <w:r>
                        <w:rPr>
                          <w:szCs w:val="24"/>
                        </w:rPr>
                        <w:t xml:space="preserve"> OPEX(DU) kaštai atitinkamos įtampos tinkle apskaičiuojami pagal formules:</w:t>
                      </w:r>
                    </w:p>
                    <w:p>
                      <w:pPr>
                        <w:tabs>
                          <w:tab w:val="left" w:pos="1134"/>
                        </w:tabs>
                        <w:ind w:firstLine="709"/>
                        <w:jc w:val="both"/>
                        <w:rPr>
                          <w:szCs w:val="24"/>
                        </w:rPr>
                      </w:pPr>
                    </w:p>
                    <w:p>
                      <w:pPr>
                        <w:tabs>
                          <w:tab w:val="left" w:pos="567"/>
                          <w:tab w:val="left" w:pos="1843"/>
                          <w:tab w:val="left" w:pos="2268"/>
                        </w:tabs>
                        <w:jc w:val="center"/>
                        <w:rPr>
                          <w:szCs w:val="24"/>
                        </w:rPr>
                      </w:pPr>
                      <m:oMath>
                        <m:sSub>
                          <m:sSubPr>
                            <m:ctrlPr>
                              <w:rPr>
                                <w:rFonts w:ascii="Cambria Math" w:hAnsi="Cambria Math"/>
                                <w:i/>
                                <w:szCs w:val="24"/>
                              </w:rPr>
                            </m:ctrlPr>
                          </m:sSubPr>
                          <m:e>
                            <m:r>
                              <w:rPr>
                                <w:rFonts w:ascii="Cambria Math" w:hAnsi="Cambria Math"/>
                                <w:szCs w:val="24"/>
                              </w:rPr>
                              <m:t>OPEX</m:t>
                            </m:r>
                            <m:r>
                              <w:rPr>
                                <w:rFonts w:ascii="Cambria Math" w:hAnsi="Cambria Math"/>
                                <w:szCs w:val="24"/>
                              </w:rPr>
                              <m:t>'</m:t>
                            </m:r>
                          </m:e>
                          <m:sub>
                            <m:d>
                              <m:dPr>
                                <m:ctrlPr>
                                  <w:rPr>
                                    <w:rFonts w:ascii="Cambria Math" w:hAnsi="Cambria Math"/>
                                    <w:i/>
                                    <w:szCs w:val="24"/>
                                  </w:rPr>
                                </m:ctrlPr>
                              </m:dPr>
                              <m:e>
                                <m:r>
                                  <w:rPr>
                                    <w:rFonts w:ascii="Cambria Math" w:hAnsi="Cambria Math"/>
                                    <w:szCs w:val="24"/>
                                  </w:rPr>
                                  <m:t>DU</m:t>
                                </m:r>
                              </m:e>
                            </m:d>
                            <m:r>
                              <w:rPr>
                                <w:rFonts w:ascii="Cambria Math" w:hAnsi="Cambria Math"/>
                                <w:szCs w:val="24"/>
                              </w:rPr>
                              <m:t>0</m:t>
                            </m:r>
                            <m:r>
                              <w:rPr>
                                <w:rFonts w:ascii="Cambria Math" w:hAnsi="Cambria Math"/>
                                <w:szCs w:val="24"/>
                              </w:rPr>
                              <m:t>4,</m:t>
                            </m:r>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OPEX</m:t>
                            </m:r>
                          </m:e>
                          <m:sub>
                            <m:d>
                              <m:dPr>
                                <m:ctrlPr>
                                  <w:rPr>
                                    <w:rFonts w:ascii="Cambria Math" w:hAnsi="Cambria Math"/>
                                    <w:i/>
                                    <w:szCs w:val="24"/>
                                  </w:rPr>
                                </m:ctrlPr>
                              </m:dPr>
                              <m:e>
                                <m:r>
                                  <w:rPr>
                                    <w:rFonts w:ascii="Cambria Math" w:hAnsi="Cambria Math"/>
                                    <w:szCs w:val="24"/>
                                  </w:rPr>
                                  <m:t>DU</m:t>
                                </m:r>
                              </m:e>
                            </m:d>
                            <m:r>
                              <w:rPr>
                                <w:rFonts w:ascii="Cambria Math" w:hAnsi="Cambria Math"/>
                                <w:szCs w:val="24"/>
                              </w:rPr>
                              <m:t>04</m:t>
                            </m:r>
                          </m:sub>
                        </m:sSub>
                        <m:r>
                          <w:rPr>
                            <w:rFonts w:ascii="Cambria Math" w:hAnsi="Cambria Math"/>
                            <w:szCs w:val="24"/>
                          </w:rPr>
                          <m:t xml:space="preserve"> ×</m:t>
                        </m:r>
                        <m:sSub>
                          <m:sSubPr>
                            <m:ctrlPr>
                              <w:rPr>
                                <w:rFonts w:ascii="Cambria Math" w:hAnsi="Cambria Math"/>
                                <w:i/>
                                <w:szCs w:val="24"/>
                              </w:rPr>
                            </m:ctrlPr>
                          </m:sSubPr>
                          <m:e>
                            <m:r>
                              <w:rPr>
                                <w:rFonts w:ascii="Cambria Math" w:hAnsi="Cambria Math"/>
                                <w:szCs w:val="24"/>
                              </w:rPr>
                              <m:t>DK</m:t>
                            </m:r>
                          </m:e>
                          <m:sub>
                            <m:r>
                              <w:rPr>
                                <w:rFonts w:ascii="Cambria Math" w:hAnsi="Cambria Math"/>
                                <w:szCs w:val="24"/>
                              </w:rPr>
                              <m:t xml:space="preserve"> </m:t>
                            </m:r>
                            <m:r>
                              <w:rPr>
                                <w:rFonts w:ascii="Cambria Math" w:hAnsi="Cambria Math"/>
                                <w:szCs w:val="24"/>
                              </w:rPr>
                              <m:t>t</m:t>
                            </m:r>
                          </m:sub>
                        </m:sSub>
                      </m:oMath>
                      <w:r>
                        <w:rPr>
                          <w:szCs w:val="24"/>
                        </w:rPr>
                        <w:tab/>
                        <w:tab/>
                        <w:t>(43</w:t>
                      </w:r>
                      <w:r>
                        <w:rPr>
                          <w:szCs w:val="24"/>
                          <w:vertAlign w:val="superscript"/>
                        </w:rPr>
                        <w:t>3</w:t>
                      </w:r>
                      <w:r>
                        <w:rPr>
                          <w:szCs w:val="24"/>
                        </w:rPr>
                        <w:t>)</w:t>
                      </w:r>
                    </w:p>
                    <w:p>
                      <w:pPr>
                        <w:tabs>
                          <w:tab w:val="left" w:pos="567"/>
                          <w:tab w:val="left" w:pos="1843"/>
                          <w:tab w:val="left" w:pos="2268"/>
                        </w:tabs>
                        <w:jc w:val="both"/>
                        <w:rPr>
                          <w:szCs w:val="24"/>
                        </w:rPr>
                      </w:pPr>
                    </w:p>
                    <w:p>
                      <w:pPr>
                        <w:tabs>
                          <w:tab w:val="left" w:pos="567"/>
                          <w:tab w:val="left" w:pos="1843"/>
                          <w:tab w:val="left" w:pos="2268"/>
                        </w:tabs>
                        <w:jc w:val="center"/>
                        <w:rPr>
                          <w:szCs w:val="24"/>
                        </w:rPr>
                      </w:pPr>
                      <m:oMath>
                        <m:sSub>
                          <m:sSubPr>
                            <m:ctrlPr>
                              <w:rPr>
                                <w:rFonts w:ascii="Cambria Math" w:hAnsi="Cambria Math"/>
                                <w:i/>
                                <w:szCs w:val="24"/>
                              </w:rPr>
                            </m:ctrlPr>
                          </m:sSubPr>
                          <m:e>
                            <m:r>
                              <w:rPr>
                                <w:rFonts w:ascii="Cambria Math" w:hAnsi="Cambria Math"/>
                                <w:szCs w:val="24"/>
                              </w:rPr>
                              <m:t>OPEX</m:t>
                            </m:r>
                            <m:r>
                              <w:rPr>
                                <w:rFonts w:ascii="Cambria Math" w:hAnsi="Cambria Math"/>
                                <w:szCs w:val="24"/>
                              </w:rPr>
                              <m:t>'</m:t>
                            </m:r>
                          </m:e>
                          <m:sub>
                            <m:d>
                              <m:dPr>
                                <m:ctrlPr>
                                  <w:rPr>
                                    <w:rFonts w:ascii="Cambria Math" w:hAnsi="Cambria Math"/>
                                    <w:i/>
                                    <w:szCs w:val="24"/>
                                  </w:rPr>
                                </m:ctrlPr>
                              </m:dPr>
                              <m:e>
                                <m:r>
                                  <w:rPr>
                                    <w:rFonts w:ascii="Cambria Math" w:hAnsi="Cambria Math"/>
                                    <w:szCs w:val="24"/>
                                  </w:rPr>
                                  <m:t>DU</m:t>
                                </m:r>
                              </m:e>
                            </m:d>
                            <m:r>
                              <w:rPr>
                                <w:rFonts w:ascii="Cambria Math" w:hAnsi="Cambria Math"/>
                                <w:szCs w:val="24"/>
                              </w:rPr>
                              <m:t>10,</m:t>
                            </m:r>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OPEX</m:t>
                            </m:r>
                          </m:e>
                          <m:sub>
                            <m:d>
                              <m:dPr>
                                <m:ctrlPr>
                                  <w:rPr>
                                    <w:rFonts w:ascii="Cambria Math" w:hAnsi="Cambria Math"/>
                                    <w:i/>
                                    <w:szCs w:val="24"/>
                                  </w:rPr>
                                </m:ctrlPr>
                              </m:dPr>
                              <m:e>
                                <m:r>
                                  <w:rPr>
                                    <w:rFonts w:ascii="Cambria Math" w:hAnsi="Cambria Math"/>
                                    <w:szCs w:val="24"/>
                                  </w:rPr>
                                  <m:t>DU</m:t>
                                </m:r>
                              </m:e>
                            </m:d>
                            <m:r>
                              <w:rPr>
                                <w:rFonts w:ascii="Cambria Math" w:hAnsi="Cambria Math"/>
                                <w:szCs w:val="24"/>
                              </w:rPr>
                              <m:t>10</m:t>
                            </m:r>
                          </m:sub>
                        </m:sSub>
                        <m:r>
                          <w:rPr>
                            <w:rFonts w:ascii="Cambria Math" w:hAnsi="Cambria Math"/>
                            <w:szCs w:val="24"/>
                          </w:rPr>
                          <m:t xml:space="preserve"> ×</m:t>
                        </m:r>
                        <m:sSub>
                          <m:sSubPr>
                            <m:ctrlPr>
                              <w:rPr>
                                <w:rFonts w:ascii="Cambria Math" w:hAnsi="Cambria Math"/>
                                <w:i/>
                                <w:szCs w:val="24"/>
                              </w:rPr>
                            </m:ctrlPr>
                          </m:sSubPr>
                          <m:e>
                            <m:r>
                              <w:rPr>
                                <w:rFonts w:ascii="Cambria Math" w:hAnsi="Cambria Math"/>
                                <w:szCs w:val="24"/>
                              </w:rPr>
                              <m:t>DK</m:t>
                            </m:r>
                          </m:e>
                          <m:sub>
                            <m:r>
                              <w:rPr>
                                <w:rFonts w:ascii="Cambria Math" w:hAnsi="Cambria Math"/>
                                <w:szCs w:val="24"/>
                              </w:rPr>
                              <m:t xml:space="preserve"> </m:t>
                            </m:r>
                            <m:r>
                              <w:rPr>
                                <w:rFonts w:ascii="Cambria Math" w:hAnsi="Cambria Math"/>
                                <w:szCs w:val="24"/>
                              </w:rPr>
                              <m:t>t</m:t>
                            </m:r>
                          </m:sub>
                        </m:sSub>
                      </m:oMath>
                      <w:r>
                        <w:rPr>
                          <w:szCs w:val="24"/>
                        </w:rPr>
                        <w:tab/>
                        <w:tab/>
                        <w:t>(43</w:t>
                      </w:r>
                      <w:r>
                        <w:rPr>
                          <w:szCs w:val="24"/>
                          <w:vertAlign w:val="superscript"/>
                        </w:rPr>
                        <w:t>4</w:t>
                      </w:r>
                      <w:r>
                        <w:rPr>
                          <w:szCs w:val="24"/>
                        </w:rPr>
                        <w:t>)</w:t>
                      </w:r>
                    </w:p>
                    <w:p>
                      <w:pPr>
                        <w:tabs>
                          <w:tab w:val="left" w:pos="567"/>
                          <w:tab w:val="left" w:pos="1843"/>
                          <w:tab w:val="left" w:pos="2268"/>
                        </w:tabs>
                        <w:jc w:val="both"/>
                        <w:rPr>
                          <w:szCs w:val="24"/>
                        </w:rPr>
                      </w:pPr>
                    </w:p>
                    <w:p>
                      <w:pPr>
                        <w:tabs>
                          <w:tab w:val="left" w:pos="1134"/>
                          <w:tab w:val="left" w:pos="1843"/>
                          <w:tab w:val="left" w:pos="2268"/>
                        </w:tabs>
                        <w:ind w:firstLine="709"/>
                        <w:jc w:val="both"/>
                        <w:rPr>
                          <w:i/>
                          <w:szCs w:val="24"/>
                        </w:rPr>
                      </w:pPr>
                      <w:r>
                        <w:rPr>
                          <w:i/>
                          <w:szCs w:val="24"/>
                        </w:rPr>
                        <w:t>čia:</w:t>
                      </w:r>
                    </w:p>
                    <w:p>
                      <w:pPr>
                        <w:tabs>
                          <w:tab w:val="left" w:pos="1134"/>
                          <w:tab w:val="left" w:pos="1843"/>
                          <w:tab w:val="left" w:pos="2268"/>
                        </w:tabs>
                        <w:ind w:firstLine="709"/>
                        <w:jc w:val="both"/>
                        <w:rPr>
                          <w:szCs w:val="24"/>
                          <w:lang w:eastAsia="lt-LT"/>
                        </w:rPr>
                      </w:pPr>
                      <w:r>
                        <w:rPr>
                          <w:szCs w:val="24"/>
                          <w:lang w:eastAsia="lt-LT"/>
                        </w:rPr>
                        <w:t>OPEX‘</w:t>
                      </w:r>
                      <w:r>
                        <w:rPr>
                          <w:szCs w:val="24"/>
                          <w:vertAlign w:val="subscript"/>
                          <w:lang w:eastAsia="lt-LT"/>
                        </w:rPr>
                        <w:t xml:space="preserve"> (DU)04,t </w:t>
                      </w:r>
                      <w:r>
                        <w:rPr>
                          <w:szCs w:val="24"/>
                          <w:lang w:eastAsia="lt-LT"/>
                        </w:rPr>
                        <w:t xml:space="preserve">– koreguoti </w:t>
                      </w:r>
                      <w:r>
                        <w:rPr>
                          <w:i/>
                          <w:szCs w:val="24"/>
                          <w:lang w:eastAsia="lt-LT"/>
                        </w:rPr>
                        <w:t>t</w:t>
                      </w:r>
                      <w:r>
                        <w:rPr>
                          <w:szCs w:val="24"/>
                          <w:lang w:eastAsia="lt-LT"/>
                        </w:rPr>
                        <w:t xml:space="preserve"> metų ŽĮ darbo užmokesčio kaštai;</w:t>
                      </w:r>
                    </w:p>
                    <w:p>
                      <w:pPr>
                        <w:tabs>
                          <w:tab w:val="left" w:pos="1134"/>
                          <w:tab w:val="left" w:pos="1843"/>
                          <w:tab w:val="left" w:pos="2268"/>
                        </w:tabs>
                        <w:ind w:firstLine="709"/>
                        <w:jc w:val="both"/>
                        <w:rPr>
                          <w:szCs w:val="24"/>
                          <w:lang w:eastAsia="lt-LT"/>
                        </w:rPr>
                      </w:pPr>
                      <w:r>
                        <w:rPr>
                          <w:szCs w:val="24"/>
                          <w:lang w:eastAsia="lt-LT"/>
                        </w:rPr>
                        <w:t>OPEX</w:t>
                      </w:r>
                      <w:r>
                        <w:rPr>
                          <w:szCs w:val="24"/>
                          <w:vertAlign w:val="subscript"/>
                          <w:lang w:eastAsia="lt-LT"/>
                        </w:rPr>
                        <w:t xml:space="preserve"> (DU)04 </w:t>
                      </w:r>
                      <w:r>
                        <w:rPr>
                          <w:szCs w:val="24"/>
                          <w:lang w:eastAsia="lt-LT"/>
                        </w:rPr>
                        <w:t>– reguliavimo periodo baziniai ŽĮ darbo užmokesčio kaštai;</w:t>
                      </w:r>
                    </w:p>
                    <w:p>
                      <w:pPr>
                        <w:tabs>
                          <w:tab w:val="left" w:pos="1134"/>
                          <w:tab w:val="left" w:pos="1843"/>
                          <w:tab w:val="left" w:pos="2268"/>
                        </w:tabs>
                        <w:ind w:firstLine="709"/>
                        <w:jc w:val="both"/>
                        <w:rPr>
                          <w:szCs w:val="24"/>
                          <w:lang w:eastAsia="lt-LT"/>
                        </w:rPr>
                      </w:pPr>
                      <w:r>
                        <w:rPr>
                          <w:szCs w:val="24"/>
                          <w:lang w:eastAsia="lt-LT"/>
                        </w:rPr>
                        <w:t>OPEX‘</w:t>
                      </w:r>
                      <w:r>
                        <w:rPr>
                          <w:szCs w:val="24"/>
                          <w:vertAlign w:val="subscript"/>
                          <w:lang w:eastAsia="lt-LT"/>
                        </w:rPr>
                        <w:t xml:space="preserve"> (DU)10,t </w:t>
                      </w:r>
                      <w:r>
                        <w:rPr>
                          <w:szCs w:val="24"/>
                          <w:lang w:eastAsia="lt-LT"/>
                        </w:rPr>
                        <w:t xml:space="preserve">– koreguoti </w:t>
                      </w:r>
                      <w:r>
                        <w:rPr>
                          <w:i/>
                          <w:szCs w:val="24"/>
                          <w:lang w:eastAsia="lt-LT"/>
                        </w:rPr>
                        <w:t>t</w:t>
                      </w:r>
                      <w:r>
                        <w:rPr>
                          <w:szCs w:val="24"/>
                          <w:lang w:eastAsia="lt-LT"/>
                        </w:rPr>
                        <w:t xml:space="preserve"> metų VĮ darbo užmokesčio kaštai;</w:t>
                      </w:r>
                    </w:p>
                    <w:p>
                      <w:pPr>
                        <w:tabs>
                          <w:tab w:val="left" w:pos="1134"/>
                          <w:tab w:val="left" w:pos="1843"/>
                          <w:tab w:val="left" w:pos="2268"/>
                        </w:tabs>
                        <w:ind w:firstLine="709"/>
                        <w:jc w:val="both"/>
                        <w:rPr>
                          <w:szCs w:val="24"/>
                          <w:lang w:eastAsia="lt-LT"/>
                        </w:rPr>
                      </w:pPr>
                      <w:r>
                        <w:rPr>
                          <w:szCs w:val="24"/>
                          <w:lang w:eastAsia="lt-LT"/>
                        </w:rPr>
                        <w:t>OPEX</w:t>
                      </w:r>
                      <w:r>
                        <w:rPr>
                          <w:szCs w:val="24"/>
                          <w:vertAlign w:val="subscript"/>
                          <w:lang w:eastAsia="lt-LT"/>
                        </w:rPr>
                        <w:t xml:space="preserve"> (DU)10 </w:t>
                      </w:r>
                      <w:r>
                        <w:rPr>
                          <w:szCs w:val="24"/>
                          <w:lang w:eastAsia="lt-LT"/>
                        </w:rPr>
                        <w:t>– reguliavimo periodo baziniai VĮ darbo užmokesčio kaštai;</w:t>
                      </w:r>
                    </w:p>
                    <w:p>
                      <w:pPr>
                        <w:tabs>
                          <w:tab w:val="left" w:pos="1134"/>
                          <w:tab w:val="left" w:pos="1843"/>
                          <w:tab w:val="left" w:pos="2268"/>
                        </w:tabs>
                        <w:ind w:firstLine="709"/>
                        <w:jc w:val="both"/>
                        <w:rPr>
                          <w:szCs w:val="24"/>
                          <w:lang w:eastAsia="lt-LT"/>
                        </w:rPr>
                      </w:pPr>
                      <w:r>
                        <w:rPr>
                          <w:szCs w:val="24"/>
                        </w:rPr>
                        <w:t>DK</w:t>
                      </w:r>
                      <w:r>
                        <w:rPr>
                          <w:szCs w:val="24"/>
                          <w:vertAlign w:val="subscript"/>
                        </w:rPr>
                        <w:t>t</w:t>
                      </w:r>
                      <w:r>
                        <w:rPr>
                          <w:szCs w:val="24"/>
                        </w:rPr>
                        <w:t xml:space="preserve"> – </w:t>
                      </w:r>
                      <w:r>
                        <w:rPr>
                          <w:i/>
                          <w:szCs w:val="24"/>
                        </w:rPr>
                        <w:t>t</w:t>
                      </w:r>
                      <w:r>
                        <w:rPr>
                          <w:szCs w:val="24"/>
                        </w:rPr>
                        <w:t xml:space="preserve"> metų darbo užmokesčio koregavimo koeficientas, kuris </w:t>
                      </w:r>
                      <w:r>
                        <w:rPr>
                          <w:szCs w:val="24"/>
                          <w:lang w:eastAsia="lt-LT"/>
                        </w:rPr>
                        <w:t>apskaičiuojamas pagal formulę:</w:t>
                      </w:r>
                    </w:p>
                    <w:p>
                      <w:pPr>
                        <w:tabs>
                          <w:tab w:val="left" w:pos="1134"/>
                          <w:tab w:val="left" w:pos="1843"/>
                          <w:tab w:val="left" w:pos="2268"/>
                        </w:tabs>
                        <w:jc w:val="both"/>
                        <w:rPr>
                          <w:szCs w:val="24"/>
                          <w:lang w:eastAsia="lt-LT"/>
                        </w:rPr>
                      </w:pPr>
                    </w:p>
                    <w:p>
                      <w:pPr>
                        <w:tabs>
                          <w:tab w:val="left" w:pos="1134"/>
                          <w:tab w:val="left" w:pos="1843"/>
                          <w:tab w:val="left" w:pos="2268"/>
                        </w:tabs>
                        <w:jc w:val="center"/>
                        <w:rPr>
                          <w:szCs w:val="24"/>
                          <w:lang w:eastAsia="lt-LT"/>
                        </w:rPr>
                      </w:pPr>
                      <m:oMath>
                        <m:sSub>
                          <m:sSubPr>
                            <m:ctrlPr>
                              <w:rPr>
                                <w:rFonts w:ascii="Cambria Math" w:hAnsi="Cambria Math"/>
                                <w:i/>
                                <w:szCs w:val="24"/>
                              </w:rPr>
                            </m:ctrlPr>
                          </m:sSubPr>
                          <m:e>
                            <m:r>
                              <w:rPr>
                                <w:rFonts w:ascii="Cambria Math" w:hAnsi="Cambria Math"/>
                                <w:szCs w:val="24"/>
                              </w:rPr>
                              <m:t>DK</m:t>
                            </m:r>
                          </m:e>
                          <m:sub>
                            <m:r>
                              <w:rPr>
                                <w:rFonts w:ascii="Cambria Math" w:hAnsi="Cambria Math"/>
                                <w:szCs w:val="24"/>
                              </w:rPr>
                              <m:t xml:space="preserve"> </m:t>
                            </m:r>
                            <m:r>
                              <w:rPr>
                                <w:rFonts w:ascii="Cambria Math" w:hAnsi="Cambria Math"/>
                                <w:szCs w:val="24"/>
                              </w:rPr>
                              <m:t>t</m:t>
                            </m:r>
                          </m:sub>
                        </m:sSub>
                        <m:r>
                          <w:rPr>
                            <w:rFonts w:ascii="Cambria Math" w:hAnsi="Cambria Math"/>
                            <w:szCs w:val="24"/>
                          </w:rPr>
                          <m:t>=(1+</m:t>
                        </m:r>
                        <m:f>
                          <m:fPr>
                            <m:ctrlPr>
                              <w:rPr>
                                <w:rFonts w:ascii="Cambria Math" w:hAnsi="Cambria Math"/>
                                <w:i/>
                                <w:szCs w:val="24"/>
                              </w:rPr>
                            </m:ctrlPr>
                          </m:fPr>
                          <m:num>
                            <m:r>
                              <w:rPr>
                                <w:rFonts w:ascii="Cambria Math" w:hAnsi="Cambria Math"/>
                                <w:szCs w:val="24"/>
                              </w:rPr>
                              <m:t xml:space="preserve"> </m:t>
                            </m:r>
                            <m:sSub>
                              <m:sSubPr>
                                <m:ctrlPr>
                                  <w:rPr>
                                    <w:rFonts w:ascii="Cambria Math" w:hAnsi="Cambria Math"/>
                                    <w:i/>
                                    <w:szCs w:val="24"/>
                                  </w:rPr>
                                </m:ctrlPr>
                              </m:sSubPr>
                              <m:e>
                                <m:r>
                                  <w:rPr>
                                    <w:rFonts w:ascii="Cambria Math" w:hAnsi="Cambria Math"/>
                                    <w:szCs w:val="24"/>
                                  </w:rPr>
                                  <m:t>∆</m:t>
                                </m:r>
                                <m:r>
                                  <w:rPr>
                                    <w:rFonts w:ascii="Cambria Math" w:hAnsi="Cambria Math"/>
                                    <w:szCs w:val="24"/>
                                  </w:rPr>
                                  <m:t>DU</m:t>
                                </m:r>
                              </m:e>
                              <m:sub>
                                <m:r>
                                  <w:rPr>
                                    <w:rFonts w:ascii="Cambria Math" w:hAnsi="Cambria Math"/>
                                    <w:szCs w:val="24"/>
                                  </w:rPr>
                                  <m:t xml:space="preserve"> </m:t>
                                </m:r>
                                <m:r>
                                  <w:rPr>
                                    <w:rFonts w:ascii="Cambria Math" w:hAnsi="Cambria Math"/>
                                    <w:szCs w:val="24"/>
                                  </w:rPr>
                                  <m:t>t</m:t>
                                </m:r>
                              </m:sub>
                            </m:sSub>
                            <m:r>
                              <w:rPr>
                                <w:rFonts w:ascii="Cambria Math" w:hAnsi="Cambria Math"/>
                                <w:szCs w:val="24"/>
                              </w:rPr>
                              <m:t>-</m:t>
                            </m:r>
                            <m:r>
                              <w:rPr>
                                <w:rFonts w:ascii="Cambria Math" w:hAnsi="Cambria Math"/>
                                <w:szCs w:val="24"/>
                              </w:rPr>
                              <m:t>e</m:t>
                            </m:r>
                          </m:num>
                          <m:den>
                            <m:r>
                              <w:rPr>
                                <w:rFonts w:ascii="Cambria Math" w:hAnsi="Cambria Math"/>
                                <w:szCs w:val="24"/>
                              </w:rPr>
                              <m:t>100</m:t>
                            </m:r>
                          </m:den>
                        </m:f>
                        <m:r>
                          <w:rPr>
                            <w:rFonts w:ascii="Cambria Math" w:hAnsi="Cambria Math"/>
                            <w:szCs w:val="24"/>
                          </w:rPr>
                          <m:t>)×</m:t>
                        </m:r>
                        <m:sSub>
                          <m:sSubPr>
                            <m:ctrlPr>
                              <w:rPr>
                                <w:rFonts w:ascii="Cambria Math" w:hAnsi="Cambria Math"/>
                                <w:i/>
                                <w:szCs w:val="24"/>
                              </w:rPr>
                            </m:ctrlPr>
                          </m:sSubPr>
                          <m:e>
                            <m:r>
                              <w:rPr>
                                <w:rFonts w:ascii="Cambria Math" w:hAnsi="Cambria Math"/>
                                <w:szCs w:val="24"/>
                              </w:rPr>
                              <m:t>DK</m:t>
                            </m:r>
                          </m:e>
                          <m:sub>
                            <m:r>
                              <w:rPr>
                                <w:rFonts w:ascii="Cambria Math" w:hAnsi="Cambria Math"/>
                                <w:szCs w:val="24"/>
                              </w:rPr>
                              <m:t xml:space="preserve"> </m:t>
                            </m:r>
                            <m:r>
                              <w:rPr>
                                <w:rFonts w:ascii="Cambria Math" w:hAnsi="Cambria Math"/>
                                <w:szCs w:val="24"/>
                              </w:rPr>
                              <m:t>t</m:t>
                            </m:r>
                            <m:r>
                              <w:rPr>
                                <w:rFonts w:ascii="Cambria Math" w:hAnsi="Cambria Math"/>
                                <w:szCs w:val="24"/>
                              </w:rPr>
                              <m:t>-1</m:t>
                            </m:r>
                          </m:sub>
                        </m:sSub>
                      </m:oMath>
                      <w:r>
                        <w:rPr>
                          <w:szCs w:val="24"/>
                        </w:rPr>
                        <w:tab/>
                        <w:tab/>
                        <w:t>(43</w:t>
                      </w:r>
                      <w:r>
                        <w:rPr>
                          <w:szCs w:val="24"/>
                          <w:vertAlign w:val="superscript"/>
                        </w:rPr>
                        <w:t>5</w:t>
                      </w:r>
                      <w:r>
                        <w:rPr>
                          <w:szCs w:val="24"/>
                        </w:rPr>
                        <w:t>)</w:t>
                      </w:r>
                    </w:p>
                    <w:p>
                      <w:pPr>
                        <w:tabs>
                          <w:tab w:val="left" w:pos="1134"/>
                          <w:tab w:val="left" w:pos="1843"/>
                          <w:tab w:val="left" w:pos="2268"/>
                        </w:tabs>
                        <w:jc w:val="both"/>
                        <w:rPr>
                          <w:szCs w:val="24"/>
                        </w:rPr>
                      </w:pPr>
                    </w:p>
                    <w:p>
                      <w:pPr>
                        <w:tabs>
                          <w:tab w:val="left" w:pos="1134"/>
                          <w:tab w:val="left" w:pos="1843"/>
                          <w:tab w:val="left" w:pos="2268"/>
                        </w:tabs>
                        <w:ind w:firstLine="709"/>
                        <w:jc w:val="both"/>
                        <w:rPr>
                          <w:i/>
                          <w:szCs w:val="24"/>
                        </w:rPr>
                      </w:pPr>
                      <w:r>
                        <w:rPr>
                          <w:i/>
                          <w:szCs w:val="24"/>
                        </w:rPr>
                        <w:t>čia:</w:t>
                      </w:r>
                    </w:p>
                    <w:p>
                      <w:pPr>
                        <w:ind w:firstLine="709"/>
                        <w:jc w:val="both"/>
                        <w:rPr>
                          <w:szCs w:val="24"/>
                          <w:lang w:eastAsia="lt-LT"/>
                        </w:rPr>
                      </w:pPr>
                      <w:r>
                        <w:rPr>
                          <w:szCs w:val="24"/>
                          <w:lang w:eastAsia="lt-LT"/>
                        </w:rPr>
                        <w:t>ΔDU</w:t>
                      </w:r>
                      <w:r>
                        <w:rPr>
                          <w:szCs w:val="24"/>
                          <w:vertAlign w:val="subscript"/>
                          <w:lang w:eastAsia="lt-LT"/>
                        </w:rPr>
                        <w:t>t</w:t>
                      </w:r>
                      <w:r>
                        <w:rPr>
                          <w:szCs w:val="24"/>
                          <w:lang w:eastAsia="lt-LT"/>
                        </w:rPr>
                        <w:t xml:space="preserve"> –vidutinio mėnesinio bruto darbo užmokesčio pokytis metais </w:t>
                      </w:r>
                      <w:r>
                        <w:rPr>
                          <w:i/>
                          <w:szCs w:val="24"/>
                          <w:lang w:eastAsia="lt-LT"/>
                        </w:rPr>
                        <w:t>t</w:t>
                      </w:r>
                      <w:r>
                        <w:rPr>
                          <w:szCs w:val="24"/>
                          <w:lang w:eastAsia="lt-LT"/>
                        </w:rPr>
                        <w:t xml:space="preserve"> lyginant su atitinkamu indeksu metais </w:t>
                      </w:r>
                      <w:r>
                        <w:rPr>
                          <w:i/>
                          <w:szCs w:val="24"/>
                          <w:lang w:eastAsia="lt-LT"/>
                        </w:rPr>
                        <w:t>t-1</w:t>
                      </w:r>
                      <w:r>
                        <w:rPr>
                          <w:szCs w:val="24"/>
                          <w:lang w:eastAsia="lt-LT"/>
                        </w:rPr>
                        <w:t xml:space="preserve">, %. Jis nustatomas pagal  Finansų ministerijos skelbiamus naujausius duomenis; </w:t>
                      </w:r>
                    </w:p>
                    <w:p>
                      <w:pPr>
                        <w:tabs>
                          <w:tab w:val="left" w:pos="1134"/>
                        </w:tabs>
                        <w:ind w:firstLine="709"/>
                        <w:jc w:val="both"/>
                      </w:pPr>
                      <w:r>
                        <w:rPr>
                          <w:szCs w:val="24"/>
                          <w:lang w:eastAsia="lt-LT"/>
                        </w:rPr>
                        <w:t>e – efektyvumo koeficientas, %;</w:t>
                      </w:r>
                    </w:p>
                    <w:p>
                      <w:pPr>
                        <w:tabs>
                          <w:tab w:val="left" w:pos="1134"/>
                        </w:tabs>
                        <w:ind w:firstLine="709"/>
                        <w:jc w:val="both"/>
                        <w:rPr>
                          <w:szCs w:val="24"/>
                        </w:rPr>
                      </w:pPr>
                      <w:r>
                        <w:rPr>
                          <w:szCs w:val="24"/>
                        </w:rPr>
                        <w:t>DK</w:t>
                      </w:r>
                      <w:r>
                        <w:rPr>
                          <w:szCs w:val="24"/>
                          <w:vertAlign w:val="subscript"/>
                        </w:rPr>
                        <w:t>t-1</w:t>
                      </w:r>
                      <w:r>
                        <w:rPr>
                          <w:szCs w:val="24"/>
                        </w:rPr>
                        <w:t xml:space="preserve"> – </w:t>
                      </w:r>
                      <w:r>
                        <w:rPr>
                          <w:i/>
                          <w:szCs w:val="24"/>
                        </w:rPr>
                        <w:t>t-1</w:t>
                      </w:r>
                      <w:r>
                        <w:rPr>
                          <w:szCs w:val="24"/>
                        </w:rPr>
                        <w:t xml:space="preserve"> metų darbo užmokesčio koregavimo koeficientas. Pirmųjų naujojo reguliavimo periodo metų darbo užmokesčio koregavimo koeficientas lygus vienetui.</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sdtContent>
                </w:sdt>
                <w:sdt>
                  <w:sdtPr>
                    <w:alias w:val="77 p."/>
                    <w:tag w:val="part_b8c46bf5b0f44047ad875578437ca3c2"/>
                    <w:lock w:val="sdtLocked"/>
                    <w:richText/>
                  </w:sdtPr>
                  <w:sdtContent>
                    <w:p>
                      <w:pPr>
                        <w:tabs>
                          <w:tab w:val="left" w:pos="1134"/>
                          <w:tab w:val="left" w:pos="1843"/>
                          <w:tab w:val="left" w:pos="2268"/>
                        </w:tabs>
                        <w:ind w:firstLine="720"/>
                        <w:jc w:val="both"/>
                        <w:rPr>
                          <w:szCs w:val="24"/>
                        </w:rPr>
                      </w:pPr>
                      <w:sdt>
                        <w:sdtPr>
                          <w:alias w:val="Numeris"/>
                          <w:tag w:val="nr_b8c46bf5b0f44047ad875578437ca3c2"/>
                          <w:lock w:val="sdtLocked"/>
                          <w:richText/>
                        </w:sdtPr>
                        <w:sdtContent>
                          <w:r>
                            <w:rPr>
                              <w:szCs w:val="24"/>
                            </w:rPr>
                            <w:t>77</w:t>
                          </w:r>
                        </w:sdtContent>
                      </w:sdt>
                      <w:r>
                        <w:rPr>
                          <w:szCs w:val="24"/>
                        </w:rPr>
                        <w:t xml:space="preserve">. Koreguota </w:t>
                      </w:r>
                      <w:r>
                        <w:rPr>
                          <w:i/>
                          <w:szCs w:val="24"/>
                        </w:rPr>
                        <w:t xml:space="preserve">t </w:t>
                      </w:r>
                      <w:r>
                        <w:rPr>
                          <w:szCs w:val="24"/>
                        </w:rPr>
                        <w:t>metų skirstymo paslaugos atitinkamos įtampos tinkle kainos viršutinė riba apskaičiuojama pagal formules:</w:t>
                      </w:r>
                    </w:p>
                    <w:p>
                      <w:pPr>
                        <w:tabs>
                          <w:tab w:val="left" w:pos="1134"/>
                          <w:tab w:val="left" w:pos="1843"/>
                          <w:tab w:val="left" w:pos="2268"/>
                        </w:tabs>
                        <w:jc w:val="both"/>
                        <w:rPr>
                          <w:szCs w:val="24"/>
                        </w:rPr>
                      </w:pPr>
                    </w:p>
                    <w:p>
                      <w:pPr>
                        <w:tabs>
                          <w:tab w:val="left" w:pos="1134"/>
                        </w:tabs>
                        <w:jc w:val="center"/>
                        <w:rPr>
                          <w:szCs w:val="24"/>
                        </w:rPr>
                      </w:pPr>
                      <m:oMath>
                        <m:sSubSup>
                          <m:sSubSupPr>
                            <m:ctrlPr>
                              <w:rPr>
                                <w:rFonts w:ascii="Cambria Math" w:hAnsi="Cambria Math"/>
                                <w:i/>
                              </w:rPr>
                            </m:ctrlPr>
                          </m:sSubSupPr>
                          <m:e>
                            <m:r>
                              <w:rPr>
                                <w:rFonts w:ascii="Cambria Math" w:hAnsi="Cambria Math"/>
                              </w:rPr>
                              <m:t>T</m:t>
                            </m:r>
                          </m:e>
                          <m:sub>
                            <m:r>
                              <w:rPr>
                                <w:rFonts w:ascii="Cambria Math" w:hAnsi="Cambria Math"/>
                              </w:rPr>
                              <m:t>04,</m:t>
                            </m:r>
                            <m:r>
                              <w:rPr>
                                <w:rFonts w:ascii="Cambria Math" w:hAnsi="Cambria Math"/>
                              </w:rPr>
                              <m:t>t</m:t>
                            </m:r>
                          </m:sub>
                          <m:sup>
                            <m:r>
                              <w:rPr>
                                <w:rFonts w:ascii="Cambria Math" w:hAnsi="Cambria Math"/>
                              </w:rPr>
                              <m:t>'</m:t>
                            </m:r>
                          </m:sup>
                        </m:sSubSup>
                        <m:r>
                          <w:rPr>
                            <w:rFonts w:ascii="Cambria Math" w:hAnsi="Cambria Math"/>
                          </w:rPr>
                          <m:t>=</m:t>
                        </m:r>
                        <m:f>
                          <m:fPr>
                            <m:ctrlPr>
                              <w:rPr>
                                <w:rFonts w:ascii="Cambria Math" w:hAnsi="Cambria Math"/>
                                <w:i/>
                              </w:rPr>
                            </m:ctrlPr>
                          </m:fPr>
                          <m:num>
                            <m:sSub>
                              <m:sSubPr>
                                <m:ctrlPr>
                                  <w:rPr>
                                    <w:rFonts w:ascii="Cambria Math" w:hAnsi="Cambria Math"/>
                                    <w:i/>
                                  </w:rPr>
                                </m:ctrlPr>
                              </m:sSubPr>
                              <m:e>
                                <m:r>
                                  <w:rPr>
                                    <w:rFonts w:ascii="Cambria Math" w:hAnsi="Cambria Math"/>
                                  </w:rPr>
                                  <m:t>P</m:t>
                                </m:r>
                                <m:r>
                                  <w:rPr>
                                    <w:rFonts w:ascii="Cambria Math" w:hAnsi="Cambria Math"/>
                                  </w:rPr>
                                  <m:t>'</m:t>
                                </m:r>
                              </m:e>
                              <m:sub>
                                <m:r>
                                  <w:rPr>
                                    <w:rFonts w:ascii="Cambria Math" w:hAnsi="Cambria Math"/>
                                  </w:rPr>
                                  <m:t>04,</m:t>
                                </m:r>
                                <m:r>
                                  <w:rPr>
                                    <w:rFonts w:ascii="Cambria Math" w:hAnsi="Cambria Math"/>
                                  </w:rPr>
                                  <m:t>t</m:t>
                                </m:r>
                              </m:sub>
                            </m:sSub>
                          </m:num>
                          <m:den>
                            <m:sSub>
                              <m:sSubPr>
                                <m:ctrlPr>
                                  <w:rPr>
                                    <w:rFonts w:ascii="Cambria Math" w:hAnsi="Cambria Math"/>
                                    <w:i/>
                                  </w:rPr>
                                </m:ctrlPr>
                              </m:sSubPr>
                              <m:e>
                                <m:r>
                                  <w:rPr>
                                    <w:rFonts w:ascii="Cambria Math" w:hAnsi="Cambria Math"/>
                                  </w:rPr>
                                  <m:t>E</m:t>
                                </m:r>
                              </m:e>
                              <m:sub>
                                <m:r>
                                  <w:rPr>
                                    <w:rFonts w:ascii="Cambria Math" w:hAnsi="Cambria Math"/>
                                  </w:rPr>
                                  <m:t>04,</m:t>
                                </m:r>
                                <m:r>
                                  <w:rPr>
                                    <w:rFonts w:ascii="Cambria Math" w:hAnsi="Cambria Math"/>
                                  </w:rPr>
                                  <m:t>t</m:t>
                                </m:r>
                              </m:sub>
                            </m:sSub>
                          </m:den>
                        </m:f>
                        <m:r>
                          <w:rPr>
                            <w:rFonts w:ascii="Cambria Math" w:hAnsi="Cambria Math"/>
                          </w:rPr>
                          <m:t>×100</m:t>
                        </m:r>
                      </m:oMath>
                      <w:r>
                        <w:tab/>
                        <w:tab/>
                        <w:tab/>
                        <w:t>(44)</w:t>
                      </w:r>
                    </w:p>
                    <w:p>
                      <w:pPr>
                        <w:tabs>
                          <w:tab w:val="left" w:pos="1134"/>
                          <w:tab w:val="left" w:pos="1843"/>
                          <w:tab w:val="left" w:pos="2268"/>
                        </w:tabs>
                        <w:jc w:val="both"/>
                        <w:rPr>
                          <w:szCs w:val="24"/>
                        </w:rPr>
                      </w:pPr>
                    </w:p>
                    <w:p>
                      <w:pPr>
                        <w:tabs>
                          <w:tab w:val="left" w:pos="1134"/>
                        </w:tabs>
                        <w:jc w:val="center"/>
                        <w:rPr>
                          <w:szCs w:val="24"/>
                        </w:rPr>
                      </w:pPr>
                      <m:oMath>
                        <m:sSubSup>
                          <m:sSubSupPr>
                            <m:ctrlPr>
                              <w:rPr>
                                <w:rFonts w:ascii="Cambria Math" w:hAnsi="Cambria Math"/>
                                <w:i/>
                              </w:rPr>
                            </m:ctrlPr>
                          </m:sSubSupPr>
                          <m:e>
                            <m:r>
                              <w:rPr>
                                <w:rFonts w:ascii="Cambria Math" w:hAnsi="Cambria Math"/>
                              </w:rPr>
                              <m:t>T</m:t>
                            </m:r>
                          </m:e>
                          <m:sub>
                            <m:r>
                              <w:rPr>
                                <w:rFonts w:ascii="Cambria Math" w:hAnsi="Cambria Math"/>
                              </w:rPr>
                              <m:t>10,</m:t>
                            </m:r>
                            <m:r>
                              <w:rPr>
                                <w:rFonts w:ascii="Cambria Math" w:hAnsi="Cambria Math"/>
                              </w:rPr>
                              <m:t>t</m:t>
                            </m:r>
                          </m:sub>
                          <m:sup>
                            <m:r>
                              <w:rPr>
                                <w:rFonts w:ascii="Cambria Math" w:hAnsi="Cambria Math"/>
                              </w:rPr>
                              <m:t>'</m:t>
                            </m:r>
                          </m:sup>
                        </m:sSubSup>
                        <m:r>
                          <w:rPr>
                            <w:rFonts w:ascii="Cambria Math" w:hAnsi="Cambria Math"/>
                          </w:rPr>
                          <m:t>=</m:t>
                        </m:r>
                        <m:f>
                          <m:fPr>
                            <m:ctrlPr>
                              <w:rPr>
                                <w:rFonts w:ascii="Cambria Math" w:hAnsi="Cambria Math"/>
                                <w:i/>
                              </w:rPr>
                            </m:ctrlPr>
                          </m:fPr>
                          <m:num>
                            <m:sSub>
                              <m:sSubPr>
                                <m:ctrlPr>
                                  <w:rPr>
                                    <w:rFonts w:ascii="Cambria Math" w:hAnsi="Cambria Math"/>
                                    <w:i/>
                                  </w:rPr>
                                </m:ctrlPr>
                              </m:sSubPr>
                              <m:e>
                                <m:r>
                                  <w:rPr>
                                    <w:rFonts w:ascii="Cambria Math" w:hAnsi="Cambria Math"/>
                                  </w:rPr>
                                  <m:t>P</m:t>
                                </m:r>
                                <m:r>
                                  <w:rPr>
                                    <w:rFonts w:ascii="Cambria Math" w:hAnsi="Cambria Math"/>
                                  </w:rPr>
                                  <m:t>'</m:t>
                                </m:r>
                              </m:e>
                              <m:sub>
                                <m:r>
                                  <w:rPr>
                                    <w:rFonts w:ascii="Cambria Math" w:hAnsi="Cambria Math"/>
                                  </w:rPr>
                                  <m:t>10,</m:t>
                                </m:r>
                                <m:r>
                                  <w:rPr>
                                    <w:rFonts w:ascii="Cambria Math" w:hAnsi="Cambria Math"/>
                                  </w:rPr>
                                  <m:t>t</m:t>
                                </m:r>
                              </m:sub>
                            </m:sSub>
                          </m:num>
                          <m:den>
                            <m:sSub>
                              <m:sSubPr>
                                <m:ctrlPr>
                                  <w:rPr>
                                    <w:rFonts w:ascii="Cambria Math" w:hAnsi="Cambria Math"/>
                                    <w:i/>
                                  </w:rPr>
                                </m:ctrlPr>
                              </m:sSubPr>
                              <m:e>
                                <m:r>
                                  <w:rPr>
                                    <w:rFonts w:ascii="Cambria Math" w:hAnsi="Cambria Math"/>
                                  </w:rPr>
                                  <m:t>E</m:t>
                                </m:r>
                              </m:e>
                              <m:sub>
                                <m:r>
                                  <w:rPr>
                                    <w:rFonts w:ascii="Cambria Math" w:hAnsi="Cambria Math"/>
                                  </w:rPr>
                                  <m:t>10,</m:t>
                                </m:r>
                                <m:r>
                                  <w:rPr>
                                    <w:rFonts w:ascii="Cambria Math" w:hAnsi="Cambria Math"/>
                                  </w:rPr>
                                  <m:t>t</m:t>
                                </m:r>
                              </m:sub>
                            </m:sSub>
                          </m:den>
                        </m:f>
                        <m:r>
                          <w:rPr>
                            <w:rFonts w:ascii="Cambria Math" w:hAnsi="Cambria Math"/>
                          </w:rPr>
                          <m:t>×100</m:t>
                        </m:r>
                      </m:oMath>
                      <w:r>
                        <w:tab/>
                        <w:tab/>
                        <w:tab/>
                        <w:t>(45)</w:t>
                      </w:r>
                    </w:p>
                    <w:p>
                      <w:pPr>
                        <w:tabs>
                          <w:tab w:val="left" w:pos="1134"/>
                          <w:tab w:val="left" w:pos="1843"/>
                          <w:tab w:val="left" w:pos="2268"/>
                        </w:tabs>
                        <w:jc w:val="both"/>
                        <w:rPr>
                          <w:szCs w:val="24"/>
                        </w:rPr>
                      </w:pPr>
                    </w:p>
                    <w:p>
                      <w:pPr>
                        <w:tabs>
                          <w:tab w:val="left" w:pos="1134"/>
                          <w:tab w:val="left" w:pos="1843"/>
                          <w:tab w:val="left" w:pos="2268"/>
                        </w:tabs>
                        <w:ind w:firstLine="709"/>
                        <w:jc w:val="both"/>
                        <w:rPr>
                          <w:i/>
                          <w:szCs w:val="24"/>
                        </w:rPr>
                      </w:pPr>
                      <w:r>
                        <w:rPr>
                          <w:i/>
                          <w:szCs w:val="24"/>
                        </w:rPr>
                        <w:t>čia:</w:t>
                      </w:r>
                    </w:p>
                    <w:p>
                      <w:pPr>
                        <w:tabs>
                          <w:tab w:val="left" w:pos="1134"/>
                          <w:tab w:val="left" w:pos="1843"/>
                          <w:tab w:val="left" w:pos="2268"/>
                        </w:tabs>
                        <w:ind w:firstLine="709"/>
                        <w:jc w:val="both"/>
                        <w:rPr>
                          <w:szCs w:val="24"/>
                        </w:rPr>
                      </w:pPr>
                      <w:r>
                        <w:rPr>
                          <w:szCs w:val="24"/>
                        </w:rPr>
                        <w:t>T‘</w:t>
                      </w:r>
                      <w:r>
                        <w:rPr>
                          <w:szCs w:val="24"/>
                          <w:vertAlign w:val="subscript"/>
                        </w:rPr>
                        <w:t>04,t</w:t>
                      </w:r>
                      <w:r>
                        <w:rPr>
                          <w:szCs w:val="24"/>
                        </w:rPr>
                        <w:t xml:space="preserve"> – koreguota </w:t>
                      </w:r>
                      <w:r>
                        <w:rPr>
                          <w:i/>
                          <w:szCs w:val="24"/>
                        </w:rPr>
                        <w:t xml:space="preserve">t </w:t>
                      </w:r>
                      <w:r>
                        <w:rPr>
                          <w:szCs w:val="24"/>
                        </w:rPr>
                        <w:t>metų elektros energijos skirstymo paslaugos ŽĮ tinklais kainos viršutinė riba, ct/kWh;</w:t>
                      </w:r>
                    </w:p>
                    <w:p>
                      <w:pPr>
                        <w:tabs>
                          <w:tab w:val="left" w:pos="1134"/>
                          <w:tab w:val="left" w:pos="1843"/>
                          <w:tab w:val="left" w:pos="2268"/>
                        </w:tabs>
                        <w:ind w:firstLine="709"/>
                        <w:jc w:val="both"/>
                        <w:rPr>
                          <w:szCs w:val="24"/>
                        </w:rPr>
                      </w:pPr>
                      <w:r>
                        <w:rPr>
                          <w:szCs w:val="24"/>
                        </w:rPr>
                        <w:t>P‘</w:t>
                      </w:r>
                      <w:r>
                        <w:rPr>
                          <w:szCs w:val="24"/>
                          <w:vertAlign w:val="subscript"/>
                        </w:rPr>
                        <w:t>04,t</w:t>
                      </w:r>
                      <w:r>
                        <w:rPr>
                          <w:szCs w:val="24"/>
                        </w:rPr>
                        <w:t xml:space="preserve"> – koreguotos </w:t>
                      </w:r>
                      <w:r>
                        <w:rPr>
                          <w:i/>
                          <w:szCs w:val="24"/>
                        </w:rPr>
                        <w:t xml:space="preserve">t </w:t>
                      </w:r>
                      <w:r>
                        <w:rPr>
                          <w:szCs w:val="24"/>
                        </w:rPr>
                        <w:t>metų STO ŽĮ tinkle leidžiamos pajamos, EUR;</w:t>
                      </w:r>
                    </w:p>
                    <w:p>
                      <w:pPr>
                        <w:tabs>
                          <w:tab w:val="left" w:pos="1134"/>
                          <w:tab w:val="left" w:pos="1843"/>
                          <w:tab w:val="left" w:pos="2268"/>
                        </w:tabs>
                        <w:ind w:firstLine="709"/>
                        <w:jc w:val="both"/>
                        <w:rPr>
                          <w:szCs w:val="24"/>
                        </w:rPr>
                      </w:pPr>
                      <w:r>
                        <w:rPr>
                          <w:szCs w:val="24"/>
                        </w:rPr>
                        <w:t>E</w:t>
                      </w:r>
                      <w:r>
                        <w:rPr>
                          <w:szCs w:val="24"/>
                          <w:vertAlign w:val="subscript"/>
                        </w:rPr>
                        <w:t xml:space="preserve">04,t </w:t>
                      </w:r>
                      <w:r>
                        <w:rPr>
                          <w:szCs w:val="24"/>
                        </w:rPr>
                        <w:t xml:space="preserve">– STO prognozuojamas paskirstyti elektros energijos kiekis ŽĮ tinklais </w:t>
                      </w:r>
                      <w:r>
                        <w:rPr>
                          <w:i/>
                          <w:szCs w:val="24"/>
                        </w:rPr>
                        <w:t xml:space="preserve">t </w:t>
                      </w:r>
                      <w:r>
                        <w:rPr>
                          <w:szCs w:val="24"/>
                        </w:rPr>
                        <w:t>metais, kWh.</w:t>
                      </w:r>
                    </w:p>
                    <w:p>
                      <w:pPr>
                        <w:tabs>
                          <w:tab w:val="left" w:pos="1134"/>
                          <w:tab w:val="left" w:pos="1843"/>
                          <w:tab w:val="left" w:pos="2268"/>
                        </w:tabs>
                        <w:ind w:firstLine="709"/>
                        <w:jc w:val="both"/>
                        <w:rPr>
                          <w:szCs w:val="24"/>
                        </w:rPr>
                      </w:pPr>
                      <w:r>
                        <w:rPr>
                          <w:szCs w:val="24"/>
                        </w:rPr>
                        <w:t>T‘</w:t>
                      </w:r>
                      <w:r>
                        <w:rPr>
                          <w:szCs w:val="24"/>
                          <w:vertAlign w:val="subscript"/>
                        </w:rPr>
                        <w:t>10,t</w:t>
                      </w:r>
                      <w:r>
                        <w:rPr>
                          <w:szCs w:val="24"/>
                        </w:rPr>
                        <w:t xml:space="preserve"> – koreguota </w:t>
                      </w:r>
                      <w:r>
                        <w:rPr>
                          <w:i/>
                          <w:szCs w:val="24"/>
                        </w:rPr>
                        <w:t xml:space="preserve">t </w:t>
                      </w:r>
                      <w:r>
                        <w:rPr>
                          <w:szCs w:val="24"/>
                        </w:rPr>
                        <w:t>metų elektros energijos skirstymo paslaugos VĮ tinklais kainos viršutinė riba, ct/kWh;</w:t>
                      </w:r>
                    </w:p>
                    <w:p>
                      <w:pPr>
                        <w:tabs>
                          <w:tab w:val="left" w:pos="1134"/>
                          <w:tab w:val="left" w:pos="1843"/>
                          <w:tab w:val="left" w:pos="2268"/>
                        </w:tabs>
                        <w:ind w:firstLine="709"/>
                        <w:jc w:val="both"/>
                        <w:rPr>
                          <w:szCs w:val="24"/>
                        </w:rPr>
                      </w:pPr>
                      <w:r>
                        <w:rPr>
                          <w:szCs w:val="24"/>
                        </w:rPr>
                        <w:t>P‘</w:t>
                      </w:r>
                      <w:r>
                        <w:rPr>
                          <w:szCs w:val="24"/>
                          <w:vertAlign w:val="subscript"/>
                        </w:rPr>
                        <w:t>10,t</w:t>
                      </w:r>
                      <w:r>
                        <w:rPr>
                          <w:szCs w:val="24"/>
                        </w:rPr>
                        <w:t xml:space="preserve"> – koreguotos </w:t>
                      </w:r>
                      <w:r>
                        <w:rPr>
                          <w:i/>
                          <w:szCs w:val="24"/>
                        </w:rPr>
                        <w:t xml:space="preserve">t </w:t>
                      </w:r>
                      <w:r>
                        <w:rPr>
                          <w:szCs w:val="24"/>
                        </w:rPr>
                        <w:t>metų STO VĮ tinkle leidžiamos pajamos, EUR;</w:t>
                      </w:r>
                    </w:p>
                    <w:p>
                      <w:pPr>
                        <w:ind w:firstLine="709"/>
                        <w:jc w:val="both"/>
                        <w:rPr>
                          <w:szCs w:val="24"/>
                        </w:rPr>
                      </w:pPr>
                      <w:r>
                        <w:rPr>
                          <w:szCs w:val="24"/>
                        </w:rPr>
                        <w:t>E</w:t>
                      </w:r>
                      <w:r>
                        <w:rPr>
                          <w:szCs w:val="24"/>
                          <w:vertAlign w:val="subscript"/>
                        </w:rPr>
                        <w:t xml:space="preserve">10,t </w:t>
                      </w:r>
                      <w:r>
                        <w:rPr>
                          <w:szCs w:val="24"/>
                        </w:rPr>
                        <w:t xml:space="preserve">– STO prognozuojamas paskirstyti elektros energijos kiekis VĮ tinklais </w:t>
                      </w:r>
                      <w:r>
                        <w:rPr>
                          <w:i/>
                          <w:szCs w:val="24"/>
                        </w:rPr>
                        <w:t xml:space="preserve">t </w:t>
                      </w:r>
                      <w:r>
                        <w:rPr>
                          <w:szCs w:val="24"/>
                        </w:rPr>
                        <w:t>metais, kWh.</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sdtContent>
                </w:sdt>
                <w:sdt>
                  <w:sdtPr>
                    <w:alias w:val="77-1 p."/>
                    <w:tag w:val="part_66458081e7a64334adcf508c4efdeb08"/>
                    <w:lock w:val="sdtLocked"/>
                    <w:richText/>
                  </w:sdtPr>
                  <w:sdtContent>
                    <w:p>
                      <w:pPr>
                        <w:pStyle w:val="PlainText"/>
                        <w:ind w:firstLine="567"/>
                        <w:jc w:val="both"/>
                        <w:rPr>
                          <w:rFonts w:ascii="Times New Roman" w:hAnsi="Times New Roman"/>
                          <w:b/>
                          <w:bCs/>
                          <w:sz w:val="22"/>
                        </w:rPr>
                      </w:pPr>
                      <w:r>
                        <w:rPr>
                          <w:rFonts w:ascii="Times New Roman" w:hAnsi="Times New Roman"/>
                          <w:sz w:val="22"/>
                        </w:rPr>
                        <w:t>77</w:t>
                      </w:r>
                      <w:r>
                        <w:rPr>
                          <w:rFonts w:ascii="Times New Roman" w:hAnsi="Times New Roman"/>
                          <w:vertAlign w:val="superscript"/>
                          <w:sz w:val="22"/>
                        </w:rPr>
                        <w:t>1</w:t>
                      </w:r>
                      <w:r>
                        <w:rPr>
                          <w:rFonts w:ascii="Times New Roman" w:hAnsi="Times New Roman"/>
                          <w:sz w:val="22"/>
                        </w:rPr>
                        <w:t>.</w:t>
                      </w:r>
                      <w:r>
                        <w:rPr>
                          <w:rFonts w:ascii="Times New Roman" w:eastAsia="MS Mincho" w:hAnsi="Times New Roman"/>
                          <w:sz w:val="20"/>
                          <w:i/>
                          <w:iCs/>
                        </w:rPr>
                        <w:t xml:space="preserve"> Neteko galios nuo 2017-09-16</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78 p."/>
                    <w:tag w:val="part_18fb695b7f474088968159b4f52bed5e"/>
                    <w:lock w:val="sdtLocked"/>
                    <w:richText/>
                  </w:sdtPr>
                  <w:sdtContent>
                    <w:p>
                      <w:pPr>
                        <w:pStyle w:val="PlainText"/>
                        <w:ind w:firstLine="567"/>
                        <w:jc w:val="both"/>
                        <w:rPr>
                          <w:rFonts w:ascii="Times New Roman" w:hAnsi="Times New Roman"/>
                          <w:b/>
                          <w:bCs/>
                          <w:sz w:val="22"/>
                        </w:rPr>
                      </w:pPr>
                      <w:r>
                        <w:rPr>
                          <w:rFonts w:ascii="Times New Roman" w:hAnsi="Times New Roman"/>
                          <w:sz w:val="22"/>
                        </w:rPr>
                        <w:t>78</w:t>
                      </w:r>
                      <w:r>
                        <w:rPr>
                          <w:rFonts w:ascii="Times New Roman" w:hAnsi="Times New Roman"/>
                          <w:sz w:val="22"/>
                        </w:rPr>
                        <w:t>.</w:t>
                      </w:r>
                      <w:r>
                        <w:rPr>
                          <w:rFonts w:ascii="Times New Roman" w:eastAsia="MS Mincho" w:hAnsi="Times New Roman"/>
                          <w:sz w:val="20"/>
                          <w:i/>
                          <w:iCs/>
                        </w:rPr>
                        <w:t xml:space="preserve"> Neteko galios nuo 2017-09-16</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79 p."/>
                    <w:tag w:val="part_1bd0b22cf83c4fb49ebd1fc455e78e09"/>
                    <w:lock w:val="sdtLocked"/>
                    <w:richText/>
                  </w:sdtPr>
                  <w:sdtContent>
                    <w:p>
                      <w:pPr>
                        <w:pStyle w:val="PlainText"/>
                        <w:ind w:firstLine="567"/>
                        <w:jc w:val="both"/>
                        <w:rPr>
                          <w:rFonts w:ascii="Times New Roman" w:hAnsi="Times New Roman"/>
                          <w:b/>
                          <w:bCs/>
                          <w:sz w:val="22"/>
                        </w:rPr>
                      </w:pPr>
                      <w:r>
                        <w:rPr>
                          <w:rFonts w:ascii="Times New Roman" w:hAnsi="Times New Roman"/>
                          <w:sz w:val="22"/>
                        </w:rPr>
                        <w:t>79</w:t>
                      </w:r>
                      <w:r>
                        <w:rPr>
                          <w:rFonts w:ascii="Times New Roman" w:hAnsi="Times New Roman"/>
                          <w:sz w:val="22"/>
                        </w:rPr>
                        <w:t>.</w:t>
                      </w:r>
                      <w:r>
                        <w:rPr>
                          <w:rFonts w:ascii="Times New Roman" w:eastAsia="MS Mincho" w:hAnsi="Times New Roman"/>
                          <w:sz w:val="20"/>
                          <w:i/>
                          <w:iCs/>
                        </w:rPr>
                        <w:t xml:space="preserve"> Neteko galios nuo 2017-09-16</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sdtContent>
                </w:sdt>
                <w:sdt>
                  <w:sdtPr>
                    <w:alias w:val="80 p."/>
                    <w:tag w:val="part_9a8aac153f454bcf8feff75b31e5a099"/>
                    <w:lock w:val="sdtLocked"/>
                    <w:richText/>
                  </w:sdtPr>
                  <w:sdtContent>
                    <w:p>
                      <w:pPr>
                        <w:pStyle w:val="PlainText"/>
                        <w:ind w:firstLine="567"/>
                        <w:jc w:val="both"/>
                        <w:rPr>
                          <w:rFonts w:ascii="Times New Roman" w:hAnsi="Times New Roman"/>
                          <w:b/>
                          <w:bCs/>
                          <w:sz w:val="22"/>
                        </w:rPr>
                      </w:pPr>
                      <w:r>
                        <w:rPr>
                          <w:rFonts w:ascii="Times New Roman" w:hAnsi="Times New Roman"/>
                          <w:sz w:val="22"/>
                        </w:rPr>
                        <w:t>80</w:t>
                      </w:r>
                      <w:r>
                        <w:rPr>
                          <w:rFonts w:ascii="Times New Roman" w:hAnsi="Times New Roman"/>
                          <w:sz w:val="22"/>
                        </w:rPr>
                        <w:t>.</w:t>
                      </w:r>
                      <w:r>
                        <w:rPr>
                          <w:rFonts w:ascii="Times New Roman" w:eastAsia="MS Mincho" w:hAnsi="Times New Roman"/>
                          <w:sz w:val="20"/>
                          <w:i/>
                          <w:iCs/>
                        </w:rPr>
                        <w:t xml:space="preserve"> Neteko galios nuo 2017-09-16</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sdtContent>
                </w:sdt>
                <w:sdt>
                  <w:sdtPr>
                    <w:alias w:val="81 p."/>
                    <w:tag w:val="part_1d0b0e608478432f8aebd8ee5fa157ee"/>
                    <w:lock w:val="sdtLocked"/>
                    <w:richText/>
                  </w:sdtPr>
                  <w:sdtContent>
                    <w:p>
                      <w:pPr>
                        <w:pStyle w:val="PlainText"/>
                        <w:ind w:firstLine="567"/>
                        <w:jc w:val="both"/>
                        <w:rPr>
                          <w:rFonts w:ascii="Times New Roman" w:hAnsi="Times New Roman"/>
                          <w:b/>
                          <w:bCs/>
                          <w:sz w:val="22"/>
                        </w:rPr>
                      </w:pPr>
                      <w:r>
                        <w:rPr>
                          <w:rFonts w:ascii="Times New Roman" w:hAnsi="Times New Roman"/>
                          <w:sz w:val="22"/>
                        </w:rPr>
                        <w:t>81</w:t>
                      </w:r>
                      <w:r>
                        <w:rPr>
                          <w:rFonts w:ascii="Times New Roman" w:hAnsi="Times New Roman"/>
                          <w:sz w:val="22"/>
                        </w:rPr>
                        <w:t>.</w:t>
                      </w:r>
                      <w:r>
                        <w:rPr>
                          <w:rFonts w:ascii="Times New Roman" w:eastAsia="MS Mincho" w:hAnsi="Times New Roman"/>
                          <w:sz w:val="20"/>
                          <w:i/>
                          <w:iCs/>
                        </w:rPr>
                        <w:t xml:space="preserve"> Neteko galios nuo 2017-09-16</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sdtContent>
                </w:sdt>
                <w:sdt>
                  <w:sdtPr>
                    <w:alias w:val="82 p."/>
                    <w:tag w:val="part_4f898f2ff51342d1ac68f14ab6824599"/>
                    <w:lock w:val="sdtLocked"/>
                    <w:richText/>
                  </w:sdtPr>
                  <w:sdtContent>
                    <w:p>
                      <w:pPr>
                        <w:pStyle w:val="PlainText"/>
                        <w:ind w:firstLine="567"/>
                        <w:jc w:val="both"/>
                        <w:rPr>
                          <w:rFonts w:ascii="Times New Roman" w:hAnsi="Times New Roman"/>
                          <w:b/>
                          <w:bCs/>
                          <w:sz w:val="22"/>
                        </w:rPr>
                      </w:pPr>
                      <w:r>
                        <w:rPr>
                          <w:rFonts w:ascii="Times New Roman" w:hAnsi="Times New Roman"/>
                          <w:sz w:val="22"/>
                        </w:rPr>
                        <w:t>82</w:t>
                      </w:r>
                      <w:r>
                        <w:rPr>
                          <w:rFonts w:ascii="Times New Roman" w:hAnsi="Times New Roman"/>
                          <w:sz w:val="22"/>
                        </w:rPr>
                        <w:t>.</w:t>
                      </w:r>
                      <w:r>
                        <w:rPr>
                          <w:rFonts w:ascii="Times New Roman" w:eastAsia="MS Mincho" w:hAnsi="Times New Roman"/>
                          <w:sz w:val="20"/>
                          <w:i/>
                          <w:iCs/>
                        </w:rPr>
                        <w:t xml:space="preserve"> Neteko galios nuo 2017-09-16</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Content>
            </w:sdt>
          </w:sdtContent>
        </w:sdt>
        <w:sdt>
          <w:sdtPr>
            <w:alias w:val="skyrius"/>
            <w:tag w:val="part_7d668372387b4d80933ceb9892c81718"/>
            <w:lock w:val="sdtLocked"/>
            <w:richText/>
          </w:sdtPr>
          <w:sdtContent>
            <w:p>
              <w:pPr>
                <w:tabs>
                  <w:tab w:val="left" w:pos="1134"/>
                  <w:tab w:val="left" w:pos="1843"/>
                  <w:tab w:val="left" w:pos="2268"/>
                </w:tabs>
                <w:jc w:val="center"/>
                <w:rPr>
                  <w:b/>
                  <w:szCs w:val="24"/>
                </w:rPr>
              </w:pPr>
              <w:sdt>
                <w:sdtPr>
                  <w:alias w:val="Numeris"/>
                  <w:tag w:val="nr_7d668372387b4d80933ceb9892c81718"/>
                  <w:lock w:val="sdtLocked"/>
                  <w:richText/>
                </w:sdtPr>
                <w:sdtContent>
                  <w:r>
                    <w:rPr>
                      <w:b/>
                      <w:szCs w:val="24"/>
                    </w:rPr>
                    <w:t>IV</w:t>
                  </w:r>
                </w:sdtContent>
              </w:sdt>
              <w:r>
                <w:rPr>
                  <w:b/>
                  <w:szCs w:val="24"/>
                </w:rPr>
                <w:t xml:space="preserve"> SKYRIUS</w:t>
              </w:r>
            </w:p>
            <w:p>
              <w:pPr>
                <w:widowControl w:val="0"/>
                <w:tabs>
                  <w:tab w:val="left" w:pos="993"/>
                  <w:tab w:val="left" w:pos="1843"/>
                </w:tabs>
                <w:jc w:val="center"/>
                <w:rPr>
                  <w:b/>
                  <w:szCs w:val="24"/>
                </w:rPr>
              </w:pPr>
              <w:sdt>
                <w:sdtPr>
                  <w:alias w:val="Pavadinimas"/>
                  <w:tag w:val="title_7d668372387b4d80933ceb9892c81718"/>
                  <w:lock w:val="sdtLocked"/>
                  <w:richText/>
                </w:sdtPr>
                <w:sdtContent>
                  <w:r>
                    <w:rPr>
                      <w:b/>
                      <w:szCs w:val="24"/>
                    </w:rPr>
                    <w:t>ĮMONIŲ, BESIVERČIANČIŲ SKIRSTYMO VEIKLA, KURIŲ VEIKLOS TERITORIJOJE ESANČIŲ VARTOTOJŲ SKAIČIUS MAŽESNIS NEI 100 TŪKSTANČIŲ, KAINŲ VIRŠUTINIŲ RIBŲ NUSTATYMAS IR KOREGAVIMAS</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sdt>
              <w:sdtPr>
                <w:alias w:val="83 p."/>
                <w:tag w:val="part_d2f43d752fad4c99867c52fd77e7dc5b"/>
                <w:lock w:val="sdtLocked"/>
                <w:richText/>
              </w:sdtPr>
              <w:sdtContent>
                <w:p>
                  <w:pPr>
                    <w:tabs>
                      <w:tab w:val="left" w:pos="1134"/>
                    </w:tabs>
                    <w:ind w:firstLine="709"/>
                    <w:jc w:val="both"/>
                    <w:rPr>
                      <w:szCs w:val="24"/>
                    </w:rPr>
                  </w:pPr>
                  <w:sdt>
                    <w:sdtPr>
                      <w:alias w:val="Numeris"/>
                      <w:tag w:val="nr_d2f43d752fad4c99867c52fd77e7dc5b"/>
                      <w:lock w:val="sdtLocked"/>
                      <w:richText/>
                    </w:sdtPr>
                    <w:sdtContent>
                      <w:r>
                        <w:rPr>
                          <w:szCs w:val="24"/>
                        </w:rPr>
                        <w:t>83</w:t>
                      </w:r>
                    </w:sdtContent>
                  </w:sdt>
                  <w:r>
                    <w:rPr>
                      <w:szCs w:val="24"/>
                    </w:rPr>
                    <w:t>. Įmonėms, besiverčiančioms skirstymo veikla, kurių veiklos teritorijoje esančių vartotojų skaičius mažesnis nei 100 tūkstančių, elektros energijos skirstymo paslaugos ŽĮ ir VĮ tinklais kainos viršutinė riba visam reguliavimo periodui apskaičiuojama galutines pirmiesiems reguliavimo periodo metams STO atitinkamos įtampos tinkluose leidžiamas pajamas padalijus iš planuojamo paskirstyti atitinkamos įtampos tinklais elektros energijos kiekio ir apskaičiuojama pagal formules:</w:t>
                  </w:r>
                </w:p>
                <w:p>
                  <w:pPr>
                    <w:tabs>
                      <w:tab w:val="left" w:pos="1134"/>
                    </w:tabs>
                    <w:ind w:firstLine="709"/>
                    <w:jc w:val="both"/>
                    <w:rPr>
                      <w:szCs w:val="24"/>
                    </w:rPr>
                  </w:pPr>
                </w:p>
                <w:p>
                  <w:pPr>
                    <w:tabs>
                      <w:tab w:val="left" w:pos="1134"/>
                    </w:tabs>
                    <w:jc w:val="center"/>
                  </w:pPr>
                  <m:oMath>
                    <m:sSub>
                      <m:sSubPr>
                        <m:ctrlPr>
                          <w:rPr>
                            <w:rFonts w:ascii="Cambria Math" w:hAnsi="Cambria Math"/>
                            <w:i/>
                          </w:rPr>
                        </m:ctrlPr>
                      </m:sSubPr>
                      <m:e>
                        <m:r>
                          <w:rPr>
                            <w:rFonts w:ascii="Cambria Math" w:hAnsi="Cambria Math"/>
                          </w:rPr>
                          <m:t>T</m:t>
                        </m:r>
                      </m:e>
                      <m:sub>
                        <m:r>
                          <w:rPr>
                            <w:rFonts w:ascii="Cambria Math" w:hAnsi="Cambria Math"/>
                          </w:rPr>
                          <m:t>04</m:t>
                        </m:r>
                      </m:sub>
                    </m:sSub>
                    <m:r>
                      <w:rPr>
                        <w:rFonts w:ascii="Cambria Math" w:hAnsi="Cambria Math"/>
                      </w:rPr>
                      <m:t>=</m:t>
                    </m:r>
                    <m:f>
                      <m:fPr>
                        <m:ctrlPr>
                          <w:rPr>
                            <w:rFonts w:ascii="Cambria Math" w:hAnsi="Cambria Math"/>
                            <w:i/>
                          </w:rPr>
                        </m:ctrlPr>
                      </m:fPr>
                      <m:num>
                        <m:sSub>
                          <m:sSubPr>
                            <m:ctrlPr>
                              <w:rPr>
                                <w:rFonts w:ascii="Cambria Math" w:hAnsi="Cambria Math"/>
                                <w:i/>
                              </w:rPr>
                            </m:ctrlPr>
                          </m:sSubPr>
                          <m:e>
                            <m:r>
                              <w:rPr>
                                <w:rFonts w:ascii="Cambria Math" w:hAnsi="Cambria Math"/>
                              </w:rPr>
                              <m:t>P</m:t>
                            </m:r>
                          </m:e>
                          <m:sub>
                            <m:r>
                              <w:rPr>
                                <w:rFonts w:ascii="Cambria Math" w:hAnsi="Cambria Math"/>
                              </w:rPr>
                              <m:t xml:space="preserve">04 </m:t>
                            </m:r>
                          </m:sub>
                        </m:sSub>
                      </m:num>
                      <m:den>
                        <m:sSub>
                          <m:sSubPr>
                            <m:ctrlPr>
                              <w:rPr>
                                <w:rFonts w:ascii="Cambria Math" w:hAnsi="Cambria Math"/>
                                <w:i/>
                              </w:rPr>
                            </m:ctrlPr>
                          </m:sSubPr>
                          <m:e>
                            <m:r>
                              <w:rPr>
                                <w:rFonts w:ascii="Cambria Math" w:hAnsi="Cambria Math"/>
                              </w:rPr>
                              <m:t>E</m:t>
                            </m:r>
                          </m:e>
                          <m:sub>
                            <m:r>
                              <w:rPr>
                                <w:rFonts w:ascii="Cambria Math" w:hAnsi="Cambria Math"/>
                              </w:rPr>
                              <m:t>04</m:t>
                            </m:r>
                          </m:sub>
                        </m:sSub>
                      </m:den>
                    </m:f>
                    <m:r>
                      <w:rPr>
                        <w:rFonts w:ascii="Cambria Math" w:hAnsi="Cambria Math"/>
                      </w:rPr>
                      <m:t xml:space="preserve">×100          </m:t>
                    </m:r>
                  </m:oMath>
                  <w:r>
                    <w:t>(52)</w:t>
                  </w:r>
                </w:p>
                <w:p>
                  <w:pPr>
                    <w:tabs>
                      <w:tab w:val="left" w:pos="1134"/>
                    </w:tabs>
                    <w:ind w:firstLine="709"/>
                    <w:jc w:val="both"/>
                  </w:pPr>
                </w:p>
                <w:p>
                  <w:pPr>
                    <w:tabs>
                      <w:tab w:val="left" w:pos="1134"/>
                    </w:tabs>
                    <w:ind w:firstLine="709"/>
                    <w:jc w:val="both"/>
                    <w:rPr>
                      <w:szCs w:val="24"/>
                    </w:rPr>
                  </w:pPr>
                  <w:r>
                    <w:rPr>
                      <w:szCs w:val="24"/>
                    </w:rPr>
                    <w:t>ir</w:t>
                  </w:r>
                </w:p>
                <w:p>
                  <w:pPr>
                    <w:tabs>
                      <w:tab w:val="left" w:pos="1134"/>
                    </w:tabs>
                    <w:ind w:firstLine="709"/>
                    <w:jc w:val="both"/>
                    <w:rPr>
                      <w:szCs w:val="24"/>
                    </w:rPr>
                  </w:pPr>
                </w:p>
                <w:p>
                  <w:pPr>
                    <w:tabs>
                      <w:tab w:val="left" w:pos="1134"/>
                    </w:tabs>
                    <w:jc w:val="center"/>
                    <w:rPr>
                      <w:szCs w:val="24"/>
                    </w:rPr>
                  </w:pPr>
                  <m:oMath>
                    <m:sSub>
                      <m:sSubPr>
                        <m:ctrlPr>
                          <w:rPr>
                            <w:rFonts w:ascii="Cambria Math" w:hAnsi="Cambria Math"/>
                            <w:i/>
                          </w:rPr>
                        </m:ctrlPr>
                      </m:sSubPr>
                      <m:e>
                        <m:r>
                          <w:rPr>
                            <w:rFonts w:ascii="Cambria Math" w:hAnsi="Cambria Math"/>
                          </w:rPr>
                          <m:t>T</m:t>
                        </m:r>
                      </m:e>
                      <m:sub>
                        <m:r>
                          <w:rPr>
                            <w:rFonts w:ascii="Cambria Math" w:hAnsi="Cambria Math"/>
                          </w:rPr>
                          <m:t>10</m:t>
                        </m:r>
                      </m:sub>
                    </m:sSub>
                    <m:r>
                      <w:rPr>
                        <w:rFonts w:ascii="Cambria Math" w:hAnsi="Cambria Math"/>
                      </w:rPr>
                      <m:t>=</m:t>
                    </m:r>
                    <m:f>
                      <m:fPr>
                        <m:ctrlPr>
                          <w:rPr>
                            <w:rFonts w:ascii="Cambria Math" w:hAnsi="Cambria Math"/>
                            <w:i/>
                          </w:rPr>
                        </m:ctrlPr>
                      </m:fPr>
                      <m:num>
                        <m:sSub>
                          <m:sSubPr>
                            <m:ctrlPr>
                              <w:rPr>
                                <w:rFonts w:ascii="Cambria Math" w:hAnsi="Cambria Math"/>
                                <w:i/>
                              </w:rPr>
                            </m:ctrlPr>
                          </m:sSubPr>
                          <m:e>
                            <m:r>
                              <w:rPr>
                                <w:rFonts w:ascii="Cambria Math" w:hAnsi="Cambria Math"/>
                              </w:rPr>
                              <m:t>P</m:t>
                            </m:r>
                          </m:e>
                          <m:sub>
                            <m:r>
                              <w:rPr>
                                <w:rFonts w:ascii="Cambria Math" w:hAnsi="Cambria Math"/>
                              </w:rPr>
                              <m:t>10</m:t>
                            </m:r>
                          </m:sub>
                        </m:sSub>
                      </m:num>
                      <m:den>
                        <m:sSub>
                          <m:sSubPr>
                            <m:ctrlPr>
                              <w:rPr>
                                <w:rFonts w:ascii="Cambria Math" w:hAnsi="Cambria Math"/>
                                <w:i/>
                              </w:rPr>
                            </m:ctrlPr>
                          </m:sSubPr>
                          <m:e>
                            <m:r>
                              <w:rPr>
                                <w:rFonts w:ascii="Cambria Math" w:hAnsi="Cambria Math"/>
                              </w:rPr>
                              <m:t>E</m:t>
                            </m:r>
                          </m:e>
                          <m:sub>
                            <m:r>
                              <w:rPr>
                                <w:rFonts w:ascii="Cambria Math" w:hAnsi="Cambria Math"/>
                              </w:rPr>
                              <m:t>10</m:t>
                            </m:r>
                          </m:sub>
                        </m:sSub>
                      </m:den>
                    </m:f>
                    <m:r>
                      <w:rPr>
                        <w:rFonts w:ascii="Cambria Math" w:hAnsi="Cambria Math"/>
                      </w:rPr>
                      <m:t xml:space="preserve"> ×100</m:t>
                    </m:r>
                  </m:oMath>
                  <w:r>
                    <w:tab/>
                    <w:t>(53)</w:t>
                  </w:r>
                </w:p>
                <w:p>
                  <w:pPr>
                    <w:tabs>
                      <w:tab w:val="left" w:pos="1134"/>
                    </w:tabs>
                    <w:ind w:firstLine="709"/>
                    <w:jc w:val="both"/>
                  </w:pPr>
                </w:p>
                <w:p>
                  <w:pPr>
                    <w:tabs>
                      <w:tab w:val="left" w:pos="1134"/>
                    </w:tabs>
                    <w:ind w:firstLine="709"/>
                    <w:jc w:val="both"/>
                    <w:rPr>
                      <w:i/>
                    </w:rPr>
                  </w:pPr>
                  <w:r>
                    <w:rPr>
                      <w:i/>
                    </w:rPr>
                    <w:t xml:space="preserve">čia: </w:t>
                  </w:r>
                </w:p>
                <w:p>
                  <w:pPr>
                    <w:tabs>
                      <w:tab w:val="left" w:pos="1134"/>
                      <w:tab w:val="left" w:pos="1843"/>
                      <w:tab w:val="left" w:pos="2268"/>
                    </w:tabs>
                    <w:ind w:firstLine="709"/>
                    <w:jc w:val="both"/>
                    <w:rPr>
                      <w:szCs w:val="24"/>
                    </w:rPr>
                  </w:pPr>
                  <w:r>
                    <w:rPr>
                      <w:szCs w:val="24"/>
                    </w:rPr>
                    <w:t>T</w:t>
                  </w:r>
                  <w:r>
                    <w:rPr>
                      <w:szCs w:val="24"/>
                      <w:vertAlign w:val="subscript"/>
                    </w:rPr>
                    <w:t>04</w:t>
                  </w:r>
                  <w:r>
                    <w:rPr>
                      <w:szCs w:val="24"/>
                    </w:rPr>
                    <w:t xml:space="preserve"> – bazinė elektros energijos skirstymo paslaugos ŽĮ tinklais kainos viršutinė riba, ct/kWh;</w:t>
                  </w:r>
                </w:p>
                <w:p>
                  <w:pPr>
                    <w:tabs>
                      <w:tab w:val="left" w:pos="1134"/>
                      <w:tab w:val="left" w:pos="1843"/>
                      <w:tab w:val="left" w:pos="2268"/>
                    </w:tabs>
                    <w:ind w:firstLine="709"/>
                    <w:jc w:val="both"/>
                    <w:rPr>
                      <w:szCs w:val="24"/>
                    </w:rPr>
                  </w:pPr>
                  <w:r>
                    <w:rPr>
                      <w:szCs w:val="24"/>
                    </w:rPr>
                    <w:t>P</w:t>
                  </w:r>
                  <w:r>
                    <w:rPr>
                      <w:szCs w:val="24"/>
                      <w:vertAlign w:val="subscript"/>
                    </w:rPr>
                    <w:t>04</w:t>
                  </w:r>
                  <w:r>
                    <w:rPr>
                      <w:szCs w:val="24"/>
                    </w:rPr>
                    <w:t xml:space="preserve"> – galutinės pirmųjų reguliavimo periodo metų STO ŽĮ tinkle</w:t>
                  </w:r>
                  <w:r>
                    <w:rPr>
                      <w:i/>
                      <w:szCs w:val="24"/>
                    </w:rPr>
                    <w:t xml:space="preserve"> </w:t>
                  </w:r>
                  <w:r>
                    <w:rPr>
                      <w:szCs w:val="24"/>
                    </w:rPr>
                    <w:t>leidžiamos pajamos, EUR;</w:t>
                  </w:r>
                </w:p>
                <w:p>
                  <w:pPr>
                    <w:tabs>
                      <w:tab w:val="left" w:pos="1134"/>
                      <w:tab w:val="left" w:pos="1843"/>
                      <w:tab w:val="left" w:pos="2268"/>
                    </w:tabs>
                    <w:ind w:firstLine="709"/>
                    <w:jc w:val="both"/>
                    <w:rPr>
                      <w:szCs w:val="24"/>
                    </w:rPr>
                  </w:pPr>
                  <w:r>
                    <w:rPr>
                      <w:szCs w:val="24"/>
                    </w:rPr>
                    <w:t>E</w:t>
                  </w:r>
                  <w:r>
                    <w:rPr>
                      <w:szCs w:val="24"/>
                      <w:vertAlign w:val="subscript"/>
                    </w:rPr>
                    <w:t>04</w:t>
                  </w:r>
                  <w:r>
                    <w:rPr>
                      <w:szCs w:val="24"/>
                    </w:rPr>
                    <w:t xml:space="preserve"> – STO prognozuojamas paskirstyti elektros energijos kiekis ŽĮ tinklais pirmaisiais reguliavimo periodo metais, kWh.</w:t>
                  </w:r>
                </w:p>
                <w:p>
                  <w:pPr>
                    <w:tabs>
                      <w:tab w:val="left" w:pos="1134"/>
                      <w:tab w:val="left" w:pos="1843"/>
                      <w:tab w:val="left" w:pos="2268"/>
                    </w:tabs>
                    <w:ind w:firstLine="709"/>
                    <w:jc w:val="both"/>
                    <w:rPr>
                      <w:szCs w:val="24"/>
                    </w:rPr>
                  </w:pPr>
                  <w:r>
                    <w:rPr>
                      <w:szCs w:val="24"/>
                    </w:rPr>
                    <w:t>T</w:t>
                  </w:r>
                  <w:r>
                    <w:rPr>
                      <w:szCs w:val="24"/>
                      <w:vertAlign w:val="subscript"/>
                    </w:rPr>
                    <w:t>10</w:t>
                  </w:r>
                  <w:r>
                    <w:rPr>
                      <w:szCs w:val="24"/>
                    </w:rPr>
                    <w:t xml:space="preserve"> – bazinė elektros energijos skirstymo paslaugos VĮ tinklais kainos viršutinė riba, ct/kWh;</w:t>
                  </w:r>
                </w:p>
                <w:p>
                  <w:pPr>
                    <w:tabs>
                      <w:tab w:val="left" w:pos="1134"/>
                      <w:tab w:val="left" w:pos="1843"/>
                      <w:tab w:val="left" w:pos="2268"/>
                    </w:tabs>
                    <w:ind w:firstLine="709"/>
                    <w:jc w:val="both"/>
                    <w:rPr>
                      <w:szCs w:val="24"/>
                    </w:rPr>
                  </w:pPr>
                  <w:r>
                    <w:rPr>
                      <w:szCs w:val="24"/>
                    </w:rPr>
                    <w:t>P</w:t>
                  </w:r>
                  <w:r>
                    <w:rPr>
                      <w:szCs w:val="24"/>
                      <w:vertAlign w:val="subscript"/>
                    </w:rPr>
                    <w:t>10</w:t>
                  </w:r>
                  <w:r>
                    <w:rPr>
                      <w:szCs w:val="24"/>
                    </w:rPr>
                    <w:t xml:space="preserve"> – galutinės pirmųjų reguliavimo periodo metų STO VĮ tinkle</w:t>
                  </w:r>
                  <w:r>
                    <w:rPr>
                      <w:i/>
                      <w:szCs w:val="24"/>
                    </w:rPr>
                    <w:t xml:space="preserve"> </w:t>
                  </w:r>
                  <w:r>
                    <w:rPr>
                      <w:szCs w:val="24"/>
                    </w:rPr>
                    <w:t>leidžiamos pajamos, EUR;</w:t>
                  </w:r>
                </w:p>
                <w:p>
                  <w:pPr>
                    <w:ind w:firstLine="720"/>
                    <w:jc w:val="both"/>
                    <w:rPr>
                      <w:szCs w:val="24"/>
                    </w:rPr>
                  </w:pPr>
                  <w:r>
                    <w:rPr>
                      <w:szCs w:val="24"/>
                    </w:rPr>
                    <w:t>E</w:t>
                  </w:r>
                  <w:r>
                    <w:rPr>
                      <w:szCs w:val="24"/>
                      <w:vertAlign w:val="subscript"/>
                    </w:rPr>
                    <w:t>10</w:t>
                  </w:r>
                  <w:r>
                    <w:rPr>
                      <w:szCs w:val="24"/>
                    </w:rPr>
                    <w:t xml:space="preserve"> – STO prognozuojamas paskirstyti elektros energijos kiekis VĮ tinklais pirmaisiais reguliavimo periodo metais, kWh.</w:t>
                  </w:r>
                </w:p>
                <w:p>
                  <w:pPr>
                    <w:jc w:val="both"/>
                    <w:rPr>
                      <w:i/>
                      <w:sz w:val="20"/>
                    </w:rPr>
                  </w:pPr>
                  <w:r>
                    <w:rPr>
                      <w:b/>
                      <w:i/>
                      <w:sz w:val="20"/>
                    </w:rPr>
                    <w:t>TAR pastaba.</w:t>
                  </w:r>
                  <w:r>
                    <w:rPr>
                      <w:i/>
                      <w:sz w:val="20"/>
                    </w:rPr>
                    <w:t xml:space="preserve"> 83 punkto nuostatose nurodyti Metodikos pakeitimai įmonėms, besiverčiančioms skirstymo ir visuomeninio tiekimo veiklomis, kurių veiklos teritorijoje esančių vartotojų skaičius mažesnis nei 100 tūkstančių, taikomi nustatant arba koreguojant 2019 m. ir vėlesnių metų kainų viršutines ribas.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sdtContent>
            </w:sdt>
            <w:sdt>
              <w:sdtPr>
                <w:alias w:val="84 p."/>
                <w:tag w:val="part_b72322a4e7dd4567a39dfcd92a5e827e"/>
                <w:lock w:val="sdtLocked"/>
                <w:richText/>
              </w:sdtPr>
              <w:sdtContent>
                <w:p>
                  <w:pPr>
                    <w:tabs>
                      <w:tab w:val="left" w:pos="1134"/>
                      <w:tab w:val="left" w:pos="1843"/>
                      <w:tab w:val="left" w:pos="2268"/>
                    </w:tabs>
                    <w:ind w:firstLine="720"/>
                    <w:jc w:val="both"/>
                    <w:rPr>
                      <w:szCs w:val="24"/>
                    </w:rPr>
                  </w:pPr>
                  <w:sdt>
                    <w:sdtPr>
                      <w:alias w:val="Numeris"/>
                      <w:tag w:val="nr_b72322a4e7dd4567a39dfcd92a5e827e"/>
                      <w:lock w:val="sdtLocked"/>
                      <w:richText/>
                    </w:sdtPr>
                    <w:sdtContent>
                      <w:r>
                        <w:rPr>
                          <w:szCs w:val="24"/>
                        </w:rPr>
                        <w:t>84</w:t>
                      </w:r>
                    </w:sdtContent>
                  </w:sdt>
                  <w:r>
                    <w:rPr>
                      <w:szCs w:val="24"/>
                    </w:rPr>
                    <w:t xml:space="preserve">. Elektros energijos skirstymo paslaugų ŽĮ ir VĮ tinklais kainų viršutinės ribos </w:t>
                  </w:r>
                  <w:r>
                    <w:t>kitiems reguliavimo periodo metams yra koreguojamos</w:t>
                  </w:r>
                  <w:r>
                    <w:rPr>
                      <w:szCs w:val="24"/>
                    </w:rPr>
                    <w:t xml:space="preserve"> dėl infliacijos, vidutinio darbo užmokesčio pokyčio, planuojamų technologinių sąnaudų, mokesčių ir kapitalo kaštų pokyčių bei prognozuojamo paskirstyti elektros energijos kiekio. Bazinės STO leidžiamos pajamos gali būti koreguojamos ir dėl kitų reikšmingų pajamų ir (ar) sąnaudų pokyčių, kuriuos sąlygojo teisės aktų pakeitimai ir (ar) kiti objektyvūs (nuo STO nepriklausantys) veiksniai.</w:t>
                  </w:r>
                </w:p>
                <w:p>
                  <w:pPr>
                    <w:tabs>
                      <w:tab w:val="left" w:pos="1134"/>
                      <w:tab w:val="left" w:pos="1843"/>
                      <w:tab w:val="left" w:pos="2268"/>
                    </w:tabs>
                    <w:jc w:val="both"/>
                    <w:rPr>
                      <w:sz w:val="20"/>
                    </w:rPr>
                  </w:pPr>
                  <w:r>
                    <w:rPr>
                      <w:b/>
                      <w:i/>
                      <w:sz w:val="20"/>
                    </w:rPr>
                    <w:t>TAR pastaba.</w:t>
                  </w:r>
                  <w:r>
                    <w:rPr>
                      <w:i/>
                      <w:sz w:val="20"/>
                    </w:rPr>
                    <w:t xml:space="preserve"> 84 punkto nuostatose nurodyti Metodikos pakeitimai įmonėms, besiverčiančioms skirstymo ir visuomeninio tiekimo veiklomis, kurių veiklos teritorijoje esančių vartotojų skaičius mažesnis nei 100 tūkstančių, taikomi nustatant arba koreguojant 2019 m. ir vėlesnių metų kainų viršutines ribas.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sdtContent>
            </w:sdt>
            <w:sdt>
              <w:sdtPr>
                <w:alias w:val="85 p."/>
                <w:tag w:val="part_7e856ca441694ac8927c65af01ee0706"/>
                <w:lock w:val="sdtLocked"/>
                <w:richText/>
              </w:sdtPr>
              <w:sdtContent>
                <w:p>
                  <w:pPr>
                    <w:tabs>
                      <w:tab w:val="left" w:pos="1080"/>
                      <w:tab w:val="left" w:pos="1843"/>
                      <w:tab w:val="left" w:pos="2268"/>
                    </w:tabs>
                    <w:ind w:firstLine="720"/>
                    <w:jc w:val="both"/>
                    <w:rPr>
                      <w:szCs w:val="24"/>
                    </w:rPr>
                  </w:pPr>
                  <w:sdt>
                    <w:sdtPr>
                      <w:alias w:val="Numeris"/>
                      <w:tag w:val="nr_7e856ca441694ac8927c65af01ee0706"/>
                      <w:lock w:val="sdtLocked"/>
                      <w:richText/>
                    </w:sdtPr>
                    <w:sdtContent>
                      <w:r>
                        <w:rPr>
                          <w:szCs w:val="24"/>
                        </w:rPr>
                        <w:t>85</w:t>
                      </w:r>
                    </w:sdtContent>
                  </w:sdt>
                  <w:r>
                    <w:rPr>
                      <w:szCs w:val="24"/>
                    </w:rPr>
                    <w:t xml:space="preserve">. Koreguotos </w:t>
                  </w:r>
                  <w:r>
                    <w:rPr>
                      <w:i/>
                      <w:szCs w:val="24"/>
                    </w:rPr>
                    <w:t>t</w:t>
                  </w:r>
                  <w:r>
                    <w:rPr>
                      <w:szCs w:val="24"/>
                    </w:rPr>
                    <w:t xml:space="preserve"> metų STO leidžiamos skirstymo paslaugos atitinkamos įtampos tinkle pajamos apskaičiuojamos pagal formules:</w:t>
                  </w:r>
                </w:p>
                <w:p>
                  <w:pPr>
                    <w:tabs>
                      <w:tab w:val="left" w:pos="1134"/>
                      <w:tab w:val="left" w:pos="1843"/>
                      <w:tab w:val="left" w:pos="2268"/>
                    </w:tabs>
                    <w:ind w:left="709"/>
                    <w:jc w:val="both"/>
                    <w:rPr>
                      <w:szCs w:val="24"/>
                    </w:rPr>
                  </w:pPr>
                </w:p>
                <w:p>
                  <w:pPr>
                    <w:tabs>
                      <w:tab w:val="left" w:pos="142"/>
                    </w:tabs>
                    <w:ind w:right="-567"/>
                    <w:jc w:val="both"/>
                    <w:rPr>
                      <w:szCs w:val="24"/>
                    </w:rPr>
                  </w:pPr>
                  <m:oMath>
                    <m:sSub>
                      <m:sSubPr>
                        <m:ctrlPr>
                          <w:rPr>
                            <w:rFonts w:ascii="Cambria Math" w:hAnsi="Cambria Math"/>
                            <w:i/>
                            <w:szCs w:val="24"/>
                          </w:rPr>
                        </m:ctrlPr>
                      </m:sSubPr>
                      <m:e>
                        <m:r>
                          <w:rPr>
                            <w:rFonts w:ascii="Cambria Math" w:hAnsi="Cambria Math"/>
                            <w:szCs w:val="24"/>
                          </w:rPr>
                          <m:t>P</m:t>
                        </m:r>
                        <m:r>
                          <w:rPr>
                            <w:rFonts w:ascii="Cambria Math" w:hAnsi="Cambria Math"/>
                            <w:szCs w:val="24"/>
                          </w:rPr>
                          <m:t>'</m:t>
                        </m:r>
                      </m:e>
                      <m:sub>
                        <m:r>
                          <w:rPr>
                            <w:rFonts w:ascii="Cambria Math" w:hAnsi="Cambria Math"/>
                            <w:szCs w:val="24"/>
                          </w:rPr>
                          <m:t>04,</m:t>
                        </m:r>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OPEX</m:t>
                        </m:r>
                        <m:r>
                          <w:rPr>
                            <w:rFonts w:ascii="Cambria Math" w:hAnsi="Cambria Math"/>
                            <w:szCs w:val="24"/>
                          </w:rPr>
                          <m:t>'</m:t>
                        </m:r>
                      </m:e>
                      <m:sub>
                        <m:d>
                          <m:dPr>
                            <m:ctrlPr>
                              <w:rPr>
                                <w:rFonts w:ascii="Cambria Math" w:hAnsi="Cambria Math"/>
                                <w:i/>
                                <w:szCs w:val="24"/>
                              </w:rPr>
                            </m:ctrlPr>
                          </m:dPr>
                          <m:e>
                            <m:r>
                              <w:rPr>
                                <w:rFonts w:ascii="Cambria Math" w:hAnsi="Cambria Math"/>
                                <w:szCs w:val="24"/>
                              </w:rPr>
                              <m:t>be</m:t>
                            </m:r>
                            <m:r>
                              <w:rPr>
                                <w:rFonts w:ascii="Cambria Math" w:hAnsi="Cambria Math"/>
                                <w:szCs w:val="24"/>
                              </w:rPr>
                              <m:t xml:space="preserve"> </m:t>
                            </m:r>
                            <m:r>
                              <w:rPr>
                                <w:rFonts w:ascii="Cambria Math" w:hAnsi="Cambria Math"/>
                                <w:szCs w:val="24"/>
                              </w:rPr>
                              <m:t>DU</m:t>
                            </m:r>
                          </m:e>
                        </m:d>
                        <m:r>
                          <w:rPr>
                            <w:rFonts w:ascii="Cambria Math" w:hAnsi="Cambria Math"/>
                            <w:szCs w:val="24"/>
                          </w:rPr>
                          <m:t>04,</m:t>
                        </m:r>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OPEX</m:t>
                        </m:r>
                        <m:r>
                          <w:rPr>
                            <w:rFonts w:ascii="Cambria Math" w:hAnsi="Cambria Math"/>
                            <w:szCs w:val="24"/>
                          </w:rPr>
                          <m:t>'</m:t>
                        </m:r>
                      </m:e>
                      <m:sub>
                        <m:d>
                          <m:dPr>
                            <m:ctrlPr>
                              <w:rPr>
                                <w:rFonts w:ascii="Cambria Math" w:hAnsi="Cambria Math"/>
                                <w:i/>
                                <w:szCs w:val="24"/>
                              </w:rPr>
                            </m:ctrlPr>
                          </m:dPr>
                          <m:e>
                            <m:r>
                              <w:rPr>
                                <w:rFonts w:ascii="Cambria Math" w:hAnsi="Cambria Math"/>
                                <w:szCs w:val="24"/>
                              </w:rPr>
                              <m:t>DU</m:t>
                            </m:r>
                          </m:e>
                        </m:d>
                        <m:r>
                          <w:rPr>
                            <w:rFonts w:ascii="Cambria Math" w:hAnsi="Cambria Math"/>
                            <w:szCs w:val="24"/>
                          </w:rPr>
                          <m:t>04,</m:t>
                        </m:r>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M</m:t>
                        </m:r>
                      </m:e>
                      <m:sub>
                        <m:r>
                          <w:rPr>
                            <w:rFonts w:ascii="Cambria Math" w:hAnsi="Cambria Math"/>
                            <w:szCs w:val="24"/>
                          </w:rPr>
                          <m:t>04,</m:t>
                        </m:r>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S</m:t>
                        </m:r>
                      </m:e>
                      <m:sub>
                        <m:r>
                          <w:rPr>
                            <w:rFonts w:ascii="Cambria Math" w:hAnsi="Cambria Math"/>
                            <w:szCs w:val="24"/>
                          </w:rPr>
                          <m:t>sr</m:t>
                        </m:r>
                        <m:r>
                          <w:rPr>
                            <w:rFonts w:ascii="Cambria Math" w:hAnsi="Cambria Math"/>
                            <w:szCs w:val="24"/>
                          </w:rPr>
                          <m:t>04,</m:t>
                        </m:r>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S</m:t>
                        </m:r>
                      </m:e>
                      <m:sub>
                        <m:r>
                          <w:rPr>
                            <w:rFonts w:ascii="Cambria Math" w:hAnsi="Cambria Math"/>
                            <w:szCs w:val="24"/>
                          </w:rPr>
                          <m:t>n</m:t>
                        </m:r>
                        <m:r>
                          <w:rPr>
                            <w:rFonts w:ascii="Cambria Math" w:hAnsi="Cambria Math"/>
                            <w:szCs w:val="24"/>
                          </w:rPr>
                          <m:t>04,</m:t>
                        </m:r>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sSub>
                          <m:sSubPr>
                            <m:ctrlPr>
                              <w:rPr>
                                <w:rFonts w:ascii="Cambria Math" w:hAnsi="Cambria Math"/>
                                <w:i/>
                                <w:szCs w:val="24"/>
                              </w:rPr>
                            </m:ctrlPr>
                          </m:sSubPr>
                          <m:e>
                            <m:r>
                              <w:rPr>
                                <w:rFonts w:ascii="Cambria Math" w:hAnsi="Cambria Math"/>
                                <w:szCs w:val="24"/>
                              </w:rPr>
                              <m:t>N</m:t>
                            </m:r>
                          </m:e>
                          <m:sub>
                            <m:r>
                              <w:rPr>
                                <w:rFonts w:ascii="Cambria Math" w:hAnsi="Cambria Math"/>
                                <w:szCs w:val="24"/>
                              </w:rPr>
                              <m:t>04,</m:t>
                            </m:r>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NT</m:t>
                            </m:r>
                          </m:e>
                          <m:sub>
                            <m:r>
                              <w:rPr>
                                <w:rFonts w:ascii="Cambria Math" w:hAnsi="Cambria Math"/>
                                <w:szCs w:val="24"/>
                              </w:rPr>
                              <m:t>04,</m:t>
                            </m:r>
                            <m:r>
                              <w:rPr>
                                <w:rFonts w:ascii="Cambria Math" w:hAnsi="Cambria Math"/>
                                <w:szCs w:val="24"/>
                              </w:rPr>
                              <m:t>t</m:t>
                            </m:r>
                          </m:sub>
                        </m:sSub>
                        <m:r>
                          <w:rPr>
                            <w:rFonts w:ascii="Cambria Math" w:hAnsi="Cambria Math"/>
                            <w:szCs w:val="24"/>
                          </w:rPr>
                          <m:t>+</m:t>
                        </m:r>
                        <m:r>
                          <w:rPr>
                            <w:rFonts w:ascii="Cambria Math" w:hAnsi="Cambria Math"/>
                            <w:szCs w:val="24"/>
                          </w:rPr>
                          <m:t>ROI</m:t>
                        </m:r>
                      </m:e>
                      <m:sub>
                        <m:r>
                          <w:rPr>
                            <w:rFonts w:ascii="Cambria Math" w:hAnsi="Cambria Math"/>
                            <w:szCs w:val="24"/>
                          </w:rPr>
                          <m:t>04,</m:t>
                        </m:r>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S</m:t>
                        </m:r>
                      </m:e>
                      <m:sub>
                        <m:r>
                          <w:rPr>
                            <w:rFonts w:ascii="Cambria Math" w:hAnsi="Cambria Math"/>
                            <w:szCs w:val="24"/>
                          </w:rPr>
                          <m:t>04,</m:t>
                        </m:r>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OI</m:t>
                        </m:r>
                      </m:e>
                      <m:sub>
                        <m:r>
                          <w:rPr>
                            <w:rFonts w:ascii="Cambria Math" w:hAnsi="Cambria Math"/>
                            <w:szCs w:val="24"/>
                          </w:rPr>
                          <m:t>04,</m:t>
                        </m:r>
                        <m:r>
                          <w:rPr>
                            <w:rFonts w:ascii="Cambria Math" w:hAnsi="Cambria Math"/>
                            <w:szCs w:val="24"/>
                          </w:rPr>
                          <m:t>t</m:t>
                        </m:r>
                      </m:sub>
                    </m:sSub>
                    <m:r>
                      <w:rPr>
                        <w:rFonts w:ascii="Cambria Math" w:hAnsi="Cambria Math"/>
                        <w:szCs w:val="24"/>
                      </w:rPr>
                      <m:t xml:space="preserve">- </m:t>
                    </m:r>
                    <m:sSub>
                      <m:sSubPr>
                        <m:ctrlPr>
                          <w:rPr>
                            <w:rFonts w:ascii="Cambria Math" w:hAnsi="Cambria Math"/>
                            <w:i/>
                            <w:szCs w:val="24"/>
                          </w:rPr>
                        </m:ctrlPr>
                      </m:sSubPr>
                      <m:e>
                        <m:r>
                          <w:rPr>
                            <w:rFonts w:ascii="Cambria Math" w:hAnsi="Cambria Math"/>
                            <w:szCs w:val="24"/>
                          </w:rPr>
                          <m:t>K</m:t>
                        </m:r>
                      </m:e>
                      <m:sub>
                        <m:r>
                          <w:rPr>
                            <w:rFonts w:ascii="Cambria Math" w:hAnsi="Cambria Math"/>
                            <w:szCs w:val="24"/>
                          </w:rPr>
                          <m:t>04,</m:t>
                        </m:r>
                        <m:r>
                          <w:rPr>
                            <w:rFonts w:ascii="Cambria Math" w:hAnsi="Cambria Math"/>
                            <w:szCs w:val="24"/>
                          </w:rPr>
                          <m:t>t</m:t>
                        </m:r>
                      </m:sub>
                    </m:sSub>
                    <m:r>
                      <w:rPr>
                        <w:rFonts w:ascii="Cambria Math" w:hAnsi="Cambria Math"/>
                        <w:szCs w:val="24"/>
                      </w:rPr>
                      <m:t xml:space="preserve"> </m:t>
                    </m:r>
                  </m:oMath>
                  <w:r>
                    <w:rPr>
                      <w:szCs w:val="24"/>
                    </w:rPr>
                    <w:tab/>
                    <w:tab/>
                    <w:tab/>
                    <w:tab/>
                    <w:tab/>
                    <w:tab/>
                    <w:t>(54)</w:t>
                  </w:r>
                </w:p>
                <w:p>
                  <w:pPr>
                    <w:tabs>
                      <w:tab w:val="left" w:pos="1134"/>
                      <w:tab w:val="left" w:pos="1843"/>
                      <w:tab w:val="left" w:pos="2268"/>
                    </w:tabs>
                    <w:jc w:val="both"/>
                    <w:rPr>
                      <w:szCs w:val="24"/>
                    </w:rPr>
                  </w:pPr>
                </w:p>
                <w:p>
                  <w:pPr>
                    <w:tabs>
                      <w:tab w:val="left" w:pos="1134"/>
                      <w:tab w:val="left" w:pos="1843"/>
                      <w:tab w:val="left" w:pos="2268"/>
                    </w:tabs>
                    <w:jc w:val="both"/>
                    <w:rPr>
                      <w:szCs w:val="24"/>
                    </w:rPr>
                  </w:pPr>
                  <m:oMath>
                    <m:sSub>
                      <m:sSubPr>
                        <m:ctrlPr>
                          <w:rPr>
                            <w:rFonts w:ascii="Cambria Math" w:hAnsi="Cambria Math"/>
                            <w:i/>
                            <w:szCs w:val="24"/>
                          </w:rPr>
                        </m:ctrlPr>
                      </m:sSubPr>
                      <m:e>
                        <m:r>
                          <w:rPr>
                            <w:rFonts w:ascii="Cambria Math" w:hAnsi="Cambria Math"/>
                            <w:szCs w:val="24"/>
                          </w:rPr>
                          <m:t>P</m:t>
                        </m:r>
                        <m:r>
                          <w:rPr>
                            <w:rFonts w:ascii="Cambria Math" w:hAnsi="Cambria Math"/>
                            <w:szCs w:val="24"/>
                          </w:rPr>
                          <m:t>'</m:t>
                        </m:r>
                      </m:e>
                      <m:sub>
                        <m:r>
                          <w:rPr>
                            <w:rFonts w:ascii="Cambria Math" w:hAnsi="Cambria Math"/>
                            <w:szCs w:val="24"/>
                          </w:rPr>
                          <m:t>10,</m:t>
                        </m:r>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OPEX</m:t>
                        </m:r>
                        <m:r>
                          <w:rPr>
                            <w:rFonts w:ascii="Cambria Math" w:hAnsi="Cambria Math"/>
                            <w:szCs w:val="24"/>
                          </w:rPr>
                          <m:t>'</m:t>
                        </m:r>
                      </m:e>
                      <m:sub>
                        <m:d>
                          <m:dPr>
                            <m:ctrlPr>
                              <w:rPr>
                                <w:rFonts w:ascii="Cambria Math" w:hAnsi="Cambria Math"/>
                                <w:i/>
                                <w:szCs w:val="24"/>
                              </w:rPr>
                            </m:ctrlPr>
                          </m:dPr>
                          <m:e>
                            <m:r>
                              <w:rPr>
                                <w:rFonts w:ascii="Cambria Math" w:hAnsi="Cambria Math"/>
                                <w:szCs w:val="24"/>
                              </w:rPr>
                              <m:t>be</m:t>
                            </m:r>
                            <m:r>
                              <w:rPr>
                                <w:rFonts w:ascii="Cambria Math" w:hAnsi="Cambria Math"/>
                                <w:szCs w:val="24"/>
                              </w:rPr>
                              <m:t xml:space="preserve"> </m:t>
                            </m:r>
                            <m:r>
                              <w:rPr>
                                <w:rFonts w:ascii="Cambria Math" w:hAnsi="Cambria Math"/>
                                <w:szCs w:val="24"/>
                              </w:rPr>
                              <m:t>DU</m:t>
                            </m:r>
                          </m:e>
                        </m:d>
                        <m:r>
                          <w:rPr>
                            <w:rFonts w:ascii="Cambria Math" w:hAnsi="Cambria Math"/>
                            <w:szCs w:val="24"/>
                          </w:rPr>
                          <m:t>10,</m:t>
                        </m:r>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OPEX</m:t>
                        </m:r>
                        <m:r>
                          <w:rPr>
                            <w:rFonts w:ascii="Cambria Math" w:hAnsi="Cambria Math"/>
                            <w:szCs w:val="24"/>
                          </w:rPr>
                          <m:t>'</m:t>
                        </m:r>
                      </m:e>
                      <m:sub>
                        <m:d>
                          <m:dPr>
                            <m:ctrlPr>
                              <w:rPr>
                                <w:rFonts w:ascii="Cambria Math" w:hAnsi="Cambria Math"/>
                                <w:i/>
                                <w:szCs w:val="24"/>
                              </w:rPr>
                            </m:ctrlPr>
                          </m:dPr>
                          <m:e>
                            <m:r>
                              <w:rPr>
                                <w:rFonts w:ascii="Cambria Math" w:hAnsi="Cambria Math"/>
                                <w:szCs w:val="24"/>
                              </w:rPr>
                              <m:t>DU</m:t>
                            </m:r>
                          </m:e>
                        </m:d>
                        <m:r>
                          <w:rPr>
                            <w:rFonts w:ascii="Cambria Math" w:hAnsi="Cambria Math"/>
                            <w:szCs w:val="24"/>
                          </w:rPr>
                          <m:t>10,</m:t>
                        </m:r>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M</m:t>
                        </m:r>
                      </m:e>
                      <m:sub>
                        <m:r>
                          <w:rPr>
                            <w:rFonts w:ascii="Cambria Math" w:hAnsi="Cambria Math"/>
                            <w:szCs w:val="24"/>
                          </w:rPr>
                          <m:t>10,</m:t>
                        </m:r>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S</m:t>
                        </m:r>
                      </m:e>
                      <m:sub>
                        <m:r>
                          <w:rPr>
                            <w:rFonts w:ascii="Cambria Math" w:hAnsi="Cambria Math"/>
                            <w:szCs w:val="24"/>
                          </w:rPr>
                          <m:t>sr</m:t>
                        </m:r>
                        <m:r>
                          <w:rPr>
                            <w:rFonts w:ascii="Cambria Math" w:hAnsi="Cambria Math"/>
                            <w:szCs w:val="24"/>
                          </w:rPr>
                          <m:t>10,</m:t>
                        </m:r>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S</m:t>
                        </m:r>
                      </m:e>
                      <m:sub>
                        <m:r>
                          <w:rPr>
                            <w:rFonts w:ascii="Cambria Math" w:hAnsi="Cambria Math"/>
                            <w:szCs w:val="24"/>
                          </w:rPr>
                          <m:t>n</m:t>
                        </m:r>
                        <m:r>
                          <w:rPr>
                            <w:rFonts w:ascii="Cambria Math" w:hAnsi="Cambria Math"/>
                            <w:szCs w:val="24"/>
                          </w:rPr>
                          <m:t>10,</m:t>
                        </m:r>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sSub>
                          <m:sSubPr>
                            <m:ctrlPr>
                              <w:rPr>
                                <w:rFonts w:ascii="Cambria Math" w:hAnsi="Cambria Math"/>
                                <w:i/>
                                <w:szCs w:val="24"/>
                              </w:rPr>
                            </m:ctrlPr>
                          </m:sSubPr>
                          <m:e>
                            <m:r>
                              <w:rPr>
                                <w:rFonts w:ascii="Cambria Math" w:hAnsi="Cambria Math"/>
                                <w:szCs w:val="24"/>
                              </w:rPr>
                              <m:t>N</m:t>
                            </m:r>
                          </m:e>
                          <m:sub>
                            <m:r>
                              <w:rPr>
                                <w:rFonts w:ascii="Cambria Math" w:hAnsi="Cambria Math"/>
                                <w:szCs w:val="24"/>
                              </w:rPr>
                              <m:t>10,</m:t>
                            </m:r>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NT</m:t>
                            </m:r>
                          </m:e>
                          <m:sub>
                            <m:r>
                              <w:rPr>
                                <w:rFonts w:ascii="Cambria Math" w:hAnsi="Cambria Math"/>
                                <w:szCs w:val="24"/>
                              </w:rPr>
                              <m:t>10,</m:t>
                            </m:r>
                            <m:r>
                              <w:rPr>
                                <w:rFonts w:ascii="Cambria Math" w:hAnsi="Cambria Math"/>
                                <w:szCs w:val="24"/>
                              </w:rPr>
                              <m:t>t</m:t>
                            </m:r>
                          </m:sub>
                        </m:sSub>
                        <m:r>
                          <w:rPr>
                            <w:rFonts w:ascii="Cambria Math" w:hAnsi="Cambria Math"/>
                            <w:szCs w:val="24"/>
                          </w:rPr>
                          <m:t>+</m:t>
                        </m:r>
                        <m:r>
                          <w:rPr>
                            <w:rFonts w:ascii="Cambria Math" w:hAnsi="Cambria Math"/>
                            <w:szCs w:val="24"/>
                          </w:rPr>
                          <m:t>ROI</m:t>
                        </m:r>
                      </m:e>
                      <m:sub>
                        <m:r>
                          <w:rPr>
                            <w:rFonts w:ascii="Cambria Math" w:hAnsi="Cambria Math"/>
                            <w:szCs w:val="24"/>
                          </w:rPr>
                          <m:t>10,</m:t>
                        </m:r>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S</m:t>
                        </m:r>
                      </m:e>
                      <m:sub>
                        <m:r>
                          <w:rPr>
                            <w:rFonts w:ascii="Cambria Math" w:hAnsi="Cambria Math"/>
                            <w:szCs w:val="24"/>
                          </w:rPr>
                          <m:t>10,</m:t>
                        </m:r>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OI</m:t>
                        </m:r>
                      </m:e>
                      <m:sub>
                        <m:r>
                          <w:rPr>
                            <w:rFonts w:ascii="Cambria Math" w:hAnsi="Cambria Math"/>
                            <w:szCs w:val="24"/>
                          </w:rPr>
                          <m:t>10,</m:t>
                        </m:r>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K</m:t>
                        </m:r>
                      </m:e>
                      <m:sub>
                        <m:r>
                          <w:rPr>
                            <w:rFonts w:ascii="Cambria Math" w:hAnsi="Cambria Math"/>
                            <w:szCs w:val="24"/>
                          </w:rPr>
                          <m:t>10,</m:t>
                        </m:r>
                        <m:r>
                          <w:rPr>
                            <w:rFonts w:ascii="Cambria Math" w:hAnsi="Cambria Math"/>
                            <w:szCs w:val="24"/>
                          </w:rPr>
                          <m:t>t</m:t>
                        </m:r>
                      </m:sub>
                    </m:sSub>
                  </m:oMath>
                  <w:r>
                    <w:rPr>
                      <w:szCs w:val="24"/>
                    </w:rPr>
                    <w:tab/>
                    <w:tab/>
                    <w:tab/>
                    <w:tab/>
                    <w:tab/>
                    <w:tab/>
                    <w:tab/>
                    <w:t>(55)</w:t>
                  </w:r>
                </w:p>
                <w:p>
                  <w:pPr>
                    <w:tabs>
                      <w:tab w:val="left" w:pos="142"/>
                    </w:tabs>
                    <w:jc w:val="both"/>
                    <w:rPr>
                      <w:i/>
                      <w:szCs w:val="24"/>
                    </w:rPr>
                  </w:pPr>
                </w:p>
                <w:p>
                  <w:pPr>
                    <w:tabs>
                      <w:tab w:val="left" w:pos="142"/>
                    </w:tabs>
                    <w:ind w:firstLine="709"/>
                    <w:jc w:val="both"/>
                    <w:rPr>
                      <w:i/>
                      <w:szCs w:val="24"/>
                    </w:rPr>
                  </w:pPr>
                  <w:r>
                    <w:rPr>
                      <w:i/>
                      <w:szCs w:val="24"/>
                    </w:rPr>
                    <w:t>čia:</w:t>
                  </w:r>
                </w:p>
                <w:p>
                  <w:pPr>
                    <w:tabs>
                      <w:tab w:val="left" w:pos="142"/>
                    </w:tabs>
                    <w:ind w:firstLine="709"/>
                    <w:jc w:val="both"/>
                    <w:rPr>
                      <w:szCs w:val="24"/>
                      <w:lang w:eastAsia="lt-LT"/>
                    </w:rPr>
                  </w:pPr>
                  <w:r>
                    <w:rPr>
                      <w:szCs w:val="24"/>
                    </w:rPr>
                    <w:t>P‘</w:t>
                  </w:r>
                  <w:r>
                    <w:rPr>
                      <w:szCs w:val="24"/>
                      <w:vertAlign w:val="subscript"/>
                    </w:rPr>
                    <w:t>04,t</w:t>
                  </w:r>
                  <w:r>
                    <w:rPr>
                      <w:szCs w:val="24"/>
                    </w:rPr>
                    <w:t xml:space="preserve"> – koreguotos </w:t>
                  </w:r>
                  <w:r>
                    <w:rPr>
                      <w:i/>
                      <w:iCs/>
                      <w:szCs w:val="24"/>
                    </w:rPr>
                    <w:t>t</w:t>
                  </w:r>
                  <w:r>
                    <w:rPr>
                      <w:szCs w:val="24"/>
                    </w:rPr>
                    <w:t xml:space="preserve"> metų STO ŽĮ tinkle leidžiamos pajamos, EUR;</w:t>
                  </w:r>
                </w:p>
                <w:p>
                  <w:pPr>
                    <w:tabs>
                      <w:tab w:val="left" w:pos="142"/>
                    </w:tabs>
                    <w:ind w:firstLine="709"/>
                    <w:jc w:val="both"/>
                    <w:rPr>
                      <w:szCs w:val="24"/>
                      <w:lang w:eastAsia="lt-LT"/>
                    </w:rPr>
                  </w:pPr>
                  <w:r>
                    <w:rPr>
                      <w:szCs w:val="24"/>
                      <w:lang w:eastAsia="lt-LT"/>
                    </w:rPr>
                    <w:t>OPEX‘</w:t>
                  </w:r>
                  <w:r>
                    <w:rPr>
                      <w:szCs w:val="24"/>
                      <w:vertAlign w:val="subscript"/>
                      <w:lang w:eastAsia="lt-LT"/>
                    </w:rPr>
                    <w:t xml:space="preserve">(be DU)04,t </w:t>
                  </w:r>
                  <w:r>
                    <w:rPr>
                      <w:szCs w:val="24"/>
                      <w:lang w:eastAsia="lt-LT"/>
                    </w:rPr>
                    <w:t xml:space="preserve">– koreguoti </w:t>
                  </w:r>
                  <w:r>
                    <w:rPr>
                      <w:i/>
                      <w:iCs/>
                      <w:szCs w:val="24"/>
                    </w:rPr>
                    <w:t>t</w:t>
                  </w:r>
                  <w:r>
                    <w:rPr>
                      <w:szCs w:val="24"/>
                      <w:lang w:eastAsia="lt-LT"/>
                    </w:rPr>
                    <w:t xml:space="preserve"> metų ŽĮ OPEX(be DU) kaštai;</w:t>
                  </w:r>
                </w:p>
                <w:p>
                  <w:pPr>
                    <w:tabs>
                      <w:tab w:val="left" w:pos="142"/>
                    </w:tabs>
                    <w:ind w:firstLine="709"/>
                    <w:jc w:val="both"/>
                    <w:rPr>
                      <w:szCs w:val="24"/>
                      <w:lang w:eastAsia="lt-LT"/>
                    </w:rPr>
                  </w:pPr>
                  <w:r>
                    <w:rPr>
                      <w:szCs w:val="24"/>
                      <w:lang w:eastAsia="lt-LT"/>
                    </w:rPr>
                    <w:t>OPEX‘</w:t>
                  </w:r>
                  <w:r>
                    <w:rPr>
                      <w:szCs w:val="24"/>
                      <w:vertAlign w:val="subscript"/>
                      <w:lang w:eastAsia="lt-LT"/>
                    </w:rPr>
                    <w:t>(DU)04,t</w:t>
                  </w:r>
                  <w:r>
                    <w:rPr>
                      <w:szCs w:val="24"/>
                      <w:lang w:eastAsia="lt-LT"/>
                    </w:rPr>
                    <w:t xml:space="preserve"> – koreguoti </w:t>
                  </w:r>
                  <w:r>
                    <w:rPr>
                      <w:i/>
                      <w:iCs/>
                      <w:szCs w:val="24"/>
                    </w:rPr>
                    <w:t>t</w:t>
                  </w:r>
                  <w:r>
                    <w:rPr>
                      <w:szCs w:val="24"/>
                      <w:lang w:eastAsia="lt-LT"/>
                    </w:rPr>
                    <w:t xml:space="preserve"> metų ŽĮ darbo užmokesčio kaštai;</w:t>
                  </w:r>
                </w:p>
                <w:p>
                  <w:pPr>
                    <w:tabs>
                      <w:tab w:val="left" w:pos="142"/>
                    </w:tabs>
                    <w:ind w:firstLine="709"/>
                    <w:jc w:val="both"/>
                    <w:rPr>
                      <w:szCs w:val="24"/>
                      <w:lang w:eastAsia="lt-LT"/>
                    </w:rPr>
                  </w:pPr>
                  <w:r>
                    <w:rPr>
                      <w:szCs w:val="24"/>
                      <w:lang w:eastAsia="lt-LT"/>
                    </w:rPr>
                    <w:t>M</w:t>
                  </w:r>
                  <w:r>
                    <w:rPr>
                      <w:szCs w:val="24"/>
                      <w:vertAlign w:val="subscript"/>
                      <w:lang w:eastAsia="lt-LT"/>
                    </w:rPr>
                    <w:t xml:space="preserve">04,t </w:t>
                  </w:r>
                  <w:r>
                    <w:rPr>
                      <w:szCs w:val="24"/>
                      <w:lang w:eastAsia="lt-LT"/>
                    </w:rPr>
                    <w:t xml:space="preserve">– planuojami </w:t>
                  </w:r>
                  <w:r>
                    <w:rPr>
                      <w:i/>
                      <w:iCs/>
                      <w:szCs w:val="24"/>
                    </w:rPr>
                    <w:t>t</w:t>
                  </w:r>
                  <w:r>
                    <w:rPr>
                      <w:szCs w:val="24"/>
                      <w:lang w:eastAsia="lt-LT"/>
                    </w:rPr>
                    <w:t xml:space="preserve"> metų ŽĮ mokesčiai;</w:t>
                  </w:r>
                </w:p>
                <w:p>
                  <w:pPr>
                    <w:tabs>
                      <w:tab w:val="left" w:pos="993"/>
                    </w:tabs>
                    <w:ind w:firstLine="709"/>
                    <w:jc w:val="both"/>
                    <w:rPr>
                      <w:szCs w:val="24"/>
                    </w:rPr>
                  </w:pPr>
                  <w:r>
                    <w:rPr>
                      <w:szCs w:val="24"/>
                    </w:rPr>
                    <w:t>S</w:t>
                  </w:r>
                  <w:r>
                    <w:rPr>
                      <w:szCs w:val="24"/>
                      <w:vertAlign w:val="subscript"/>
                    </w:rPr>
                    <w:t>sr04,t</w:t>
                  </w:r>
                  <w:r>
                    <w:rPr>
                      <w:szCs w:val="24"/>
                    </w:rPr>
                    <w:t xml:space="preserve"> – planuojami </w:t>
                  </w:r>
                  <w:r>
                    <w:rPr>
                      <w:i/>
                      <w:iCs/>
                      <w:szCs w:val="24"/>
                    </w:rPr>
                    <w:t xml:space="preserve">t </w:t>
                  </w:r>
                  <w:r>
                    <w:rPr>
                      <w:szCs w:val="24"/>
                    </w:rPr>
                    <w:t>metų ŽĮ elektros energijos pirkimo kaštai savoms reikmėms padengti;</w:t>
                  </w:r>
                </w:p>
                <w:p>
                  <w:pPr>
                    <w:tabs>
                      <w:tab w:val="left" w:pos="993"/>
                    </w:tabs>
                    <w:ind w:firstLine="709"/>
                    <w:jc w:val="both"/>
                    <w:rPr>
                      <w:szCs w:val="24"/>
                    </w:rPr>
                  </w:pPr>
                  <w:r>
                    <w:rPr>
                      <w:szCs w:val="24"/>
                    </w:rPr>
                    <w:t>S</w:t>
                  </w:r>
                  <w:r>
                    <w:rPr>
                      <w:szCs w:val="24"/>
                      <w:vertAlign w:val="subscript"/>
                    </w:rPr>
                    <w:t>n04,t</w:t>
                  </w:r>
                  <w:r>
                    <w:rPr>
                      <w:szCs w:val="24"/>
                    </w:rPr>
                    <w:t xml:space="preserve"> – planuojami </w:t>
                  </w:r>
                  <w:r>
                    <w:rPr>
                      <w:i/>
                      <w:iCs/>
                      <w:szCs w:val="24"/>
                    </w:rPr>
                    <w:t xml:space="preserve">t </w:t>
                  </w:r>
                  <w:r>
                    <w:rPr>
                      <w:szCs w:val="24"/>
                    </w:rPr>
                    <w:t>metų ŽĮ elektros energijos pirkimo kaštai elektros energijos sąnaudoms technologiniuose įrenginiuose padengti;</w:t>
                  </w:r>
                </w:p>
                <w:p>
                  <w:pPr>
                    <w:tabs>
                      <w:tab w:val="left" w:pos="142"/>
                    </w:tabs>
                    <w:ind w:firstLine="709"/>
                    <w:jc w:val="both"/>
                    <w:rPr>
                      <w:szCs w:val="24"/>
                      <w:lang w:eastAsia="lt-LT"/>
                    </w:rPr>
                  </w:pPr>
                  <w:r>
                    <w:rPr>
                      <w:szCs w:val="24"/>
                      <w:lang w:eastAsia="lt-LT"/>
                    </w:rPr>
                    <w:t>N</w:t>
                  </w:r>
                  <w:r>
                    <w:rPr>
                      <w:szCs w:val="24"/>
                      <w:vertAlign w:val="subscript"/>
                      <w:lang w:eastAsia="lt-LT"/>
                    </w:rPr>
                    <w:t xml:space="preserve">04,t </w:t>
                  </w:r>
                  <w:r>
                    <w:rPr>
                      <w:szCs w:val="24"/>
                      <w:lang w:eastAsia="lt-LT"/>
                    </w:rPr>
                    <w:t xml:space="preserve">– planuojamos </w:t>
                  </w:r>
                  <w:r>
                    <w:rPr>
                      <w:i/>
                      <w:iCs/>
                      <w:szCs w:val="24"/>
                    </w:rPr>
                    <w:t>t</w:t>
                  </w:r>
                  <w:r>
                    <w:rPr>
                      <w:szCs w:val="24"/>
                      <w:lang w:eastAsia="lt-LT"/>
                    </w:rPr>
                    <w:t xml:space="preserve"> metų ŽĮ nusidėvėjimo sąnaudos;</w:t>
                  </w:r>
                </w:p>
                <w:p>
                  <w:pPr>
                    <w:tabs>
                      <w:tab w:val="left" w:pos="142"/>
                    </w:tabs>
                    <w:ind w:firstLine="709"/>
                    <w:jc w:val="both"/>
                    <w:rPr>
                      <w:szCs w:val="24"/>
                      <w:lang w:eastAsia="lt-LT"/>
                    </w:rPr>
                  </w:pPr>
                  <w:r>
                    <w:rPr>
                      <w:szCs w:val="24"/>
                    </w:rPr>
                    <w:t>NT</w:t>
                  </w:r>
                  <w:r>
                    <w:rPr>
                      <w:szCs w:val="24"/>
                      <w:vertAlign w:val="subscript"/>
                    </w:rPr>
                    <w:t xml:space="preserve">04,t </w:t>
                  </w:r>
                  <w:r>
                    <w:rPr>
                      <w:szCs w:val="24"/>
                      <w:lang w:eastAsia="lt-LT"/>
                    </w:rPr>
                    <w:t xml:space="preserve">– planuojamos </w:t>
                  </w:r>
                  <w:r>
                    <w:rPr>
                      <w:i/>
                      <w:iCs/>
                      <w:szCs w:val="24"/>
                    </w:rPr>
                    <w:t>t</w:t>
                  </w:r>
                  <w:r>
                    <w:rPr>
                      <w:szCs w:val="24"/>
                      <w:lang w:eastAsia="lt-LT"/>
                    </w:rPr>
                    <w:t xml:space="preserve"> metų ŽĮ nurašomo turto sąnaudos;</w:t>
                  </w:r>
                  <w:r>
                    <w:rPr>
                      <w:szCs w:val="24"/>
                      <w:vertAlign w:val="subscript"/>
                    </w:rPr>
                    <w:t xml:space="preserve"> </w:t>
                  </w:r>
                </w:p>
                <w:p>
                  <w:pPr>
                    <w:tabs>
                      <w:tab w:val="left" w:pos="142"/>
                    </w:tabs>
                    <w:ind w:firstLine="709"/>
                    <w:jc w:val="both"/>
                    <w:rPr>
                      <w:szCs w:val="24"/>
                      <w:lang w:eastAsia="lt-LT"/>
                    </w:rPr>
                  </w:pPr>
                  <w:r>
                    <w:rPr>
                      <w:szCs w:val="24"/>
                      <w:lang w:eastAsia="lt-LT"/>
                    </w:rPr>
                    <w:t>ROI</w:t>
                  </w:r>
                  <w:r>
                    <w:rPr>
                      <w:szCs w:val="24"/>
                      <w:vertAlign w:val="subscript"/>
                      <w:lang w:eastAsia="lt-LT"/>
                    </w:rPr>
                    <w:t xml:space="preserve">04,t </w:t>
                  </w:r>
                  <w:r>
                    <w:rPr>
                      <w:szCs w:val="24"/>
                      <w:lang w:eastAsia="lt-LT"/>
                    </w:rPr>
                    <w:t xml:space="preserve">– ŽĮ investicijų grąža, apskaičiuota taikant Komisijos </w:t>
                  </w:r>
                  <w:r>
                    <w:rPr>
                      <w:i/>
                      <w:iCs/>
                      <w:szCs w:val="24"/>
                    </w:rPr>
                    <w:t>t</w:t>
                  </w:r>
                  <w:r>
                    <w:rPr>
                      <w:szCs w:val="24"/>
                      <w:lang w:eastAsia="lt-LT"/>
                    </w:rPr>
                    <w:t xml:space="preserve"> metų nustatytą investicijų grąžos normą nuo reguliuojamos turto bazės metų pradžiai;</w:t>
                  </w:r>
                </w:p>
                <w:p>
                  <w:pPr>
                    <w:tabs>
                      <w:tab w:val="left" w:pos="142"/>
                    </w:tabs>
                    <w:ind w:firstLine="709"/>
                    <w:jc w:val="both"/>
                    <w:rPr>
                      <w:szCs w:val="24"/>
                      <w:lang w:eastAsia="lt-LT"/>
                    </w:rPr>
                  </w:pPr>
                  <w:r>
                    <w:rPr>
                      <w:szCs w:val="24"/>
                      <w:lang w:eastAsia="lt-LT"/>
                    </w:rPr>
                    <w:t>S</w:t>
                  </w:r>
                  <w:r>
                    <w:rPr>
                      <w:szCs w:val="24"/>
                      <w:vertAlign w:val="subscript"/>
                      <w:lang w:eastAsia="lt-LT"/>
                    </w:rPr>
                    <w:t>04,t</w:t>
                  </w:r>
                  <w:r>
                    <w:rPr>
                      <w:szCs w:val="24"/>
                      <w:lang w:eastAsia="lt-LT"/>
                    </w:rPr>
                    <w:t xml:space="preserve"> – planuojamas </w:t>
                  </w:r>
                  <w:r>
                    <w:rPr>
                      <w:i/>
                      <w:iCs/>
                      <w:szCs w:val="24"/>
                    </w:rPr>
                    <w:t>t</w:t>
                  </w:r>
                  <w:r>
                    <w:rPr>
                      <w:szCs w:val="24"/>
                      <w:lang w:eastAsia="lt-LT"/>
                    </w:rPr>
                    <w:t xml:space="preserve"> metų ŽĮ OPEX padidėjimas (sumažėjimas), sąlygotas teisės aktų pasikeitimų </w:t>
                  </w:r>
                  <w:r>
                    <w:rPr>
                      <w:szCs w:val="24"/>
                    </w:rPr>
                    <w:t>ir (ar) kitų objektyvių (nuo STO nepriklausančių) veiksnių</w:t>
                  </w:r>
                  <w:r>
                    <w:rPr>
                      <w:szCs w:val="24"/>
                      <w:lang w:eastAsia="lt-LT"/>
                    </w:rPr>
                    <w:t>;</w:t>
                  </w:r>
                </w:p>
                <w:p>
                  <w:pPr>
                    <w:tabs>
                      <w:tab w:val="left" w:pos="142"/>
                    </w:tabs>
                    <w:ind w:firstLine="709"/>
                    <w:jc w:val="both"/>
                    <w:rPr>
                      <w:szCs w:val="24"/>
                      <w:lang w:eastAsia="lt-LT"/>
                    </w:rPr>
                  </w:pPr>
                  <w:r>
                    <w:rPr>
                      <w:szCs w:val="24"/>
                      <w:lang w:eastAsia="lt-LT"/>
                    </w:rPr>
                    <w:t>OI</w:t>
                  </w:r>
                  <w:r>
                    <w:rPr>
                      <w:szCs w:val="24"/>
                      <w:vertAlign w:val="subscript"/>
                      <w:lang w:eastAsia="lt-LT"/>
                    </w:rPr>
                    <w:t>04,t</w:t>
                  </w:r>
                  <w:r>
                    <w:rPr>
                      <w:szCs w:val="24"/>
                      <w:lang w:eastAsia="lt-LT"/>
                    </w:rPr>
                    <w:t xml:space="preserve"> – planuojamos </w:t>
                  </w:r>
                  <w:r>
                    <w:rPr>
                      <w:i/>
                      <w:iCs/>
                      <w:szCs w:val="24"/>
                    </w:rPr>
                    <w:t>t</w:t>
                  </w:r>
                  <w:r>
                    <w:rPr>
                      <w:szCs w:val="24"/>
                      <w:lang w:eastAsia="lt-LT"/>
                    </w:rPr>
                    <w:t xml:space="preserve"> metų ŽĮ kitos pajamos;</w:t>
                  </w:r>
                </w:p>
                <w:p>
                  <w:pPr>
                    <w:tabs>
                      <w:tab w:val="left" w:pos="142"/>
                    </w:tabs>
                    <w:ind w:firstLine="709"/>
                    <w:jc w:val="both"/>
                    <w:rPr>
                      <w:szCs w:val="24"/>
                    </w:rPr>
                  </w:pPr>
                  <w:r>
                    <w:rPr>
                      <w:szCs w:val="24"/>
                      <w:lang w:eastAsia="lt-LT"/>
                    </w:rPr>
                    <w:t>K</w:t>
                  </w:r>
                  <w:r>
                    <w:rPr>
                      <w:szCs w:val="24"/>
                      <w:vertAlign w:val="subscript"/>
                      <w:lang w:eastAsia="lt-LT"/>
                    </w:rPr>
                    <w:t xml:space="preserve">04,t </w:t>
                  </w:r>
                  <w:r>
                    <w:rPr>
                      <w:szCs w:val="24"/>
                      <w:lang w:eastAsia="lt-LT"/>
                    </w:rPr>
                    <w:t>– Komisijos nustatyta praėjusių laikotarpių ŽĮ investicijų grąžos korekcija.</w:t>
                  </w:r>
                </w:p>
                <w:p>
                  <w:pPr>
                    <w:tabs>
                      <w:tab w:val="left" w:pos="142"/>
                    </w:tabs>
                    <w:ind w:firstLine="709"/>
                    <w:jc w:val="both"/>
                    <w:rPr>
                      <w:szCs w:val="24"/>
                      <w:lang w:eastAsia="lt-LT"/>
                    </w:rPr>
                  </w:pPr>
                  <w:r>
                    <w:rPr>
                      <w:szCs w:val="24"/>
                    </w:rPr>
                    <w:t>P‘</w:t>
                  </w:r>
                  <w:r>
                    <w:rPr>
                      <w:szCs w:val="24"/>
                      <w:vertAlign w:val="subscript"/>
                    </w:rPr>
                    <w:t>10,t</w:t>
                  </w:r>
                  <w:r>
                    <w:rPr>
                      <w:szCs w:val="24"/>
                    </w:rPr>
                    <w:t xml:space="preserve"> – koreguotos </w:t>
                  </w:r>
                  <w:r>
                    <w:rPr>
                      <w:i/>
                      <w:iCs/>
                      <w:szCs w:val="24"/>
                    </w:rPr>
                    <w:t>t</w:t>
                  </w:r>
                  <w:r>
                    <w:rPr>
                      <w:szCs w:val="24"/>
                    </w:rPr>
                    <w:t xml:space="preserve"> metų STO VĮ tinkle leidžiamos pajamos, EUR;</w:t>
                  </w:r>
                </w:p>
                <w:p>
                  <w:pPr>
                    <w:tabs>
                      <w:tab w:val="left" w:pos="142"/>
                    </w:tabs>
                    <w:ind w:firstLine="709"/>
                    <w:jc w:val="both"/>
                    <w:rPr>
                      <w:szCs w:val="24"/>
                      <w:lang w:eastAsia="lt-LT"/>
                    </w:rPr>
                  </w:pPr>
                  <w:r>
                    <w:rPr>
                      <w:szCs w:val="24"/>
                      <w:lang w:eastAsia="lt-LT"/>
                    </w:rPr>
                    <w:t>OPEX‘</w:t>
                  </w:r>
                  <w:r>
                    <w:rPr>
                      <w:szCs w:val="24"/>
                      <w:vertAlign w:val="subscript"/>
                      <w:lang w:eastAsia="lt-LT"/>
                    </w:rPr>
                    <w:t xml:space="preserve">(be DU)10,t </w:t>
                  </w:r>
                  <w:r>
                    <w:rPr>
                      <w:szCs w:val="24"/>
                      <w:lang w:eastAsia="lt-LT"/>
                    </w:rPr>
                    <w:t xml:space="preserve">– koreguoti </w:t>
                  </w:r>
                  <w:r>
                    <w:rPr>
                      <w:i/>
                      <w:iCs/>
                      <w:szCs w:val="24"/>
                    </w:rPr>
                    <w:t>t</w:t>
                  </w:r>
                  <w:r>
                    <w:rPr>
                      <w:szCs w:val="24"/>
                      <w:lang w:eastAsia="lt-LT"/>
                    </w:rPr>
                    <w:t xml:space="preserve"> metų VĮ OPEX(be DU) kaštai;</w:t>
                  </w:r>
                </w:p>
                <w:p>
                  <w:pPr>
                    <w:tabs>
                      <w:tab w:val="left" w:pos="142"/>
                    </w:tabs>
                    <w:ind w:firstLine="709"/>
                    <w:jc w:val="both"/>
                    <w:rPr>
                      <w:szCs w:val="24"/>
                      <w:lang w:eastAsia="lt-LT"/>
                    </w:rPr>
                  </w:pPr>
                  <w:r>
                    <w:rPr>
                      <w:szCs w:val="24"/>
                      <w:lang w:eastAsia="lt-LT"/>
                    </w:rPr>
                    <w:t>OPEX‘</w:t>
                  </w:r>
                  <w:r>
                    <w:rPr>
                      <w:szCs w:val="24"/>
                      <w:vertAlign w:val="subscript"/>
                      <w:lang w:eastAsia="lt-LT"/>
                    </w:rPr>
                    <w:t>(DU)10,t</w:t>
                  </w:r>
                  <w:r>
                    <w:rPr>
                      <w:szCs w:val="24"/>
                      <w:lang w:eastAsia="lt-LT"/>
                    </w:rPr>
                    <w:t xml:space="preserve"> – koreguoti </w:t>
                  </w:r>
                  <w:r>
                    <w:rPr>
                      <w:i/>
                      <w:iCs/>
                      <w:szCs w:val="24"/>
                    </w:rPr>
                    <w:t>t</w:t>
                  </w:r>
                  <w:r>
                    <w:rPr>
                      <w:szCs w:val="24"/>
                      <w:lang w:eastAsia="lt-LT"/>
                    </w:rPr>
                    <w:t xml:space="preserve"> metų VĮ darbo užmokesčio kaštai;</w:t>
                  </w:r>
                </w:p>
                <w:p>
                  <w:pPr>
                    <w:tabs>
                      <w:tab w:val="left" w:pos="142"/>
                    </w:tabs>
                    <w:ind w:firstLine="709"/>
                    <w:jc w:val="both"/>
                    <w:rPr>
                      <w:szCs w:val="24"/>
                      <w:lang w:eastAsia="lt-LT"/>
                    </w:rPr>
                  </w:pPr>
                  <w:r>
                    <w:rPr>
                      <w:szCs w:val="24"/>
                      <w:lang w:eastAsia="lt-LT"/>
                    </w:rPr>
                    <w:t>M</w:t>
                  </w:r>
                  <w:r>
                    <w:rPr>
                      <w:szCs w:val="24"/>
                      <w:vertAlign w:val="subscript"/>
                      <w:lang w:eastAsia="lt-LT"/>
                    </w:rPr>
                    <w:t xml:space="preserve">10,t </w:t>
                  </w:r>
                  <w:r>
                    <w:rPr>
                      <w:szCs w:val="24"/>
                      <w:lang w:eastAsia="lt-LT"/>
                    </w:rPr>
                    <w:t xml:space="preserve">– planuojami </w:t>
                  </w:r>
                  <w:r>
                    <w:rPr>
                      <w:i/>
                      <w:iCs/>
                      <w:szCs w:val="24"/>
                    </w:rPr>
                    <w:t>t</w:t>
                  </w:r>
                  <w:r>
                    <w:rPr>
                      <w:szCs w:val="24"/>
                      <w:lang w:eastAsia="lt-LT"/>
                    </w:rPr>
                    <w:t xml:space="preserve"> metų VĮ mokesčiai;</w:t>
                  </w:r>
                </w:p>
                <w:p>
                  <w:pPr>
                    <w:tabs>
                      <w:tab w:val="left" w:pos="993"/>
                    </w:tabs>
                    <w:ind w:firstLine="709"/>
                    <w:jc w:val="both"/>
                    <w:rPr>
                      <w:szCs w:val="24"/>
                    </w:rPr>
                  </w:pPr>
                  <w:r>
                    <w:rPr>
                      <w:szCs w:val="24"/>
                    </w:rPr>
                    <w:t>S</w:t>
                  </w:r>
                  <w:r>
                    <w:rPr>
                      <w:szCs w:val="24"/>
                      <w:vertAlign w:val="subscript"/>
                    </w:rPr>
                    <w:t>sr10,t</w:t>
                  </w:r>
                  <w:r>
                    <w:rPr>
                      <w:szCs w:val="24"/>
                    </w:rPr>
                    <w:t xml:space="preserve"> – planuojami </w:t>
                  </w:r>
                  <w:r>
                    <w:rPr>
                      <w:i/>
                      <w:iCs/>
                      <w:szCs w:val="24"/>
                    </w:rPr>
                    <w:t xml:space="preserve">t </w:t>
                  </w:r>
                  <w:r>
                    <w:rPr>
                      <w:szCs w:val="24"/>
                    </w:rPr>
                    <w:t>metų VĮ elektros energijos pirkimo kaštai savoms reikmėms padengti;</w:t>
                  </w:r>
                </w:p>
                <w:p>
                  <w:pPr>
                    <w:tabs>
                      <w:tab w:val="left" w:pos="993"/>
                    </w:tabs>
                    <w:ind w:firstLine="709"/>
                    <w:jc w:val="both"/>
                    <w:rPr>
                      <w:szCs w:val="24"/>
                    </w:rPr>
                  </w:pPr>
                  <w:r>
                    <w:rPr>
                      <w:szCs w:val="24"/>
                    </w:rPr>
                    <w:t>S</w:t>
                  </w:r>
                  <w:r>
                    <w:rPr>
                      <w:szCs w:val="24"/>
                      <w:vertAlign w:val="subscript"/>
                    </w:rPr>
                    <w:t>n10,t</w:t>
                  </w:r>
                  <w:r>
                    <w:rPr>
                      <w:szCs w:val="24"/>
                    </w:rPr>
                    <w:t xml:space="preserve"> – planuojami </w:t>
                  </w:r>
                  <w:r>
                    <w:rPr>
                      <w:i/>
                      <w:iCs/>
                      <w:szCs w:val="24"/>
                    </w:rPr>
                    <w:t xml:space="preserve">t </w:t>
                  </w:r>
                  <w:r>
                    <w:rPr>
                      <w:szCs w:val="24"/>
                    </w:rPr>
                    <w:t>metų VĮ elektros energijos pirkimo kaštai elektros energijos sąnaudoms technologiniuose įrenginiuose padengti;</w:t>
                  </w:r>
                </w:p>
                <w:p>
                  <w:pPr>
                    <w:tabs>
                      <w:tab w:val="left" w:pos="142"/>
                    </w:tabs>
                    <w:ind w:firstLine="709"/>
                    <w:jc w:val="both"/>
                    <w:rPr>
                      <w:szCs w:val="24"/>
                      <w:lang w:eastAsia="lt-LT"/>
                    </w:rPr>
                  </w:pPr>
                  <w:r>
                    <w:rPr>
                      <w:szCs w:val="24"/>
                      <w:lang w:eastAsia="lt-LT"/>
                    </w:rPr>
                    <w:t>N</w:t>
                  </w:r>
                  <w:r>
                    <w:rPr>
                      <w:szCs w:val="24"/>
                      <w:vertAlign w:val="subscript"/>
                      <w:lang w:eastAsia="lt-LT"/>
                    </w:rPr>
                    <w:t xml:space="preserve">10,t </w:t>
                  </w:r>
                  <w:r>
                    <w:rPr>
                      <w:szCs w:val="24"/>
                      <w:lang w:eastAsia="lt-LT"/>
                    </w:rPr>
                    <w:t xml:space="preserve">– planuojamos </w:t>
                  </w:r>
                  <w:r>
                    <w:rPr>
                      <w:i/>
                      <w:iCs/>
                      <w:szCs w:val="24"/>
                    </w:rPr>
                    <w:t>t</w:t>
                  </w:r>
                  <w:r>
                    <w:rPr>
                      <w:szCs w:val="24"/>
                      <w:lang w:eastAsia="lt-LT"/>
                    </w:rPr>
                    <w:t xml:space="preserve"> metų VĮ nusidėvėjimo sąnaudos;</w:t>
                  </w:r>
                </w:p>
                <w:p>
                  <w:pPr>
                    <w:tabs>
                      <w:tab w:val="left" w:pos="142"/>
                    </w:tabs>
                    <w:ind w:firstLine="709"/>
                    <w:jc w:val="both"/>
                    <w:rPr>
                      <w:szCs w:val="24"/>
                      <w:lang w:eastAsia="lt-LT"/>
                    </w:rPr>
                  </w:pPr>
                  <w:r>
                    <w:rPr>
                      <w:szCs w:val="24"/>
                    </w:rPr>
                    <w:t>NT</w:t>
                  </w:r>
                  <w:r>
                    <w:rPr>
                      <w:szCs w:val="24"/>
                      <w:vertAlign w:val="subscript"/>
                    </w:rPr>
                    <w:t xml:space="preserve">10,t </w:t>
                  </w:r>
                  <w:r>
                    <w:rPr>
                      <w:szCs w:val="24"/>
                      <w:lang w:eastAsia="lt-LT"/>
                    </w:rPr>
                    <w:t xml:space="preserve">– planuojamos </w:t>
                  </w:r>
                  <w:r>
                    <w:rPr>
                      <w:i/>
                      <w:iCs/>
                      <w:szCs w:val="24"/>
                    </w:rPr>
                    <w:t>t</w:t>
                  </w:r>
                  <w:r>
                    <w:rPr>
                      <w:szCs w:val="24"/>
                      <w:lang w:eastAsia="lt-LT"/>
                    </w:rPr>
                    <w:t xml:space="preserve"> metų VĮ nurašomo turto sąnaudos;</w:t>
                  </w:r>
                  <w:r>
                    <w:rPr>
                      <w:szCs w:val="24"/>
                      <w:vertAlign w:val="subscript"/>
                    </w:rPr>
                    <w:t xml:space="preserve"> </w:t>
                  </w:r>
                </w:p>
                <w:p>
                  <w:pPr>
                    <w:tabs>
                      <w:tab w:val="left" w:pos="142"/>
                    </w:tabs>
                    <w:ind w:firstLine="709"/>
                    <w:jc w:val="both"/>
                    <w:rPr>
                      <w:szCs w:val="24"/>
                      <w:lang w:eastAsia="lt-LT"/>
                    </w:rPr>
                  </w:pPr>
                  <w:r>
                    <w:rPr>
                      <w:szCs w:val="24"/>
                      <w:lang w:eastAsia="lt-LT"/>
                    </w:rPr>
                    <w:t>ROI</w:t>
                  </w:r>
                  <w:r>
                    <w:rPr>
                      <w:szCs w:val="24"/>
                      <w:vertAlign w:val="subscript"/>
                      <w:lang w:eastAsia="lt-LT"/>
                    </w:rPr>
                    <w:t xml:space="preserve">10,t </w:t>
                  </w:r>
                  <w:r>
                    <w:rPr>
                      <w:szCs w:val="24"/>
                      <w:lang w:eastAsia="lt-LT"/>
                    </w:rPr>
                    <w:t xml:space="preserve">–VĮ investicijų grąža, apskaičiuota taikant Komisijos </w:t>
                  </w:r>
                  <w:r>
                    <w:rPr>
                      <w:i/>
                      <w:iCs/>
                      <w:szCs w:val="24"/>
                    </w:rPr>
                    <w:t>t</w:t>
                  </w:r>
                  <w:r>
                    <w:rPr>
                      <w:szCs w:val="24"/>
                      <w:lang w:eastAsia="lt-LT"/>
                    </w:rPr>
                    <w:t xml:space="preserve"> metų nustatytą investicijų grąžos normą nuo reguliuojamos turto bazės metų pradžiai;</w:t>
                  </w:r>
                </w:p>
                <w:p>
                  <w:pPr>
                    <w:tabs>
                      <w:tab w:val="left" w:pos="142"/>
                    </w:tabs>
                    <w:ind w:firstLine="709"/>
                    <w:jc w:val="both"/>
                    <w:rPr>
                      <w:szCs w:val="24"/>
                      <w:lang w:eastAsia="lt-LT"/>
                    </w:rPr>
                  </w:pPr>
                  <w:r>
                    <w:rPr>
                      <w:szCs w:val="24"/>
                      <w:lang w:eastAsia="lt-LT"/>
                    </w:rPr>
                    <w:t>S</w:t>
                  </w:r>
                  <w:r>
                    <w:rPr>
                      <w:szCs w:val="24"/>
                      <w:vertAlign w:val="subscript"/>
                      <w:lang w:eastAsia="lt-LT"/>
                    </w:rPr>
                    <w:t>10,t</w:t>
                  </w:r>
                  <w:r>
                    <w:rPr>
                      <w:szCs w:val="24"/>
                      <w:lang w:eastAsia="lt-LT"/>
                    </w:rPr>
                    <w:t xml:space="preserve"> – planuojamas </w:t>
                  </w:r>
                  <w:r>
                    <w:rPr>
                      <w:i/>
                      <w:iCs/>
                      <w:szCs w:val="24"/>
                    </w:rPr>
                    <w:t>t</w:t>
                  </w:r>
                  <w:r>
                    <w:rPr>
                      <w:szCs w:val="24"/>
                      <w:lang w:eastAsia="lt-LT"/>
                    </w:rPr>
                    <w:t xml:space="preserve"> metų VĮ OPEX padidėjimas (sumažėjimas), sąlygotas teisės aktų pasikeitimų </w:t>
                  </w:r>
                  <w:r>
                    <w:rPr>
                      <w:szCs w:val="24"/>
                    </w:rPr>
                    <w:t>ir (ar) kitų objektyvių (nuo STO nepriklausančių) veiksnių</w:t>
                  </w:r>
                  <w:r>
                    <w:rPr>
                      <w:szCs w:val="24"/>
                      <w:lang w:eastAsia="lt-LT"/>
                    </w:rPr>
                    <w:t>;</w:t>
                  </w:r>
                </w:p>
                <w:p>
                  <w:pPr>
                    <w:tabs>
                      <w:tab w:val="left" w:pos="142"/>
                    </w:tabs>
                    <w:ind w:firstLine="709"/>
                    <w:jc w:val="both"/>
                    <w:rPr>
                      <w:szCs w:val="24"/>
                      <w:lang w:eastAsia="lt-LT"/>
                    </w:rPr>
                  </w:pPr>
                  <w:r>
                    <w:rPr>
                      <w:szCs w:val="24"/>
                      <w:lang w:eastAsia="lt-LT"/>
                    </w:rPr>
                    <w:t>OI</w:t>
                  </w:r>
                  <w:r>
                    <w:rPr>
                      <w:szCs w:val="24"/>
                      <w:vertAlign w:val="subscript"/>
                      <w:lang w:eastAsia="lt-LT"/>
                    </w:rPr>
                    <w:t>10,t</w:t>
                  </w:r>
                  <w:r>
                    <w:rPr>
                      <w:szCs w:val="24"/>
                      <w:lang w:eastAsia="lt-LT"/>
                    </w:rPr>
                    <w:t xml:space="preserve"> – planuojamos </w:t>
                  </w:r>
                  <w:r>
                    <w:rPr>
                      <w:i/>
                      <w:iCs/>
                      <w:szCs w:val="24"/>
                    </w:rPr>
                    <w:t>t</w:t>
                  </w:r>
                  <w:r>
                    <w:rPr>
                      <w:szCs w:val="24"/>
                      <w:lang w:eastAsia="lt-LT"/>
                    </w:rPr>
                    <w:t xml:space="preserve"> metų VĮ kitos pajamos;</w:t>
                  </w:r>
                </w:p>
                <w:p>
                  <w:pPr>
                    <w:ind w:left="709"/>
                    <w:jc w:val="both"/>
                    <w:rPr>
                      <w:szCs w:val="24"/>
                      <w:lang w:eastAsia="lt-LT"/>
                    </w:rPr>
                  </w:pPr>
                  <w:r>
                    <w:rPr>
                      <w:szCs w:val="24"/>
                      <w:lang w:eastAsia="lt-LT"/>
                    </w:rPr>
                    <w:t>K</w:t>
                  </w:r>
                  <w:r>
                    <w:rPr>
                      <w:szCs w:val="24"/>
                      <w:vertAlign w:val="subscript"/>
                      <w:lang w:eastAsia="lt-LT"/>
                    </w:rPr>
                    <w:t xml:space="preserve">10,t </w:t>
                  </w:r>
                  <w:r>
                    <w:rPr>
                      <w:szCs w:val="24"/>
                      <w:lang w:eastAsia="lt-LT"/>
                    </w:rPr>
                    <w:t>– Komisijos nustatyta praėjusių laikotarpių VĮ investicijų grąžos korekcija.</w:t>
                  </w:r>
                </w:p>
                <w:p>
                  <w:pPr>
                    <w:jc w:val="both"/>
                    <w:rPr>
                      <w:sz w:val="20"/>
                      <w:lang w:eastAsia="lt-LT"/>
                    </w:rPr>
                  </w:pPr>
                  <w:r>
                    <w:rPr>
                      <w:b/>
                      <w:i/>
                      <w:sz w:val="20"/>
                      <w:lang w:eastAsia="lt-LT"/>
                    </w:rPr>
                    <w:t>TAR pastaba.</w:t>
                  </w:r>
                  <w:r>
                    <w:rPr>
                      <w:i/>
                      <w:sz w:val="20"/>
                      <w:lang w:eastAsia="lt-LT"/>
                    </w:rPr>
                    <w:t xml:space="preserve"> 85 punkto nuostatose nurodyti Metodikos pakeitimai įmonėms, besiverčiančioms skirstymo ir visuomeninio tiekimo veiklomis, kurių veiklos teritorijoje esančių vartotojų skaičius mažesnis nei 100 tūkstančių, taikomi nustatant arba koreguojant 2019 m. ir vėlesnių metų kainų viršutines ribas.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sdtContent>
            </w:sdt>
            <w:sdt>
              <w:sdtPr>
                <w:alias w:val="86 p."/>
                <w:tag w:val="part_326bb30de7c2464480a750ca2757a900"/>
                <w:lock w:val="sdtLocked"/>
                <w:richText/>
              </w:sdtPr>
              <w:sdtContent>
                <w:p>
                  <w:pPr>
                    <w:tabs>
                      <w:tab w:val="left" w:pos="1080"/>
                      <w:tab w:val="left" w:pos="1843"/>
                      <w:tab w:val="left" w:pos="2268"/>
                    </w:tabs>
                    <w:ind w:firstLine="720"/>
                    <w:jc w:val="both"/>
                    <w:rPr>
                      <w:szCs w:val="24"/>
                    </w:rPr>
                  </w:pPr>
                  <w:sdt>
                    <w:sdtPr>
                      <w:alias w:val="Numeris"/>
                      <w:tag w:val="nr_326bb30de7c2464480a750ca2757a900"/>
                      <w:lock w:val="sdtLocked"/>
                      <w:richText/>
                    </w:sdtPr>
                    <w:sdtContent>
                      <w:r>
                        <w:rPr>
                          <w:bCs/>
                          <w:kern w:val="32"/>
                          <w:szCs w:val="24"/>
                        </w:rPr>
                        <w:t>86</w:t>
                      </w:r>
                    </w:sdtContent>
                  </w:sdt>
                  <w:r>
                    <w:rPr>
                      <w:bCs/>
                      <w:kern w:val="32"/>
                      <w:szCs w:val="24"/>
                    </w:rPr>
                    <w:t xml:space="preserve">. </w:t>
                  </w:r>
                  <w:r>
                    <w:rPr>
                      <w:szCs w:val="24"/>
                      <w:lang w:eastAsia="lt-LT"/>
                    </w:rPr>
                    <w:t xml:space="preserve">Koreguoti </w:t>
                  </w:r>
                  <w:r>
                    <w:rPr>
                      <w:i/>
                      <w:szCs w:val="24"/>
                      <w:lang w:eastAsia="lt-LT"/>
                    </w:rPr>
                    <w:t>t</w:t>
                  </w:r>
                  <w:r>
                    <w:rPr>
                      <w:szCs w:val="24"/>
                      <w:lang w:eastAsia="lt-LT"/>
                    </w:rPr>
                    <w:t xml:space="preserve"> metų OPEX(be DU) kaštai</w:t>
                  </w:r>
                  <w:r>
                    <w:rPr>
                      <w:szCs w:val="24"/>
                    </w:rPr>
                    <w:t xml:space="preserve"> atitinkamos įtampos tinkle apskaičiuojami pagal formules:</w:t>
                  </w:r>
                </w:p>
                <w:p>
                  <w:pPr>
                    <w:tabs>
                      <w:tab w:val="left" w:pos="1134"/>
                    </w:tabs>
                    <w:ind w:firstLine="709"/>
                    <w:jc w:val="both"/>
                    <w:rPr>
                      <w:szCs w:val="24"/>
                    </w:rPr>
                  </w:pPr>
                </w:p>
                <w:p>
                  <w:pPr>
                    <w:tabs>
                      <w:tab w:val="left" w:pos="1134"/>
                    </w:tabs>
                    <w:jc w:val="center"/>
                    <w:rPr>
                      <w:szCs w:val="24"/>
                    </w:rPr>
                  </w:pPr>
                  <m:oMath>
                    <m:sSub>
                      <m:sSubPr>
                        <m:ctrlPr>
                          <w:rPr>
                            <w:rFonts w:ascii="Cambria Math" w:hAnsi="Cambria Math"/>
                            <w:i/>
                            <w:szCs w:val="24"/>
                          </w:rPr>
                        </m:ctrlPr>
                      </m:sSubPr>
                      <m:e>
                        <m:r>
                          <w:rPr>
                            <w:rFonts w:ascii="Cambria Math" w:hAnsi="Cambria Math"/>
                            <w:szCs w:val="24"/>
                          </w:rPr>
                          <m:t>OPEX</m:t>
                        </m:r>
                        <m:r>
                          <w:rPr>
                            <w:rFonts w:ascii="Cambria Math" w:hAnsi="Cambria Math"/>
                            <w:szCs w:val="24"/>
                          </w:rPr>
                          <m:t>'</m:t>
                        </m:r>
                      </m:e>
                      <m:sub>
                        <m:d>
                          <m:dPr>
                            <m:ctrlPr>
                              <w:rPr>
                                <w:rFonts w:ascii="Cambria Math" w:hAnsi="Cambria Math"/>
                                <w:i/>
                                <w:szCs w:val="24"/>
                              </w:rPr>
                            </m:ctrlPr>
                          </m:dPr>
                          <m:e>
                            <m:r>
                              <w:rPr>
                                <w:rFonts w:ascii="Cambria Math" w:hAnsi="Cambria Math"/>
                                <w:szCs w:val="24"/>
                              </w:rPr>
                              <m:t>be</m:t>
                            </m:r>
                            <m:r>
                              <w:rPr>
                                <w:rFonts w:ascii="Cambria Math" w:hAnsi="Cambria Math"/>
                                <w:szCs w:val="24"/>
                              </w:rPr>
                              <m:t xml:space="preserve"> </m:t>
                            </m:r>
                            <m:r>
                              <w:rPr>
                                <w:rFonts w:ascii="Cambria Math" w:hAnsi="Cambria Math"/>
                                <w:szCs w:val="24"/>
                              </w:rPr>
                              <m:t>DU</m:t>
                            </m:r>
                          </m:e>
                        </m:d>
                        <m:r>
                          <w:rPr>
                            <w:rFonts w:ascii="Cambria Math" w:hAnsi="Cambria Math"/>
                            <w:szCs w:val="24"/>
                          </w:rPr>
                          <m:t>04,</m:t>
                        </m:r>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OPEX</m:t>
                        </m:r>
                      </m:e>
                      <m:sub>
                        <m:d>
                          <m:dPr>
                            <m:ctrlPr>
                              <w:rPr>
                                <w:rFonts w:ascii="Cambria Math" w:hAnsi="Cambria Math"/>
                                <w:i/>
                                <w:szCs w:val="24"/>
                              </w:rPr>
                            </m:ctrlPr>
                          </m:dPr>
                          <m:e>
                            <m:r>
                              <w:rPr>
                                <w:rFonts w:ascii="Cambria Math" w:hAnsi="Cambria Math"/>
                                <w:szCs w:val="24"/>
                              </w:rPr>
                              <m:t>be</m:t>
                            </m:r>
                            <m:r>
                              <w:rPr>
                                <w:rFonts w:ascii="Cambria Math" w:hAnsi="Cambria Math"/>
                                <w:szCs w:val="24"/>
                              </w:rPr>
                              <m:t xml:space="preserve"> </m:t>
                            </m:r>
                            <m:r>
                              <w:rPr>
                                <w:rFonts w:ascii="Cambria Math" w:hAnsi="Cambria Math"/>
                                <w:szCs w:val="24"/>
                              </w:rPr>
                              <m:t>DU</m:t>
                            </m:r>
                          </m:e>
                        </m:d>
                        <m:r>
                          <w:rPr>
                            <w:rFonts w:ascii="Cambria Math" w:hAnsi="Cambria Math"/>
                            <w:szCs w:val="24"/>
                          </w:rPr>
                          <m:t>04</m:t>
                        </m:r>
                      </m:sub>
                    </m:sSub>
                    <m:r>
                      <w:rPr>
                        <w:rFonts w:ascii="Cambria Math" w:hAnsi="Cambria Math"/>
                        <w:szCs w:val="24"/>
                      </w:rPr>
                      <m:t xml:space="preserve"> ×</m:t>
                    </m:r>
                    <m:sSub>
                      <m:sSubPr>
                        <m:ctrlPr>
                          <w:rPr>
                            <w:rFonts w:ascii="Cambria Math" w:hAnsi="Cambria Math"/>
                            <w:i/>
                            <w:szCs w:val="24"/>
                          </w:rPr>
                        </m:ctrlPr>
                      </m:sSubPr>
                      <m:e>
                        <m:r>
                          <w:rPr>
                            <w:rFonts w:ascii="Cambria Math" w:hAnsi="Cambria Math"/>
                            <w:szCs w:val="24"/>
                          </w:rPr>
                          <m:t>IK</m:t>
                        </m:r>
                      </m:e>
                      <m:sub>
                        <m:r>
                          <w:rPr>
                            <w:rFonts w:ascii="Cambria Math" w:hAnsi="Cambria Math"/>
                            <w:szCs w:val="24"/>
                          </w:rPr>
                          <m:t xml:space="preserve"> </m:t>
                        </m:r>
                        <m:r>
                          <w:rPr>
                            <w:rFonts w:ascii="Cambria Math" w:hAnsi="Cambria Math"/>
                            <w:szCs w:val="24"/>
                          </w:rPr>
                          <m:t>t</m:t>
                        </m:r>
                      </m:sub>
                    </m:sSub>
                  </m:oMath>
                  <w:r>
                    <w:rPr>
                      <w:szCs w:val="24"/>
                    </w:rPr>
                    <w:tab/>
                    <w:tab/>
                    <w:t>(56)</w:t>
                  </w:r>
                </w:p>
                <w:p>
                  <w:pPr>
                    <w:tabs>
                      <w:tab w:val="left" w:pos="1134"/>
                    </w:tabs>
                    <w:jc w:val="center"/>
                    <w:rPr>
                      <w:szCs w:val="24"/>
                    </w:rPr>
                  </w:pPr>
                </w:p>
                <w:p>
                  <w:pPr>
                    <w:tabs>
                      <w:tab w:val="left" w:pos="1134"/>
                    </w:tabs>
                    <w:jc w:val="center"/>
                    <w:rPr>
                      <w:szCs w:val="24"/>
                    </w:rPr>
                  </w:pPr>
                  <m:oMath>
                    <m:sSub>
                      <m:sSubPr>
                        <m:ctrlPr>
                          <w:rPr>
                            <w:rFonts w:ascii="Cambria Math" w:hAnsi="Cambria Math"/>
                            <w:i/>
                            <w:szCs w:val="24"/>
                          </w:rPr>
                        </m:ctrlPr>
                      </m:sSubPr>
                      <m:e>
                        <m:r>
                          <w:rPr>
                            <w:rFonts w:ascii="Cambria Math" w:hAnsi="Cambria Math"/>
                            <w:szCs w:val="24"/>
                          </w:rPr>
                          <m:t>OPEX</m:t>
                        </m:r>
                        <m:r>
                          <w:rPr>
                            <w:rFonts w:ascii="Cambria Math" w:hAnsi="Cambria Math"/>
                            <w:szCs w:val="24"/>
                          </w:rPr>
                          <m:t>'</m:t>
                        </m:r>
                      </m:e>
                      <m:sub>
                        <m:d>
                          <m:dPr>
                            <m:ctrlPr>
                              <w:rPr>
                                <w:rFonts w:ascii="Cambria Math" w:hAnsi="Cambria Math"/>
                                <w:i/>
                                <w:szCs w:val="24"/>
                              </w:rPr>
                            </m:ctrlPr>
                          </m:dPr>
                          <m:e>
                            <m:r>
                              <w:rPr>
                                <w:rFonts w:ascii="Cambria Math" w:hAnsi="Cambria Math"/>
                                <w:szCs w:val="24"/>
                              </w:rPr>
                              <m:t>be</m:t>
                            </m:r>
                            <m:r>
                              <w:rPr>
                                <w:rFonts w:ascii="Cambria Math" w:hAnsi="Cambria Math"/>
                                <w:szCs w:val="24"/>
                              </w:rPr>
                              <m:t xml:space="preserve"> </m:t>
                            </m:r>
                            <m:r>
                              <w:rPr>
                                <w:rFonts w:ascii="Cambria Math" w:hAnsi="Cambria Math"/>
                                <w:szCs w:val="24"/>
                              </w:rPr>
                              <m:t>DU</m:t>
                            </m:r>
                          </m:e>
                        </m:d>
                        <m:r>
                          <w:rPr>
                            <w:rFonts w:ascii="Cambria Math" w:hAnsi="Cambria Math"/>
                            <w:szCs w:val="24"/>
                          </w:rPr>
                          <m:t>10,</m:t>
                        </m:r>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OPEX</m:t>
                        </m:r>
                      </m:e>
                      <m:sub>
                        <m:d>
                          <m:dPr>
                            <m:ctrlPr>
                              <w:rPr>
                                <w:rFonts w:ascii="Cambria Math" w:hAnsi="Cambria Math"/>
                                <w:i/>
                                <w:szCs w:val="24"/>
                              </w:rPr>
                            </m:ctrlPr>
                          </m:dPr>
                          <m:e>
                            <m:r>
                              <w:rPr>
                                <w:rFonts w:ascii="Cambria Math" w:hAnsi="Cambria Math"/>
                                <w:szCs w:val="24"/>
                              </w:rPr>
                              <m:t>be</m:t>
                            </m:r>
                            <m:r>
                              <w:rPr>
                                <w:rFonts w:ascii="Cambria Math" w:hAnsi="Cambria Math"/>
                                <w:szCs w:val="24"/>
                              </w:rPr>
                              <m:t xml:space="preserve"> </m:t>
                            </m:r>
                            <m:r>
                              <w:rPr>
                                <w:rFonts w:ascii="Cambria Math" w:hAnsi="Cambria Math"/>
                                <w:szCs w:val="24"/>
                              </w:rPr>
                              <m:t>DU</m:t>
                            </m:r>
                          </m:e>
                        </m:d>
                        <m:r>
                          <w:rPr>
                            <w:rFonts w:ascii="Cambria Math" w:hAnsi="Cambria Math"/>
                            <w:szCs w:val="24"/>
                          </w:rPr>
                          <m:t>10</m:t>
                        </m:r>
                      </m:sub>
                    </m:sSub>
                    <m:r>
                      <w:rPr>
                        <w:rFonts w:ascii="Cambria Math" w:hAnsi="Cambria Math"/>
                        <w:szCs w:val="24"/>
                      </w:rPr>
                      <m:t xml:space="preserve"> ×</m:t>
                    </m:r>
                    <m:sSub>
                      <m:sSubPr>
                        <m:ctrlPr>
                          <w:rPr>
                            <w:rFonts w:ascii="Cambria Math" w:hAnsi="Cambria Math"/>
                            <w:i/>
                            <w:szCs w:val="24"/>
                          </w:rPr>
                        </m:ctrlPr>
                      </m:sSubPr>
                      <m:e>
                        <m:r>
                          <w:rPr>
                            <w:rFonts w:ascii="Cambria Math" w:hAnsi="Cambria Math"/>
                            <w:szCs w:val="24"/>
                          </w:rPr>
                          <m:t>IK</m:t>
                        </m:r>
                      </m:e>
                      <m:sub>
                        <m:r>
                          <w:rPr>
                            <w:rFonts w:ascii="Cambria Math" w:hAnsi="Cambria Math"/>
                            <w:szCs w:val="24"/>
                          </w:rPr>
                          <m:t xml:space="preserve"> </m:t>
                        </m:r>
                        <m:r>
                          <w:rPr>
                            <w:rFonts w:ascii="Cambria Math" w:hAnsi="Cambria Math"/>
                            <w:szCs w:val="24"/>
                          </w:rPr>
                          <m:t>t</m:t>
                        </m:r>
                      </m:sub>
                    </m:sSub>
                  </m:oMath>
                  <w:r>
                    <w:rPr>
                      <w:szCs w:val="24"/>
                    </w:rPr>
                    <w:tab/>
                    <w:tab/>
                    <w:t>(57)</w:t>
                  </w:r>
                </w:p>
                <w:p>
                  <w:pPr>
                    <w:tabs>
                      <w:tab w:val="left" w:pos="1134"/>
                    </w:tabs>
                    <w:ind w:firstLine="709"/>
                    <w:jc w:val="both"/>
                    <w:rPr>
                      <w:szCs w:val="24"/>
                    </w:rPr>
                  </w:pPr>
                </w:p>
                <w:p>
                  <w:pPr>
                    <w:tabs>
                      <w:tab w:val="left" w:pos="1134"/>
                      <w:tab w:val="left" w:pos="1843"/>
                      <w:tab w:val="left" w:pos="2268"/>
                    </w:tabs>
                    <w:ind w:firstLine="709"/>
                    <w:jc w:val="both"/>
                    <w:rPr>
                      <w:i/>
                      <w:szCs w:val="24"/>
                    </w:rPr>
                  </w:pPr>
                  <w:r>
                    <w:rPr>
                      <w:i/>
                      <w:szCs w:val="24"/>
                    </w:rPr>
                    <w:t>čia:</w:t>
                  </w:r>
                </w:p>
                <w:p>
                  <w:pPr>
                    <w:tabs>
                      <w:tab w:val="left" w:pos="1134"/>
                      <w:tab w:val="left" w:pos="1843"/>
                      <w:tab w:val="left" w:pos="2268"/>
                    </w:tabs>
                    <w:ind w:firstLine="709"/>
                    <w:jc w:val="both"/>
                    <w:rPr>
                      <w:szCs w:val="24"/>
                      <w:lang w:eastAsia="lt-LT"/>
                    </w:rPr>
                  </w:pPr>
                  <w:r>
                    <w:rPr>
                      <w:szCs w:val="24"/>
                      <w:lang w:eastAsia="lt-LT"/>
                    </w:rPr>
                    <w:t>OPEX‘</w:t>
                  </w:r>
                  <w:r>
                    <w:rPr>
                      <w:szCs w:val="24"/>
                      <w:vertAlign w:val="subscript"/>
                      <w:lang w:eastAsia="lt-LT"/>
                    </w:rPr>
                    <w:t xml:space="preserve"> (be DU)04,t </w:t>
                  </w:r>
                  <w:r>
                    <w:rPr>
                      <w:szCs w:val="24"/>
                      <w:lang w:eastAsia="lt-LT"/>
                    </w:rPr>
                    <w:t xml:space="preserve">– koreguoti </w:t>
                  </w:r>
                  <w:r>
                    <w:rPr>
                      <w:i/>
                      <w:szCs w:val="24"/>
                      <w:lang w:eastAsia="lt-LT"/>
                    </w:rPr>
                    <w:t>t</w:t>
                  </w:r>
                  <w:r>
                    <w:rPr>
                      <w:szCs w:val="24"/>
                      <w:lang w:eastAsia="lt-LT"/>
                    </w:rPr>
                    <w:t xml:space="preserve"> metų ŽĮ OPEX(be DU) kaštai;</w:t>
                  </w:r>
                </w:p>
                <w:p>
                  <w:pPr>
                    <w:tabs>
                      <w:tab w:val="left" w:pos="1134"/>
                      <w:tab w:val="left" w:pos="1843"/>
                      <w:tab w:val="left" w:pos="2268"/>
                    </w:tabs>
                    <w:ind w:firstLine="709"/>
                    <w:jc w:val="both"/>
                    <w:rPr>
                      <w:szCs w:val="24"/>
                      <w:lang w:eastAsia="lt-LT"/>
                    </w:rPr>
                  </w:pPr>
                  <w:r>
                    <w:rPr>
                      <w:szCs w:val="24"/>
                      <w:lang w:eastAsia="lt-LT"/>
                    </w:rPr>
                    <w:t>OPEX</w:t>
                  </w:r>
                  <w:r>
                    <w:rPr>
                      <w:szCs w:val="24"/>
                      <w:vertAlign w:val="subscript"/>
                      <w:lang w:eastAsia="lt-LT"/>
                    </w:rPr>
                    <w:t xml:space="preserve"> (be DU)04 </w:t>
                  </w:r>
                  <w:r>
                    <w:rPr>
                      <w:szCs w:val="24"/>
                      <w:lang w:eastAsia="lt-LT"/>
                    </w:rPr>
                    <w:t>– reguliavimo periodo baziniai ŽĮ OPEX(be DU) kaštai;</w:t>
                  </w:r>
                </w:p>
                <w:p>
                  <w:pPr>
                    <w:tabs>
                      <w:tab w:val="left" w:pos="1134"/>
                      <w:tab w:val="left" w:pos="1843"/>
                      <w:tab w:val="left" w:pos="2268"/>
                    </w:tabs>
                    <w:ind w:firstLine="709"/>
                    <w:jc w:val="both"/>
                    <w:rPr>
                      <w:szCs w:val="24"/>
                      <w:lang w:eastAsia="lt-LT"/>
                    </w:rPr>
                  </w:pPr>
                  <w:r>
                    <w:rPr>
                      <w:szCs w:val="24"/>
                      <w:lang w:eastAsia="lt-LT"/>
                    </w:rPr>
                    <w:t>OPEX‘</w:t>
                  </w:r>
                  <w:r>
                    <w:rPr>
                      <w:szCs w:val="24"/>
                      <w:vertAlign w:val="subscript"/>
                      <w:lang w:eastAsia="lt-LT"/>
                    </w:rPr>
                    <w:t xml:space="preserve"> (be DU)10,t </w:t>
                  </w:r>
                  <w:r>
                    <w:rPr>
                      <w:szCs w:val="24"/>
                      <w:lang w:eastAsia="lt-LT"/>
                    </w:rPr>
                    <w:t xml:space="preserve">– koreguoti </w:t>
                  </w:r>
                  <w:r>
                    <w:rPr>
                      <w:i/>
                      <w:szCs w:val="24"/>
                      <w:lang w:eastAsia="lt-LT"/>
                    </w:rPr>
                    <w:t>t</w:t>
                  </w:r>
                  <w:r>
                    <w:rPr>
                      <w:szCs w:val="24"/>
                      <w:lang w:eastAsia="lt-LT"/>
                    </w:rPr>
                    <w:t xml:space="preserve"> metų VĮ OPEX (be DU) kaštai;</w:t>
                  </w:r>
                </w:p>
                <w:p>
                  <w:pPr>
                    <w:tabs>
                      <w:tab w:val="left" w:pos="1134"/>
                      <w:tab w:val="left" w:pos="1843"/>
                      <w:tab w:val="left" w:pos="2268"/>
                    </w:tabs>
                    <w:ind w:firstLine="709"/>
                    <w:jc w:val="both"/>
                    <w:rPr>
                      <w:szCs w:val="24"/>
                      <w:lang w:eastAsia="lt-LT"/>
                    </w:rPr>
                  </w:pPr>
                  <w:r>
                    <w:rPr>
                      <w:szCs w:val="24"/>
                      <w:lang w:eastAsia="lt-LT"/>
                    </w:rPr>
                    <w:t>OPEX</w:t>
                  </w:r>
                  <w:r>
                    <w:rPr>
                      <w:szCs w:val="24"/>
                      <w:vertAlign w:val="subscript"/>
                      <w:lang w:eastAsia="lt-LT"/>
                    </w:rPr>
                    <w:t xml:space="preserve"> (be DU)10 </w:t>
                  </w:r>
                  <w:r>
                    <w:rPr>
                      <w:szCs w:val="24"/>
                      <w:lang w:eastAsia="lt-LT"/>
                    </w:rPr>
                    <w:t>– reguliavimo periodo baziniai VĮ OPEX(be DU) kaštai;</w:t>
                  </w:r>
                </w:p>
                <w:p>
                  <w:pPr>
                    <w:tabs>
                      <w:tab w:val="left" w:pos="1134"/>
                      <w:tab w:val="left" w:pos="1843"/>
                      <w:tab w:val="left" w:pos="2268"/>
                    </w:tabs>
                    <w:ind w:firstLine="709"/>
                    <w:jc w:val="both"/>
                    <w:rPr>
                      <w:szCs w:val="24"/>
                      <w:lang w:eastAsia="lt-LT"/>
                    </w:rPr>
                  </w:pPr>
                  <w:r>
                    <w:rPr>
                      <w:szCs w:val="24"/>
                    </w:rPr>
                    <w:t>IK</w:t>
                  </w:r>
                  <w:r>
                    <w:rPr>
                      <w:szCs w:val="24"/>
                      <w:vertAlign w:val="subscript"/>
                    </w:rPr>
                    <w:t>t</w:t>
                  </w:r>
                  <w:r>
                    <w:rPr>
                      <w:szCs w:val="24"/>
                    </w:rPr>
                    <w:t xml:space="preserve"> – </w:t>
                  </w:r>
                  <w:r>
                    <w:rPr>
                      <w:i/>
                      <w:szCs w:val="24"/>
                    </w:rPr>
                    <w:t>t</w:t>
                  </w:r>
                  <w:r>
                    <w:rPr>
                      <w:szCs w:val="24"/>
                    </w:rPr>
                    <w:t xml:space="preserve"> metų infliacijos koeficientas, </w:t>
                  </w:r>
                  <w:r>
                    <w:rPr>
                      <w:szCs w:val="24"/>
                      <w:lang w:eastAsia="lt-LT"/>
                    </w:rPr>
                    <w:t>kuris apskaičiuojamas pagal formulę:</w:t>
                  </w:r>
                </w:p>
                <w:p>
                  <w:pPr>
                    <w:tabs>
                      <w:tab w:val="left" w:pos="1134"/>
                      <w:tab w:val="left" w:pos="1843"/>
                      <w:tab w:val="left" w:pos="2268"/>
                    </w:tabs>
                    <w:jc w:val="both"/>
                    <w:rPr>
                      <w:szCs w:val="24"/>
                      <w:lang w:eastAsia="lt-LT"/>
                    </w:rPr>
                  </w:pPr>
                </w:p>
                <w:p>
                  <w:pPr>
                    <w:tabs>
                      <w:tab w:val="left" w:pos="1134"/>
                      <w:tab w:val="left" w:pos="1843"/>
                      <w:tab w:val="left" w:pos="2268"/>
                    </w:tabs>
                    <w:jc w:val="center"/>
                    <w:rPr>
                      <w:szCs w:val="24"/>
                      <w:lang w:eastAsia="lt-LT"/>
                    </w:rPr>
                  </w:pPr>
                  <m:oMath>
                    <m:sSub>
                      <m:sSubPr>
                        <m:ctrlPr>
                          <w:rPr>
                            <w:rFonts w:ascii="Cambria Math" w:hAnsi="Cambria Math"/>
                            <w:i/>
                            <w:szCs w:val="24"/>
                          </w:rPr>
                        </m:ctrlPr>
                      </m:sSubPr>
                      <m:e>
                        <m:r>
                          <w:rPr>
                            <w:rFonts w:ascii="Cambria Math" w:hAnsi="Cambria Math"/>
                            <w:szCs w:val="24"/>
                          </w:rPr>
                          <m:t xml:space="preserve"> </m:t>
                        </m:r>
                        <m:r>
                          <w:rPr>
                            <w:rFonts w:ascii="Cambria Math" w:hAnsi="Cambria Math"/>
                            <w:szCs w:val="24"/>
                          </w:rPr>
                          <m:t>IK</m:t>
                        </m:r>
                      </m:e>
                      <m:sub>
                        <m:r>
                          <w:rPr>
                            <w:rFonts w:ascii="Cambria Math" w:hAnsi="Cambria Math"/>
                            <w:szCs w:val="24"/>
                          </w:rPr>
                          <m:t xml:space="preserve"> </m:t>
                        </m:r>
                        <m:r>
                          <w:rPr>
                            <w:rFonts w:ascii="Cambria Math" w:hAnsi="Cambria Math"/>
                            <w:szCs w:val="24"/>
                          </w:rPr>
                          <m:t>t</m:t>
                        </m:r>
                      </m:sub>
                    </m:sSub>
                    <m:r>
                      <w:rPr>
                        <w:rFonts w:ascii="Cambria Math" w:hAnsi="Cambria Math"/>
                        <w:szCs w:val="24"/>
                      </w:rPr>
                      <m:t>= (1+</m:t>
                    </m:r>
                    <m:f>
                      <m:fPr>
                        <m:ctrlPr>
                          <w:rPr>
                            <w:rFonts w:ascii="Cambria Math" w:hAnsi="Cambria Math"/>
                            <w:i/>
                            <w:szCs w:val="24"/>
                          </w:rPr>
                        </m:ctrlPr>
                      </m:fPr>
                      <m:num>
                        <m:r>
                          <w:rPr>
                            <w:rFonts w:ascii="Cambria Math" w:hAnsi="Cambria Math"/>
                            <w:szCs w:val="24"/>
                          </w:rPr>
                          <m:t xml:space="preserve"> </m:t>
                        </m:r>
                        <m:sSub>
                          <m:sSubPr>
                            <m:ctrlPr>
                              <w:rPr>
                                <w:rFonts w:ascii="Cambria Math" w:hAnsi="Cambria Math"/>
                                <w:i/>
                                <w:szCs w:val="24"/>
                              </w:rPr>
                            </m:ctrlPr>
                          </m:sSubPr>
                          <m:e>
                            <m:r>
                              <w:rPr>
                                <w:rFonts w:ascii="Cambria Math" w:hAnsi="Cambria Math"/>
                                <w:szCs w:val="24"/>
                              </w:rPr>
                              <m:t>i</m:t>
                            </m:r>
                          </m:e>
                          <m:sub>
                            <m:r>
                              <w:rPr>
                                <w:rFonts w:ascii="Cambria Math" w:hAnsi="Cambria Math"/>
                                <w:szCs w:val="24"/>
                              </w:rPr>
                              <m:t xml:space="preserve"> </m:t>
                            </m:r>
                            <m:r>
                              <w:rPr>
                                <w:rFonts w:ascii="Cambria Math" w:hAnsi="Cambria Math"/>
                                <w:szCs w:val="24"/>
                              </w:rPr>
                              <m:t>t</m:t>
                            </m:r>
                          </m:sub>
                        </m:sSub>
                        <m:r>
                          <w:rPr>
                            <w:rFonts w:ascii="Cambria Math" w:hAnsi="Cambria Math"/>
                            <w:szCs w:val="24"/>
                          </w:rPr>
                          <m:t>-</m:t>
                        </m:r>
                        <m:r>
                          <w:rPr>
                            <w:rFonts w:ascii="Cambria Math" w:hAnsi="Cambria Math"/>
                            <w:szCs w:val="24"/>
                          </w:rPr>
                          <m:t>e</m:t>
                        </m:r>
                      </m:num>
                      <m:den>
                        <m:r>
                          <w:rPr>
                            <w:rFonts w:ascii="Cambria Math" w:hAnsi="Cambria Math"/>
                            <w:szCs w:val="24"/>
                          </w:rPr>
                          <m:t>100</m:t>
                        </m:r>
                      </m:den>
                    </m:f>
                    <m:r>
                      <w:rPr>
                        <w:rFonts w:ascii="Cambria Math" w:hAnsi="Cambria Math"/>
                        <w:szCs w:val="24"/>
                      </w:rPr>
                      <m:t>)×</m:t>
                    </m:r>
                    <m:sSub>
                      <m:sSubPr>
                        <m:ctrlPr>
                          <w:rPr>
                            <w:rFonts w:ascii="Cambria Math" w:hAnsi="Cambria Math"/>
                            <w:i/>
                            <w:szCs w:val="24"/>
                          </w:rPr>
                        </m:ctrlPr>
                      </m:sSubPr>
                      <m:e>
                        <m:r>
                          <w:rPr>
                            <w:rFonts w:ascii="Cambria Math" w:hAnsi="Cambria Math"/>
                            <w:szCs w:val="24"/>
                          </w:rPr>
                          <m:t>IK</m:t>
                        </m:r>
                      </m:e>
                      <m:sub>
                        <m:r>
                          <w:rPr>
                            <w:rFonts w:ascii="Cambria Math" w:hAnsi="Cambria Math"/>
                            <w:szCs w:val="24"/>
                          </w:rPr>
                          <m:t xml:space="preserve"> </m:t>
                        </m:r>
                        <m:r>
                          <w:rPr>
                            <w:rFonts w:ascii="Cambria Math" w:hAnsi="Cambria Math"/>
                            <w:szCs w:val="24"/>
                          </w:rPr>
                          <m:t>t</m:t>
                        </m:r>
                        <m:r>
                          <w:rPr>
                            <w:rFonts w:ascii="Cambria Math" w:hAnsi="Cambria Math"/>
                            <w:szCs w:val="24"/>
                          </w:rPr>
                          <m:t>-1</m:t>
                        </m:r>
                      </m:sub>
                    </m:sSub>
                  </m:oMath>
                  <w:r>
                    <w:rPr>
                      <w:szCs w:val="24"/>
                    </w:rPr>
                    <w:tab/>
                    <w:tab/>
                    <w:tab/>
                    <w:t>(58)</w:t>
                  </w:r>
                </w:p>
                <w:p>
                  <w:pPr>
                    <w:tabs>
                      <w:tab w:val="left" w:pos="1134"/>
                      <w:tab w:val="left" w:pos="1843"/>
                      <w:tab w:val="left" w:pos="2268"/>
                    </w:tabs>
                    <w:jc w:val="both"/>
                    <w:rPr>
                      <w:szCs w:val="24"/>
                    </w:rPr>
                  </w:pPr>
                </w:p>
                <w:p>
                  <w:pPr>
                    <w:tabs>
                      <w:tab w:val="left" w:pos="1134"/>
                      <w:tab w:val="left" w:pos="1843"/>
                      <w:tab w:val="left" w:pos="2268"/>
                    </w:tabs>
                    <w:ind w:firstLine="709"/>
                    <w:jc w:val="both"/>
                    <w:rPr>
                      <w:i/>
                      <w:szCs w:val="24"/>
                    </w:rPr>
                  </w:pPr>
                  <w:r>
                    <w:rPr>
                      <w:i/>
                      <w:szCs w:val="24"/>
                    </w:rPr>
                    <w:t>čia:</w:t>
                  </w:r>
                </w:p>
                <w:p>
                  <w:pPr>
                    <w:ind w:firstLine="709"/>
                    <w:jc w:val="both"/>
                    <w:rPr>
                      <w:szCs w:val="24"/>
                      <w:lang w:eastAsia="lt-LT"/>
                    </w:rPr>
                  </w:pPr>
                  <w:r>
                    <w:rPr>
                      <w:szCs w:val="24"/>
                      <w:lang w:eastAsia="lt-LT"/>
                    </w:rPr>
                    <w:t>i</w:t>
                  </w:r>
                  <w:r>
                    <w:rPr>
                      <w:szCs w:val="24"/>
                      <w:vertAlign w:val="subscript"/>
                      <w:lang w:eastAsia="lt-LT"/>
                    </w:rPr>
                    <w:t>t</w:t>
                  </w:r>
                  <w:r>
                    <w:rPr>
                      <w:szCs w:val="24"/>
                      <w:lang w:eastAsia="lt-LT"/>
                    </w:rPr>
                    <w:t xml:space="preserve"> – vidutinio metinio vartotojų kainų indekso pokytis metais </w:t>
                  </w:r>
                  <w:r>
                    <w:rPr>
                      <w:i/>
                      <w:szCs w:val="24"/>
                      <w:lang w:eastAsia="lt-LT"/>
                    </w:rPr>
                    <w:t>t</w:t>
                  </w:r>
                  <w:r>
                    <w:rPr>
                      <w:szCs w:val="24"/>
                      <w:lang w:eastAsia="lt-LT"/>
                    </w:rPr>
                    <w:t xml:space="preserve"> lyginant su atitinkamu indeksu metais </w:t>
                  </w:r>
                  <w:r>
                    <w:rPr>
                      <w:i/>
                      <w:szCs w:val="24"/>
                      <w:lang w:eastAsia="lt-LT"/>
                    </w:rPr>
                    <w:t>t-1</w:t>
                  </w:r>
                  <w:r>
                    <w:rPr>
                      <w:szCs w:val="24"/>
                      <w:lang w:eastAsia="lt-LT"/>
                    </w:rPr>
                    <w:t xml:space="preserve">, %. Jis nustatomas pagal Finansų ministerijos skelbiamus naujausius duomenis. Nesant Finansų ministerijos duomenų, nustatoma pagal Lietuvos banko duomenis; </w:t>
                  </w:r>
                </w:p>
                <w:p>
                  <w:pPr>
                    <w:tabs>
                      <w:tab w:val="left" w:pos="1134"/>
                    </w:tabs>
                    <w:ind w:firstLine="709"/>
                    <w:jc w:val="both"/>
                  </w:pPr>
                  <w:r>
                    <w:rPr>
                      <w:szCs w:val="24"/>
                      <w:lang w:eastAsia="lt-LT"/>
                    </w:rPr>
                    <w:t>e – efektyvumo koeficientas, %;</w:t>
                  </w:r>
                </w:p>
                <w:p>
                  <w:pPr>
                    <w:ind w:firstLine="720"/>
                    <w:jc w:val="both"/>
                    <w:rPr>
                      <w:szCs w:val="24"/>
                    </w:rPr>
                  </w:pPr>
                  <w:r>
                    <w:rPr>
                      <w:szCs w:val="24"/>
                    </w:rPr>
                    <w:t>IK</w:t>
                  </w:r>
                  <w:r>
                    <w:rPr>
                      <w:szCs w:val="24"/>
                      <w:vertAlign w:val="subscript"/>
                    </w:rPr>
                    <w:t>t-1</w:t>
                  </w:r>
                  <w:r>
                    <w:rPr>
                      <w:szCs w:val="24"/>
                    </w:rPr>
                    <w:t xml:space="preserve"> – </w:t>
                  </w:r>
                  <w:r>
                    <w:rPr>
                      <w:i/>
                      <w:szCs w:val="24"/>
                    </w:rPr>
                    <w:t>t-1</w:t>
                  </w:r>
                  <w:r>
                    <w:rPr>
                      <w:szCs w:val="24"/>
                    </w:rPr>
                    <w:t xml:space="preserve"> metų infliacijos koeficientas. Pirmųjų naujojo reguliavimo periodo metų infliacijos koeficientas lygus vienetui.</w:t>
                  </w:r>
                </w:p>
                <w:p>
                  <w:pPr>
                    <w:jc w:val="both"/>
                    <w:rPr>
                      <w:sz w:val="20"/>
                    </w:rPr>
                  </w:pPr>
                  <w:r>
                    <w:rPr>
                      <w:b/>
                      <w:i/>
                      <w:sz w:val="20"/>
                    </w:rPr>
                    <w:t>TAR pastaba.</w:t>
                  </w:r>
                  <w:r>
                    <w:rPr>
                      <w:i/>
                      <w:sz w:val="20"/>
                    </w:rPr>
                    <w:t xml:space="preserve"> 86 punkto nuostatose nurodyti Metodikos pakeitimai įmonėms, besiverčiančioms skirstymo ir visuomeninio tiekimo veiklomis, kurių veiklos teritorijoje esančių vartotojų skaičius mažesnis nei 100 tūkstančių, taikomi nustatant arba koreguojant 2019 m. ir vėlesnių metų kainų viršutines ribas.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sdtContent>
            </w:sdt>
            <w:sdt>
              <w:sdtPr>
                <w:alias w:val="87 p."/>
                <w:tag w:val="part_ed2d73025f734e709eda76e5df5614c7"/>
                <w:lock w:val="sdtLocked"/>
                <w:richText/>
              </w:sdtPr>
              <w:sdtContent>
                <w:p>
                  <w:pPr>
                    <w:tabs>
                      <w:tab w:val="left" w:pos="1080"/>
                      <w:tab w:val="left" w:pos="1843"/>
                      <w:tab w:val="left" w:pos="2268"/>
                    </w:tabs>
                    <w:ind w:firstLine="720"/>
                    <w:jc w:val="both"/>
                    <w:rPr>
                      <w:szCs w:val="24"/>
                    </w:rPr>
                  </w:pPr>
                  <w:sdt>
                    <w:sdtPr>
                      <w:alias w:val="Numeris"/>
                      <w:tag w:val="nr_ed2d73025f734e709eda76e5df5614c7"/>
                      <w:lock w:val="sdtLocked"/>
                      <w:richText/>
                    </w:sdtPr>
                    <w:sdtContent>
                      <w:r>
                        <w:rPr>
                          <w:szCs w:val="24"/>
                        </w:rPr>
                        <w:t>87</w:t>
                      </w:r>
                    </w:sdtContent>
                  </w:sdt>
                  <w:r>
                    <w:rPr>
                      <w:szCs w:val="24"/>
                    </w:rPr>
                    <w:t xml:space="preserve">. Koreguoti </w:t>
                  </w:r>
                  <w:r>
                    <w:rPr>
                      <w:i/>
                      <w:szCs w:val="24"/>
                      <w:lang w:eastAsia="lt-LT"/>
                    </w:rPr>
                    <w:t xml:space="preserve">t </w:t>
                  </w:r>
                  <w:r>
                    <w:rPr>
                      <w:szCs w:val="24"/>
                      <w:lang w:eastAsia="lt-LT"/>
                    </w:rPr>
                    <w:t>metų</w:t>
                  </w:r>
                  <w:r>
                    <w:rPr>
                      <w:szCs w:val="24"/>
                    </w:rPr>
                    <w:t xml:space="preserve"> OPEX(DU) kaštai atitinkamos įtampos tinkle apskaičiuojami pagal formules:</w:t>
                  </w:r>
                </w:p>
                <w:p>
                  <w:pPr>
                    <w:tabs>
                      <w:tab w:val="left" w:pos="1134"/>
                    </w:tabs>
                    <w:ind w:firstLine="709"/>
                    <w:jc w:val="both"/>
                    <w:rPr>
                      <w:szCs w:val="24"/>
                    </w:rPr>
                  </w:pPr>
                </w:p>
                <w:p>
                  <w:pPr>
                    <w:tabs>
                      <w:tab w:val="left" w:pos="567"/>
                      <w:tab w:val="left" w:pos="1843"/>
                      <w:tab w:val="left" w:pos="2268"/>
                    </w:tabs>
                    <w:jc w:val="center"/>
                    <w:rPr>
                      <w:szCs w:val="24"/>
                    </w:rPr>
                  </w:pPr>
                  <m:oMath>
                    <m:sSub>
                      <m:sSubPr>
                        <m:ctrlPr>
                          <w:rPr>
                            <w:rFonts w:ascii="Cambria Math" w:hAnsi="Cambria Math"/>
                            <w:i/>
                            <w:szCs w:val="24"/>
                          </w:rPr>
                        </m:ctrlPr>
                      </m:sSubPr>
                      <m:e>
                        <m:r>
                          <w:rPr>
                            <w:rFonts w:ascii="Cambria Math" w:hAnsi="Cambria Math"/>
                            <w:szCs w:val="24"/>
                          </w:rPr>
                          <m:t>OPEX</m:t>
                        </m:r>
                        <m:r>
                          <w:rPr>
                            <w:rFonts w:ascii="Cambria Math" w:hAnsi="Cambria Math"/>
                            <w:szCs w:val="24"/>
                          </w:rPr>
                          <m:t>'</m:t>
                        </m:r>
                      </m:e>
                      <m:sub>
                        <m:d>
                          <m:dPr>
                            <m:ctrlPr>
                              <w:rPr>
                                <w:rFonts w:ascii="Cambria Math" w:hAnsi="Cambria Math"/>
                                <w:i/>
                                <w:szCs w:val="24"/>
                              </w:rPr>
                            </m:ctrlPr>
                          </m:dPr>
                          <m:e>
                            <m:r>
                              <w:rPr>
                                <w:rFonts w:ascii="Cambria Math" w:hAnsi="Cambria Math"/>
                                <w:szCs w:val="24"/>
                              </w:rPr>
                              <m:t>DU</m:t>
                            </m:r>
                          </m:e>
                        </m:d>
                        <m:r>
                          <w:rPr>
                            <w:rFonts w:ascii="Cambria Math" w:hAnsi="Cambria Math"/>
                            <w:szCs w:val="24"/>
                          </w:rPr>
                          <m:t>04,</m:t>
                        </m:r>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OPEX</m:t>
                        </m:r>
                      </m:e>
                      <m:sub>
                        <m:d>
                          <m:dPr>
                            <m:ctrlPr>
                              <w:rPr>
                                <w:rFonts w:ascii="Cambria Math" w:hAnsi="Cambria Math"/>
                                <w:i/>
                                <w:szCs w:val="24"/>
                              </w:rPr>
                            </m:ctrlPr>
                          </m:dPr>
                          <m:e>
                            <m:r>
                              <w:rPr>
                                <w:rFonts w:ascii="Cambria Math" w:hAnsi="Cambria Math"/>
                                <w:szCs w:val="24"/>
                              </w:rPr>
                              <m:t>DU</m:t>
                            </m:r>
                          </m:e>
                        </m:d>
                        <m:r>
                          <w:rPr>
                            <w:rFonts w:ascii="Cambria Math" w:hAnsi="Cambria Math"/>
                            <w:szCs w:val="24"/>
                          </w:rPr>
                          <m:t>04</m:t>
                        </m:r>
                      </m:sub>
                    </m:sSub>
                    <m:r>
                      <w:rPr>
                        <w:rFonts w:ascii="Cambria Math" w:hAnsi="Cambria Math"/>
                        <w:szCs w:val="24"/>
                      </w:rPr>
                      <m:t xml:space="preserve"> ×</m:t>
                    </m:r>
                    <m:sSub>
                      <m:sSubPr>
                        <m:ctrlPr>
                          <w:rPr>
                            <w:rFonts w:ascii="Cambria Math" w:hAnsi="Cambria Math"/>
                            <w:i/>
                            <w:szCs w:val="24"/>
                          </w:rPr>
                        </m:ctrlPr>
                      </m:sSubPr>
                      <m:e>
                        <m:r>
                          <w:rPr>
                            <w:rFonts w:ascii="Cambria Math" w:hAnsi="Cambria Math"/>
                            <w:szCs w:val="24"/>
                          </w:rPr>
                          <m:t>DK</m:t>
                        </m:r>
                      </m:e>
                      <m:sub>
                        <m:r>
                          <w:rPr>
                            <w:rFonts w:ascii="Cambria Math" w:hAnsi="Cambria Math"/>
                            <w:szCs w:val="24"/>
                          </w:rPr>
                          <m:t xml:space="preserve"> </m:t>
                        </m:r>
                        <m:r>
                          <w:rPr>
                            <w:rFonts w:ascii="Cambria Math" w:hAnsi="Cambria Math"/>
                            <w:szCs w:val="24"/>
                          </w:rPr>
                          <m:t>t</m:t>
                        </m:r>
                      </m:sub>
                    </m:sSub>
                  </m:oMath>
                  <w:r>
                    <w:rPr>
                      <w:szCs w:val="24"/>
                    </w:rPr>
                    <w:tab/>
                    <w:tab/>
                    <w:tab/>
                    <w:t>(58</w:t>
                  </w:r>
                  <w:r>
                    <w:rPr>
                      <w:szCs w:val="24"/>
                      <w:vertAlign w:val="superscript"/>
                    </w:rPr>
                    <w:t>1</w:t>
                  </w:r>
                  <w:r>
                    <w:rPr>
                      <w:szCs w:val="24"/>
                    </w:rPr>
                    <w:t>)</w:t>
                  </w:r>
                </w:p>
                <w:p>
                  <w:pPr>
                    <w:tabs>
                      <w:tab w:val="left" w:pos="567"/>
                      <w:tab w:val="left" w:pos="1843"/>
                      <w:tab w:val="left" w:pos="2268"/>
                    </w:tabs>
                    <w:jc w:val="center"/>
                    <w:rPr>
                      <w:szCs w:val="24"/>
                    </w:rPr>
                  </w:pPr>
                </w:p>
                <w:p>
                  <w:pPr>
                    <w:tabs>
                      <w:tab w:val="left" w:pos="567"/>
                      <w:tab w:val="left" w:pos="1843"/>
                      <w:tab w:val="left" w:pos="2268"/>
                    </w:tabs>
                    <w:jc w:val="center"/>
                    <w:rPr>
                      <w:szCs w:val="24"/>
                    </w:rPr>
                  </w:pPr>
                  <m:oMath>
                    <m:sSub>
                      <m:sSubPr>
                        <m:ctrlPr>
                          <w:rPr>
                            <w:rFonts w:ascii="Cambria Math" w:hAnsi="Cambria Math"/>
                            <w:i/>
                            <w:szCs w:val="24"/>
                          </w:rPr>
                        </m:ctrlPr>
                      </m:sSubPr>
                      <m:e>
                        <m:r>
                          <w:rPr>
                            <w:rFonts w:ascii="Cambria Math" w:hAnsi="Cambria Math"/>
                            <w:szCs w:val="24"/>
                          </w:rPr>
                          <m:t>OPEX</m:t>
                        </m:r>
                        <m:r>
                          <w:rPr>
                            <w:rFonts w:ascii="Cambria Math" w:hAnsi="Cambria Math"/>
                            <w:szCs w:val="24"/>
                          </w:rPr>
                          <m:t>'</m:t>
                        </m:r>
                      </m:e>
                      <m:sub>
                        <m:d>
                          <m:dPr>
                            <m:ctrlPr>
                              <w:rPr>
                                <w:rFonts w:ascii="Cambria Math" w:hAnsi="Cambria Math"/>
                                <w:i/>
                                <w:szCs w:val="24"/>
                              </w:rPr>
                            </m:ctrlPr>
                          </m:dPr>
                          <m:e>
                            <m:r>
                              <w:rPr>
                                <w:rFonts w:ascii="Cambria Math" w:hAnsi="Cambria Math"/>
                                <w:szCs w:val="24"/>
                              </w:rPr>
                              <m:t>DU</m:t>
                            </m:r>
                          </m:e>
                        </m:d>
                        <m:r>
                          <w:rPr>
                            <w:rFonts w:ascii="Cambria Math" w:hAnsi="Cambria Math"/>
                            <w:szCs w:val="24"/>
                          </w:rPr>
                          <m:t>10,</m:t>
                        </m:r>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OPEX</m:t>
                        </m:r>
                      </m:e>
                      <m:sub>
                        <m:d>
                          <m:dPr>
                            <m:ctrlPr>
                              <w:rPr>
                                <w:rFonts w:ascii="Cambria Math" w:hAnsi="Cambria Math"/>
                                <w:i/>
                                <w:szCs w:val="24"/>
                              </w:rPr>
                            </m:ctrlPr>
                          </m:dPr>
                          <m:e>
                            <m:r>
                              <w:rPr>
                                <w:rFonts w:ascii="Cambria Math" w:hAnsi="Cambria Math"/>
                                <w:szCs w:val="24"/>
                              </w:rPr>
                              <m:t>DU</m:t>
                            </m:r>
                          </m:e>
                        </m:d>
                        <m:r>
                          <w:rPr>
                            <w:rFonts w:ascii="Cambria Math" w:hAnsi="Cambria Math"/>
                            <w:szCs w:val="24"/>
                          </w:rPr>
                          <m:t>10</m:t>
                        </m:r>
                      </m:sub>
                    </m:sSub>
                    <m:r>
                      <w:rPr>
                        <w:rFonts w:ascii="Cambria Math" w:hAnsi="Cambria Math"/>
                        <w:szCs w:val="24"/>
                      </w:rPr>
                      <m:t xml:space="preserve"> ×</m:t>
                    </m:r>
                    <m:sSub>
                      <m:sSubPr>
                        <m:ctrlPr>
                          <w:rPr>
                            <w:rFonts w:ascii="Cambria Math" w:hAnsi="Cambria Math"/>
                            <w:i/>
                            <w:szCs w:val="24"/>
                          </w:rPr>
                        </m:ctrlPr>
                      </m:sSubPr>
                      <m:e>
                        <m:r>
                          <w:rPr>
                            <w:rFonts w:ascii="Cambria Math" w:hAnsi="Cambria Math"/>
                            <w:szCs w:val="24"/>
                          </w:rPr>
                          <m:t>DK</m:t>
                        </m:r>
                      </m:e>
                      <m:sub>
                        <m:r>
                          <w:rPr>
                            <w:rFonts w:ascii="Cambria Math" w:hAnsi="Cambria Math"/>
                            <w:szCs w:val="24"/>
                          </w:rPr>
                          <m:t xml:space="preserve"> </m:t>
                        </m:r>
                        <m:r>
                          <w:rPr>
                            <w:rFonts w:ascii="Cambria Math" w:hAnsi="Cambria Math"/>
                            <w:szCs w:val="24"/>
                          </w:rPr>
                          <m:t>t</m:t>
                        </m:r>
                      </m:sub>
                    </m:sSub>
                  </m:oMath>
                  <w:r>
                    <w:rPr>
                      <w:szCs w:val="24"/>
                    </w:rPr>
                    <w:tab/>
                    <w:tab/>
                    <w:tab/>
                    <w:t>(58</w:t>
                  </w:r>
                  <w:r>
                    <w:rPr>
                      <w:szCs w:val="24"/>
                      <w:vertAlign w:val="superscript"/>
                    </w:rPr>
                    <w:t>2</w:t>
                  </w:r>
                  <w:r>
                    <w:rPr>
                      <w:szCs w:val="24"/>
                    </w:rPr>
                    <w:t>)</w:t>
                  </w:r>
                </w:p>
                <w:p>
                  <w:pPr>
                    <w:tabs>
                      <w:tab w:val="left" w:pos="567"/>
                      <w:tab w:val="left" w:pos="1843"/>
                      <w:tab w:val="left" w:pos="2268"/>
                    </w:tabs>
                    <w:jc w:val="both"/>
                    <w:rPr>
                      <w:szCs w:val="24"/>
                    </w:rPr>
                  </w:pPr>
                </w:p>
                <w:p>
                  <w:pPr>
                    <w:tabs>
                      <w:tab w:val="left" w:pos="1134"/>
                      <w:tab w:val="left" w:pos="1843"/>
                      <w:tab w:val="left" w:pos="2268"/>
                    </w:tabs>
                    <w:ind w:firstLine="709"/>
                    <w:jc w:val="both"/>
                    <w:rPr>
                      <w:i/>
                      <w:szCs w:val="24"/>
                    </w:rPr>
                  </w:pPr>
                  <w:r>
                    <w:rPr>
                      <w:i/>
                      <w:szCs w:val="24"/>
                    </w:rPr>
                    <w:t>čia:</w:t>
                  </w:r>
                </w:p>
                <w:p>
                  <w:pPr>
                    <w:tabs>
                      <w:tab w:val="left" w:pos="1134"/>
                      <w:tab w:val="left" w:pos="1843"/>
                      <w:tab w:val="left" w:pos="2268"/>
                    </w:tabs>
                    <w:ind w:firstLine="709"/>
                    <w:jc w:val="both"/>
                    <w:rPr>
                      <w:szCs w:val="24"/>
                      <w:lang w:eastAsia="lt-LT"/>
                    </w:rPr>
                  </w:pPr>
                  <w:r>
                    <w:rPr>
                      <w:szCs w:val="24"/>
                      <w:lang w:eastAsia="lt-LT"/>
                    </w:rPr>
                    <w:t>OPEX‘</w:t>
                  </w:r>
                  <w:r>
                    <w:rPr>
                      <w:szCs w:val="24"/>
                      <w:vertAlign w:val="subscript"/>
                      <w:lang w:eastAsia="lt-LT"/>
                    </w:rPr>
                    <w:t xml:space="preserve"> (DU)04,t </w:t>
                  </w:r>
                  <w:r>
                    <w:rPr>
                      <w:szCs w:val="24"/>
                      <w:lang w:eastAsia="lt-LT"/>
                    </w:rPr>
                    <w:t xml:space="preserve">– koreguoti </w:t>
                  </w:r>
                  <w:r>
                    <w:rPr>
                      <w:i/>
                      <w:szCs w:val="24"/>
                      <w:lang w:eastAsia="lt-LT"/>
                    </w:rPr>
                    <w:t>t</w:t>
                  </w:r>
                  <w:r>
                    <w:rPr>
                      <w:szCs w:val="24"/>
                      <w:lang w:eastAsia="lt-LT"/>
                    </w:rPr>
                    <w:t xml:space="preserve"> metų ŽĮ darbo užmokesčio kaštai;</w:t>
                  </w:r>
                </w:p>
                <w:p>
                  <w:pPr>
                    <w:tabs>
                      <w:tab w:val="left" w:pos="1134"/>
                      <w:tab w:val="left" w:pos="1843"/>
                      <w:tab w:val="left" w:pos="2268"/>
                    </w:tabs>
                    <w:ind w:firstLine="709"/>
                    <w:jc w:val="both"/>
                    <w:rPr>
                      <w:szCs w:val="24"/>
                      <w:lang w:eastAsia="lt-LT"/>
                    </w:rPr>
                  </w:pPr>
                  <w:r>
                    <w:rPr>
                      <w:szCs w:val="24"/>
                      <w:lang w:eastAsia="lt-LT"/>
                    </w:rPr>
                    <w:t>OPEX</w:t>
                  </w:r>
                  <w:r>
                    <w:rPr>
                      <w:szCs w:val="24"/>
                      <w:vertAlign w:val="subscript"/>
                      <w:lang w:eastAsia="lt-LT"/>
                    </w:rPr>
                    <w:t xml:space="preserve"> (DU)04 </w:t>
                  </w:r>
                  <w:r>
                    <w:rPr>
                      <w:szCs w:val="24"/>
                      <w:lang w:eastAsia="lt-LT"/>
                    </w:rPr>
                    <w:t>– reguliavimo periodo baziniai ŽĮ darbo užmokesčio kaštai;</w:t>
                  </w:r>
                </w:p>
                <w:p>
                  <w:pPr>
                    <w:tabs>
                      <w:tab w:val="left" w:pos="1134"/>
                      <w:tab w:val="left" w:pos="1843"/>
                      <w:tab w:val="left" w:pos="2268"/>
                    </w:tabs>
                    <w:ind w:firstLine="709"/>
                    <w:jc w:val="both"/>
                    <w:rPr>
                      <w:szCs w:val="24"/>
                      <w:lang w:eastAsia="lt-LT"/>
                    </w:rPr>
                  </w:pPr>
                  <w:r>
                    <w:rPr>
                      <w:szCs w:val="24"/>
                      <w:lang w:eastAsia="lt-LT"/>
                    </w:rPr>
                    <w:t>OPEX‘</w:t>
                  </w:r>
                  <w:r>
                    <w:rPr>
                      <w:szCs w:val="24"/>
                      <w:vertAlign w:val="subscript"/>
                      <w:lang w:eastAsia="lt-LT"/>
                    </w:rPr>
                    <w:t xml:space="preserve"> (DU)10,t </w:t>
                  </w:r>
                  <w:r>
                    <w:rPr>
                      <w:szCs w:val="24"/>
                      <w:lang w:eastAsia="lt-LT"/>
                    </w:rPr>
                    <w:t xml:space="preserve">– koreguoti </w:t>
                  </w:r>
                  <w:r>
                    <w:rPr>
                      <w:i/>
                      <w:szCs w:val="24"/>
                      <w:lang w:eastAsia="lt-LT"/>
                    </w:rPr>
                    <w:t>t</w:t>
                  </w:r>
                  <w:r>
                    <w:rPr>
                      <w:szCs w:val="24"/>
                      <w:lang w:eastAsia="lt-LT"/>
                    </w:rPr>
                    <w:t xml:space="preserve"> metų VĮ darbo užmokesčio kaštai;</w:t>
                  </w:r>
                </w:p>
                <w:p>
                  <w:pPr>
                    <w:tabs>
                      <w:tab w:val="left" w:pos="1134"/>
                      <w:tab w:val="left" w:pos="1843"/>
                      <w:tab w:val="left" w:pos="2268"/>
                    </w:tabs>
                    <w:ind w:firstLine="709"/>
                    <w:jc w:val="both"/>
                    <w:rPr>
                      <w:szCs w:val="24"/>
                      <w:lang w:eastAsia="lt-LT"/>
                    </w:rPr>
                  </w:pPr>
                  <w:r>
                    <w:rPr>
                      <w:szCs w:val="24"/>
                      <w:lang w:eastAsia="lt-LT"/>
                    </w:rPr>
                    <w:t>OPEX</w:t>
                  </w:r>
                  <w:r>
                    <w:rPr>
                      <w:szCs w:val="24"/>
                      <w:vertAlign w:val="subscript"/>
                      <w:lang w:eastAsia="lt-LT"/>
                    </w:rPr>
                    <w:t xml:space="preserve"> (DU)10 </w:t>
                  </w:r>
                  <w:r>
                    <w:rPr>
                      <w:szCs w:val="24"/>
                      <w:lang w:eastAsia="lt-LT"/>
                    </w:rPr>
                    <w:t>– reguliavimo periodo baziniai VĮ darbo užmokesčio kaštai;</w:t>
                  </w:r>
                </w:p>
                <w:p>
                  <w:pPr>
                    <w:tabs>
                      <w:tab w:val="left" w:pos="1134"/>
                      <w:tab w:val="left" w:pos="1843"/>
                      <w:tab w:val="left" w:pos="2268"/>
                    </w:tabs>
                    <w:ind w:firstLine="709"/>
                    <w:jc w:val="both"/>
                    <w:rPr>
                      <w:szCs w:val="24"/>
                      <w:lang w:eastAsia="lt-LT"/>
                    </w:rPr>
                  </w:pPr>
                  <w:r>
                    <w:rPr>
                      <w:szCs w:val="24"/>
                    </w:rPr>
                    <w:t>DK</w:t>
                  </w:r>
                  <w:r>
                    <w:rPr>
                      <w:szCs w:val="24"/>
                      <w:vertAlign w:val="subscript"/>
                    </w:rPr>
                    <w:t>t</w:t>
                  </w:r>
                  <w:r>
                    <w:rPr>
                      <w:szCs w:val="24"/>
                    </w:rPr>
                    <w:t xml:space="preserve"> – </w:t>
                  </w:r>
                  <w:r>
                    <w:rPr>
                      <w:i/>
                      <w:szCs w:val="24"/>
                    </w:rPr>
                    <w:t>t</w:t>
                  </w:r>
                  <w:r>
                    <w:rPr>
                      <w:szCs w:val="24"/>
                    </w:rPr>
                    <w:t xml:space="preserve"> metų darbo užmokesčio koregavimo koeficientas, kuris </w:t>
                  </w:r>
                  <w:r>
                    <w:rPr>
                      <w:szCs w:val="24"/>
                      <w:lang w:eastAsia="lt-LT"/>
                    </w:rPr>
                    <w:t>apskaičiuojamas pagal formulę:</w:t>
                  </w:r>
                </w:p>
                <w:p>
                  <w:pPr>
                    <w:tabs>
                      <w:tab w:val="left" w:pos="1134"/>
                      <w:tab w:val="left" w:pos="1843"/>
                      <w:tab w:val="left" w:pos="2268"/>
                    </w:tabs>
                    <w:jc w:val="both"/>
                    <w:rPr>
                      <w:szCs w:val="24"/>
                      <w:lang w:eastAsia="lt-LT"/>
                    </w:rPr>
                  </w:pPr>
                </w:p>
                <w:p>
                  <w:pPr>
                    <w:tabs>
                      <w:tab w:val="left" w:pos="1134"/>
                      <w:tab w:val="left" w:pos="1843"/>
                      <w:tab w:val="left" w:pos="2268"/>
                    </w:tabs>
                    <w:ind w:hanging="142"/>
                    <w:jc w:val="center"/>
                    <w:rPr>
                      <w:szCs w:val="24"/>
                      <w:lang w:eastAsia="lt-LT"/>
                    </w:rPr>
                  </w:pPr>
                  <m:oMath>
                    <m:sSub>
                      <m:sSubPr>
                        <m:ctrlPr>
                          <w:rPr>
                            <w:rFonts w:ascii="Cambria Math" w:hAnsi="Cambria Math"/>
                            <w:i/>
                            <w:szCs w:val="24"/>
                          </w:rPr>
                        </m:ctrlPr>
                      </m:sSubPr>
                      <m:e>
                        <m:r>
                          <w:rPr>
                            <w:rFonts w:ascii="Cambria Math" w:hAnsi="Cambria Math"/>
                            <w:szCs w:val="24"/>
                          </w:rPr>
                          <m:t>DK</m:t>
                        </m:r>
                      </m:e>
                      <m:sub>
                        <m:r>
                          <w:rPr>
                            <w:rFonts w:ascii="Cambria Math" w:hAnsi="Cambria Math"/>
                            <w:szCs w:val="24"/>
                          </w:rPr>
                          <m:t xml:space="preserve"> </m:t>
                        </m:r>
                        <m:r>
                          <w:rPr>
                            <w:rFonts w:ascii="Cambria Math" w:hAnsi="Cambria Math"/>
                            <w:szCs w:val="24"/>
                          </w:rPr>
                          <m:t>t</m:t>
                        </m:r>
                      </m:sub>
                    </m:sSub>
                    <m:r>
                      <w:rPr>
                        <w:rFonts w:ascii="Cambria Math" w:hAnsi="Cambria Math"/>
                        <w:szCs w:val="24"/>
                      </w:rPr>
                      <m:t>=(1+</m:t>
                    </m:r>
                    <m:f>
                      <m:fPr>
                        <m:ctrlPr>
                          <w:rPr>
                            <w:rFonts w:ascii="Cambria Math" w:hAnsi="Cambria Math"/>
                            <w:i/>
                            <w:szCs w:val="24"/>
                          </w:rPr>
                        </m:ctrlPr>
                      </m:fPr>
                      <m:num>
                        <m:r>
                          <w:rPr>
                            <w:rFonts w:ascii="Cambria Math" w:hAnsi="Cambria Math"/>
                            <w:szCs w:val="24"/>
                          </w:rPr>
                          <m:t xml:space="preserve"> </m:t>
                        </m:r>
                        <m:sSub>
                          <m:sSubPr>
                            <m:ctrlPr>
                              <w:rPr>
                                <w:rFonts w:ascii="Cambria Math" w:hAnsi="Cambria Math"/>
                                <w:i/>
                                <w:szCs w:val="24"/>
                              </w:rPr>
                            </m:ctrlPr>
                          </m:sSubPr>
                          <m:e>
                            <m:r>
                              <w:rPr>
                                <w:rFonts w:ascii="Cambria Math" w:hAnsi="Cambria Math"/>
                                <w:szCs w:val="24"/>
                              </w:rPr>
                              <m:t>∆</m:t>
                            </m:r>
                            <m:r>
                              <w:rPr>
                                <w:rFonts w:ascii="Cambria Math" w:hAnsi="Cambria Math"/>
                                <w:szCs w:val="24"/>
                              </w:rPr>
                              <m:t>DU</m:t>
                            </m:r>
                          </m:e>
                          <m:sub>
                            <m:r>
                              <w:rPr>
                                <w:rFonts w:ascii="Cambria Math" w:hAnsi="Cambria Math"/>
                                <w:szCs w:val="24"/>
                              </w:rPr>
                              <m:t xml:space="preserve"> </m:t>
                            </m:r>
                            <m:r>
                              <w:rPr>
                                <w:rFonts w:ascii="Cambria Math" w:hAnsi="Cambria Math"/>
                                <w:szCs w:val="24"/>
                              </w:rPr>
                              <m:t>t</m:t>
                            </m:r>
                          </m:sub>
                        </m:sSub>
                        <m:r>
                          <w:rPr>
                            <w:rFonts w:ascii="Cambria Math" w:hAnsi="Cambria Math"/>
                            <w:szCs w:val="24"/>
                          </w:rPr>
                          <m:t>-</m:t>
                        </m:r>
                        <m:r>
                          <w:rPr>
                            <w:rFonts w:ascii="Cambria Math" w:hAnsi="Cambria Math"/>
                            <w:szCs w:val="24"/>
                          </w:rPr>
                          <m:t>e</m:t>
                        </m:r>
                      </m:num>
                      <m:den>
                        <m:r>
                          <w:rPr>
                            <w:rFonts w:ascii="Cambria Math" w:hAnsi="Cambria Math"/>
                            <w:szCs w:val="24"/>
                          </w:rPr>
                          <m:t>100</m:t>
                        </m:r>
                      </m:den>
                    </m:f>
                    <m:r>
                      <w:rPr>
                        <w:rFonts w:ascii="Cambria Math" w:hAnsi="Cambria Math"/>
                        <w:szCs w:val="24"/>
                      </w:rPr>
                      <m:t>)×</m:t>
                    </m:r>
                    <m:sSub>
                      <m:sSubPr>
                        <m:ctrlPr>
                          <w:rPr>
                            <w:rFonts w:ascii="Cambria Math" w:hAnsi="Cambria Math"/>
                            <w:i/>
                            <w:szCs w:val="24"/>
                          </w:rPr>
                        </m:ctrlPr>
                      </m:sSubPr>
                      <m:e>
                        <m:r>
                          <w:rPr>
                            <w:rFonts w:ascii="Cambria Math" w:hAnsi="Cambria Math"/>
                            <w:szCs w:val="24"/>
                          </w:rPr>
                          <m:t>DK</m:t>
                        </m:r>
                      </m:e>
                      <m:sub>
                        <m:r>
                          <w:rPr>
                            <w:rFonts w:ascii="Cambria Math" w:hAnsi="Cambria Math"/>
                            <w:szCs w:val="24"/>
                          </w:rPr>
                          <m:t xml:space="preserve"> </m:t>
                        </m:r>
                        <m:r>
                          <w:rPr>
                            <w:rFonts w:ascii="Cambria Math" w:hAnsi="Cambria Math"/>
                            <w:szCs w:val="24"/>
                          </w:rPr>
                          <m:t>t</m:t>
                        </m:r>
                        <m:r>
                          <w:rPr>
                            <w:rFonts w:ascii="Cambria Math" w:hAnsi="Cambria Math"/>
                            <w:szCs w:val="24"/>
                          </w:rPr>
                          <m:t>-1</m:t>
                        </m:r>
                      </m:sub>
                    </m:sSub>
                  </m:oMath>
                  <w:r>
                    <w:rPr>
                      <w:szCs w:val="24"/>
                    </w:rPr>
                    <w:tab/>
                    <w:tab/>
                    <w:tab/>
                    <w:t>(58</w:t>
                  </w:r>
                  <w:r>
                    <w:rPr>
                      <w:szCs w:val="24"/>
                      <w:vertAlign w:val="superscript"/>
                    </w:rPr>
                    <w:t>3</w:t>
                  </w:r>
                  <w:r>
                    <w:rPr>
                      <w:szCs w:val="24"/>
                    </w:rPr>
                    <w:t>)</w:t>
                  </w:r>
                </w:p>
                <w:p>
                  <w:pPr>
                    <w:tabs>
                      <w:tab w:val="left" w:pos="1134"/>
                      <w:tab w:val="left" w:pos="1843"/>
                      <w:tab w:val="left" w:pos="2268"/>
                    </w:tabs>
                    <w:jc w:val="both"/>
                    <w:rPr>
                      <w:szCs w:val="24"/>
                    </w:rPr>
                  </w:pPr>
                </w:p>
                <w:p>
                  <w:pPr>
                    <w:tabs>
                      <w:tab w:val="left" w:pos="1134"/>
                      <w:tab w:val="left" w:pos="1843"/>
                      <w:tab w:val="left" w:pos="2268"/>
                    </w:tabs>
                    <w:ind w:firstLine="709"/>
                    <w:jc w:val="both"/>
                    <w:rPr>
                      <w:i/>
                      <w:szCs w:val="24"/>
                    </w:rPr>
                  </w:pPr>
                  <w:r>
                    <w:rPr>
                      <w:i/>
                      <w:szCs w:val="24"/>
                    </w:rPr>
                    <w:t>čia:</w:t>
                  </w:r>
                </w:p>
                <w:p>
                  <w:pPr>
                    <w:ind w:firstLine="709"/>
                    <w:jc w:val="both"/>
                    <w:rPr>
                      <w:szCs w:val="24"/>
                      <w:lang w:eastAsia="lt-LT"/>
                    </w:rPr>
                  </w:pPr>
                  <w:r>
                    <w:rPr>
                      <w:szCs w:val="24"/>
                      <w:lang w:eastAsia="lt-LT"/>
                    </w:rPr>
                    <w:t>ΔDU</w:t>
                  </w:r>
                  <w:r>
                    <w:rPr>
                      <w:szCs w:val="24"/>
                      <w:vertAlign w:val="subscript"/>
                      <w:lang w:eastAsia="lt-LT"/>
                    </w:rPr>
                    <w:t>t</w:t>
                  </w:r>
                  <w:r>
                    <w:rPr>
                      <w:szCs w:val="24"/>
                      <w:lang w:eastAsia="lt-LT"/>
                    </w:rPr>
                    <w:t xml:space="preserve"> –vidutinio mėnesinio bruto darbo užmokesčio pokytis metais </w:t>
                  </w:r>
                  <w:r>
                    <w:rPr>
                      <w:i/>
                      <w:szCs w:val="24"/>
                      <w:lang w:eastAsia="lt-LT"/>
                    </w:rPr>
                    <w:t>t</w:t>
                  </w:r>
                  <w:r>
                    <w:rPr>
                      <w:szCs w:val="24"/>
                      <w:lang w:eastAsia="lt-LT"/>
                    </w:rPr>
                    <w:t xml:space="preserve"> lyginant su atitinkamu indeksu metais </w:t>
                  </w:r>
                  <w:r>
                    <w:rPr>
                      <w:i/>
                      <w:szCs w:val="24"/>
                      <w:lang w:eastAsia="lt-LT"/>
                    </w:rPr>
                    <w:t>t-1</w:t>
                  </w:r>
                  <w:r>
                    <w:rPr>
                      <w:szCs w:val="24"/>
                      <w:lang w:eastAsia="lt-LT"/>
                    </w:rPr>
                    <w:t xml:space="preserve">, %. Jis nustatomas pagal  Finansų ministerijos skelbiamus naujausius duomenis; </w:t>
                  </w:r>
                </w:p>
                <w:p>
                  <w:pPr>
                    <w:tabs>
                      <w:tab w:val="left" w:pos="1134"/>
                    </w:tabs>
                    <w:ind w:firstLine="709"/>
                    <w:jc w:val="both"/>
                  </w:pPr>
                  <w:r>
                    <w:rPr>
                      <w:szCs w:val="24"/>
                      <w:lang w:eastAsia="lt-LT"/>
                    </w:rPr>
                    <w:t>e – efektyvumo koeficientas, %;</w:t>
                  </w:r>
                </w:p>
                <w:p>
                  <w:pPr>
                    <w:ind w:firstLine="709"/>
                    <w:jc w:val="both"/>
                    <w:rPr>
                      <w:szCs w:val="24"/>
                      <w:lang w:eastAsia="lt-LT"/>
                    </w:rPr>
                  </w:pPr>
                  <w:r>
                    <w:rPr>
                      <w:szCs w:val="24"/>
                      <w:lang w:eastAsia="lt-LT"/>
                    </w:rPr>
                    <w:t xml:space="preserve">DKt-1 – </w:t>
                  </w:r>
                  <w:r>
                    <w:rPr>
                      <w:i/>
                      <w:szCs w:val="24"/>
                      <w:lang w:eastAsia="lt-LT"/>
                    </w:rPr>
                    <w:t>t-1</w:t>
                  </w:r>
                  <w:r>
                    <w:rPr>
                      <w:szCs w:val="24"/>
                      <w:lang w:eastAsia="lt-LT"/>
                    </w:rPr>
                    <w:t xml:space="preserve"> metų darbo užmokesčio koregavimo koeficientas. Pirmųjų naujojo reguliavimo periodo metų darbo užmokesčio koregavimo koeficientas lygus vienetui.</w:t>
                  </w:r>
                </w:p>
                <w:p>
                  <w:pPr>
                    <w:jc w:val="both"/>
                    <w:rPr>
                      <w:sz w:val="20"/>
                    </w:rPr>
                  </w:pPr>
                  <w:r>
                    <w:rPr>
                      <w:b/>
                      <w:i/>
                      <w:sz w:val="20"/>
                    </w:rPr>
                    <w:t>TAR pastaba.</w:t>
                  </w:r>
                  <w:r>
                    <w:rPr>
                      <w:i/>
                      <w:sz w:val="20"/>
                    </w:rPr>
                    <w:t xml:space="preserve"> 87 punkto nuostatose nurodyti Metodikos pakeitimai įmonėms, besiverčiančioms skirstymo ir visuomeninio tiekimo veiklomis, kurių veiklos teritorijoje esančių vartotojų skaičius mažesnis nei 100 tūkstančių, taikomi nustatant arba koreguojant 2019 m. ir vėlesnių metų kainų viršutines ribas.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sdtContent>
            </w:sdt>
            <w:sdt>
              <w:sdtPr>
                <w:alias w:val="88 p."/>
                <w:tag w:val="part_8e7d4895794e43bfb7782b262f6fe43f"/>
                <w:lock w:val="sdtLocked"/>
                <w:richText/>
              </w:sdtPr>
              <w:sdtContent>
                <w:p>
                  <w:pPr>
                    <w:tabs>
                      <w:tab w:val="left" w:pos="1080"/>
                      <w:tab w:val="left" w:pos="1843"/>
                      <w:tab w:val="left" w:pos="2268"/>
                    </w:tabs>
                    <w:ind w:firstLine="720"/>
                    <w:jc w:val="both"/>
                    <w:rPr>
                      <w:szCs w:val="24"/>
                    </w:rPr>
                  </w:pPr>
                  <w:sdt>
                    <w:sdtPr>
                      <w:alias w:val="Numeris"/>
                      <w:tag w:val="nr_8e7d4895794e43bfb7782b262f6fe43f"/>
                      <w:lock w:val="sdtLocked"/>
                      <w:richText/>
                    </w:sdtPr>
                    <w:sdtContent>
                      <w:r>
                        <w:rPr>
                          <w:szCs w:val="24"/>
                        </w:rPr>
                        <w:t>88</w:t>
                      </w:r>
                    </w:sdtContent>
                  </w:sdt>
                  <w:r>
                    <w:rPr>
                      <w:szCs w:val="24"/>
                    </w:rPr>
                    <w:t xml:space="preserve">. Koreguota </w:t>
                  </w:r>
                  <w:r>
                    <w:rPr>
                      <w:i/>
                      <w:szCs w:val="24"/>
                    </w:rPr>
                    <w:t xml:space="preserve">t </w:t>
                  </w:r>
                  <w:r>
                    <w:rPr>
                      <w:szCs w:val="24"/>
                    </w:rPr>
                    <w:t>metų skirstymo paslaugos atitinkamos įtampos tinkle kainos viršutinė riba apskaičiuojama pagal formules:</w:t>
                  </w:r>
                </w:p>
                <w:p>
                  <w:pPr>
                    <w:tabs>
                      <w:tab w:val="left" w:pos="1134"/>
                      <w:tab w:val="left" w:pos="1843"/>
                      <w:tab w:val="left" w:pos="2268"/>
                    </w:tabs>
                    <w:jc w:val="both"/>
                    <w:rPr>
                      <w:szCs w:val="24"/>
                    </w:rPr>
                  </w:pPr>
                </w:p>
                <w:p>
                  <w:pPr>
                    <w:tabs>
                      <w:tab w:val="left" w:pos="1134"/>
                    </w:tabs>
                    <w:jc w:val="center"/>
                    <w:rPr>
                      <w:szCs w:val="24"/>
                    </w:rPr>
                  </w:pPr>
                  <m:oMath>
                    <m:sSubSup>
                      <m:sSubSupPr>
                        <m:ctrlPr>
                          <w:rPr>
                            <w:rFonts w:ascii="Cambria Math" w:hAnsi="Cambria Math"/>
                            <w:i/>
                          </w:rPr>
                        </m:ctrlPr>
                      </m:sSubSupPr>
                      <m:e>
                        <m:r>
                          <w:rPr>
                            <w:rFonts w:ascii="Cambria Math" w:hAnsi="Cambria Math"/>
                          </w:rPr>
                          <m:t>T</m:t>
                        </m:r>
                      </m:e>
                      <m:sub>
                        <m:r>
                          <w:rPr>
                            <w:rFonts w:ascii="Cambria Math" w:hAnsi="Cambria Math"/>
                          </w:rPr>
                          <m:t>04,</m:t>
                        </m:r>
                        <m:r>
                          <w:rPr>
                            <w:rFonts w:ascii="Cambria Math" w:hAnsi="Cambria Math"/>
                          </w:rPr>
                          <m:t>t</m:t>
                        </m:r>
                      </m:sub>
                      <m:sup>
                        <m:r>
                          <w:rPr>
                            <w:rFonts w:ascii="Cambria Math" w:hAnsi="Cambria Math"/>
                          </w:rPr>
                          <m:t>'</m:t>
                        </m:r>
                      </m:sup>
                    </m:sSubSup>
                    <m:r>
                      <w:rPr>
                        <w:rFonts w:ascii="Cambria Math" w:hAnsi="Cambria Math"/>
                      </w:rPr>
                      <m:t>=</m:t>
                    </m:r>
                    <m:f>
                      <m:fPr>
                        <m:ctrlPr>
                          <w:rPr>
                            <w:rFonts w:ascii="Cambria Math" w:hAnsi="Cambria Math"/>
                            <w:i/>
                          </w:rPr>
                        </m:ctrlPr>
                      </m:fPr>
                      <m:num>
                        <m:sSub>
                          <m:sSubPr>
                            <m:ctrlPr>
                              <w:rPr>
                                <w:rFonts w:ascii="Cambria Math" w:hAnsi="Cambria Math"/>
                                <w:i/>
                              </w:rPr>
                            </m:ctrlPr>
                          </m:sSubPr>
                          <m:e>
                            <m:r>
                              <w:rPr>
                                <w:rFonts w:ascii="Cambria Math" w:hAnsi="Cambria Math"/>
                              </w:rPr>
                              <m:t>P</m:t>
                            </m:r>
                            <m:r>
                              <w:rPr>
                                <w:rFonts w:ascii="Cambria Math" w:hAnsi="Cambria Math"/>
                              </w:rPr>
                              <m:t>'</m:t>
                            </m:r>
                          </m:e>
                          <m:sub>
                            <m:r>
                              <w:rPr>
                                <w:rFonts w:ascii="Cambria Math" w:hAnsi="Cambria Math"/>
                              </w:rPr>
                              <m:t>04,</m:t>
                            </m:r>
                            <m:r>
                              <w:rPr>
                                <w:rFonts w:ascii="Cambria Math" w:hAnsi="Cambria Math"/>
                              </w:rPr>
                              <m:t>t</m:t>
                            </m:r>
                          </m:sub>
                        </m:sSub>
                      </m:num>
                      <m:den>
                        <m:sSub>
                          <m:sSubPr>
                            <m:ctrlPr>
                              <w:rPr>
                                <w:rFonts w:ascii="Cambria Math" w:hAnsi="Cambria Math"/>
                                <w:i/>
                              </w:rPr>
                            </m:ctrlPr>
                          </m:sSubPr>
                          <m:e>
                            <m:r>
                              <w:rPr>
                                <w:rFonts w:ascii="Cambria Math" w:hAnsi="Cambria Math"/>
                              </w:rPr>
                              <m:t>E</m:t>
                            </m:r>
                          </m:e>
                          <m:sub>
                            <m:r>
                              <w:rPr>
                                <w:rFonts w:ascii="Cambria Math" w:hAnsi="Cambria Math"/>
                              </w:rPr>
                              <m:t>04,</m:t>
                            </m:r>
                            <m:r>
                              <w:rPr>
                                <w:rFonts w:ascii="Cambria Math" w:hAnsi="Cambria Math"/>
                              </w:rPr>
                              <m:t>t</m:t>
                            </m:r>
                          </m:sub>
                        </m:sSub>
                      </m:den>
                    </m:f>
                    <m:r>
                      <w:rPr>
                        <w:rFonts w:ascii="Cambria Math" w:hAnsi="Cambria Math"/>
                      </w:rPr>
                      <m:t>×100</m:t>
                    </m:r>
                  </m:oMath>
                  <w:r>
                    <w:tab/>
                    <w:tab/>
                    <w:tab/>
                    <w:tab/>
                    <w:t>(58</w:t>
                  </w:r>
                  <w:r>
                    <w:rPr>
                      <w:vertAlign w:val="superscript"/>
                    </w:rPr>
                    <w:t>4</w:t>
                  </w:r>
                  <w:r>
                    <w:t>)</w:t>
                  </w:r>
                </w:p>
                <w:p>
                  <w:pPr>
                    <w:tabs>
                      <w:tab w:val="left" w:pos="1134"/>
                      <w:tab w:val="left" w:pos="1843"/>
                      <w:tab w:val="left" w:pos="2268"/>
                    </w:tabs>
                    <w:jc w:val="center"/>
                    <w:rPr>
                      <w:szCs w:val="24"/>
                    </w:rPr>
                  </w:pPr>
                </w:p>
                <w:p>
                  <w:pPr>
                    <w:tabs>
                      <w:tab w:val="left" w:pos="1134"/>
                    </w:tabs>
                    <w:jc w:val="center"/>
                    <w:rPr>
                      <w:szCs w:val="24"/>
                    </w:rPr>
                  </w:pPr>
                  <m:oMath>
                    <m:sSubSup>
                      <m:sSubSupPr>
                        <m:ctrlPr>
                          <w:rPr>
                            <w:rFonts w:ascii="Cambria Math" w:hAnsi="Cambria Math"/>
                            <w:i/>
                          </w:rPr>
                        </m:ctrlPr>
                      </m:sSubSupPr>
                      <m:e>
                        <m:r>
                          <w:rPr>
                            <w:rFonts w:ascii="Cambria Math" w:hAnsi="Cambria Math"/>
                          </w:rPr>
                          <m:t>T</m:t>
                        </m:r>
                      </m:e>
                      <m:sub>
                        <m:r>
                          <w:rPr>
                            <w:rFonts w:ascii="Cambria Math" w:hAnsi="Cambria Math"/>
                          </w:rPr>
                          <m:t>10,</m:t>
                        </m:r>
                        <m:r>
                          <w:rPr>
                            <w:rFonts w:ascii="Cambria Math" w:hAnsi="Cambria Math"/>
                          </w:rPr>
                          <m:t>t</m:t>
                        </m:r>
                      </m:sub>
                      <m:sup>
                        <m:r>
                          <w:rPr>
                            <w:rFonts w:ascii="Cambria Math" w:hAnsi="Cambria Math"/>
                          </w:rPr>
                          <m:t>'</m:t>
                        </m:r>
                      </m:sup>
                    </m:sSubSup>
                    <m:r>
                      <w:rPr>
                        <w:rFonts w:ascii="Cambria Math" w:hAnsi="Cambria Math"/>
                      </w:rPr>
                      <m:t>=</m:t>
                    </m:r>
                    <m:f>
                      <m:fPr>
                        <m:ctrlPr>
                          <w:rPr>
                            <w:rFonts w:ascii="Cambria Math" w:hAnsi="Cambria Math"/>
                            <w:i/>
                          </w:rPr>
                        </m:ctrlPr>
                      </m:fPr>
                      <m:num>
                        <m:sSub>
                          <m:sSubPr>
                            <m:ctrlPr>
                              <w:rPr>
                                <w:rFonts w:ascii="Cambria Math" w:hAnsi="Cambria Math"/>
                                <w:i/>
                              </w:rPr>
                            </m:ctrlPr>
                          </m:sSubPr>
                          <m:e>
                            <m:r>
                              <w:rPr>
                                <w:rFonts w:ascii="Cambria Math" w:hAnsi="Cambria Math"/>
                              </w:rPr>
                              <m:t>P</m:t>
                            </m:r>
                            <m:r>
                              <w:rPr>
                                <w:rFonts w:ascii="Cambria Math" w:hAnsi="Cambria Math"/>
                              </w:rPr>
                              <m:t>'</m:t>
                            </m:r>
                          </m:e>
                          <m:sub>
                            <m:r>
                              <w:rPr>
                                <w:rFonts w:ascii="Cambria Math" w:hAnsi="Cambria Math"/>
                              </w:rPr>
                              <m:t>10,</m:t>
                            </m:r>
                            <m:r>
                              <w:rPr>
                                <w:rFonts w:ascii="Cambria Math" w:hAnsi="Cambria Math"/>
                              </w:rPr>
                              <m:t>t</m:t>
                            </m:r>
                          </m:sub>
                        </m:sSub>
                      </m:num>
                      <m:den>
                        <m:sSub>
                          <m:sSubPr>
                            <m:ctrlPr>
                              <w:rPr>
                                <w:rFonts w:ascii="Cambria Math" w:hAnsi="Cambria Math"/>
                                <w:i/>
                              </w:rPr>
                            </m:ctrlPr>
                          </m:sSubPr>
                          <m:e>
                            <m:r>
                              <w:rPr>
                                <w:rFonts w:ascii="Cambria Math" w:hAnsi="Cambria Math"/>
                              </w:rPr>
                              <m:t>E</m:t>
                            </m:r>
                          </m:e>
                          <m:sub>
                            <m:r>
                              <w:rPr>
                                <w:rFonts w:ascii="Cambria Math" w:hAnsi="Cambria Math"/>
                              </w:rPr>
                              <m:t>10,</m:t>
                            </m:r>
                            <m:r>
                              <w:rPr>
                                <w:rFonts w:ascii="Cambria Math" w:hAnsi="Cambria Math"/>
                              </w:rPr>
                              <m:t>t</m:t>
                            </m:r>
                          </m:sub>
                        </m:sSub>
                      </m:den>
                    </m:f>
                    <m:r>
                      <w:rPr>
                        <w:rFonts w:ascii="Cambria Math" w:hAnsi="Cambria Math"/>
                      </w:rPr>
                      <m:t>×100</m:t>
                    </m:r>
                  </m:oMath>
                  <w:r>
                    <w:tab/>
                    <w:tab/>
                    <w:tab/>
                    <w:tab/>
                    <w:t>(58</w:t>
                  </w:r>
                  <w:r>
                    <w:rPr>
                      <w:vertAlign w:val="superscript"/>
                    </w:rPr>
                    <w:t>5</w:t>
                  </w:r>
                  <w:r>
                    <w:t>)</w:t>
                  </w:r>
                </w:p>
                <w:p>
                  <w:pPr>
                    <w:tabs>
                      <w:tab w:val="left" w:pos="1134"/>
                      <w:tab w:val="left" w:pos="1843"/>
                      <w:tab w:val="left" w:pos="2268"/>
                    </w:tabs>
                    <w:jc w:val="both"/>
                    <w:rPr>
                      <w:szCs w:val="24"/>
                    </w:rPr>
                  </w:pPr>
                </w:p>
                <w:p>
                  <w:pPr>
                    <w:tabs>
                      <w:tab w:val="left" w:pos="1134"/>
                      <w:tab w:val="left" w:pos="1843"/>
                      <w:tab w:val="left" w:pos="2268"/>
                    </w:tabs>
                    <w:ind w:firstLine="709"/>
                    <w:jc w:val="both"/>
                    <w:rPr>
                      <w:i/>
                      <w:szCs w:val="24"/>
                    </w:rPr>
                  </w:pPr>
                  <w:r>
                    <w:rPr>
                      <w:i/>
                      <w:szCs w:val="24"/>
                    </w:rPr>
                    <w:t>čia:</w:t>
                  </w:r>
                </w:p>
                <w:p>
                  <w:pPr>
                    <w:tabs>
                      <w:tab w:val="left" w:pos="1134"/>
                      <w:tab w:val="left" w:pos="1843"/>
                      <w:tab w:val="left" w:pos="2268"/>
                    </w:tabs>
                    <w:ind w:firstLine="709"/>
                    <w:jc w:val="both"/>
                    <w:rPr>
                      <w:szCs w:val="24"/>
                    </w:rPr>
                  </w:pPr>
                  <w:r>
                    <w:rPr>
                      <w:szCs w:val="24"/>
                    </w:rPr>
                    <w:t>T‘</w:t>
                  </w:r>
                  <w:r>
                    <w:rPr>
                      <w:szCs w:val="24"/>
                      <w:vertAlign w:val="subscript"/>
                    </w:rPr>
                    <w:t>04,t</w:t>
                  </w:r>
                  <w:r>
                    <w:rPr>
                      <w:szCs w:val="24"/>
                    </w:rPr>
                    <w:t xml:space="preserve"> – koreguota </w:t>
                  </w:r>
                  <w:r>
                    <w:rPr>
                      <w:i/>
                      <w:szCs w:val="24"/>
                    </w:rPr>
                    <w:t xml:space="preserve">t </w:t>
                  </w:r>
                  <w:r>
                    <w:rPr>
                      <w:szCs w:val="24"/>
                    </w:rPr>
                    <w:t>metų elektros energijos skirstymo paslaugos ŽĮ tinklais kainos viršutinė riba, ct/kWh;</w:t>
                  </w:r>
                </w:p>
                <w:p>
                  <w:pPr>
                    <w:tabs>
                      <w:tab w:val="left" w:pos="1134"/>
                      <w:tab w:val="left" w:pos="1843"/>
                      <w:tab w:val="left" w:pos="2268"/>
                    </w:tabs>
                    <w:ind w:firstLine="709"/>
                    <w:jc w:val="both"/>
                    <w:rPr>
                      <w:szCs w:val="24"/>
                    </w:rPr>
                  </w:pPr>
                  <w:r>
                    <w:rPr>
                      <w:szCs w:val="24"/>
                    </w:rPr>
                    <w:t>P‘</w:t>
                  </w:r>
                  <w:r>
                    <w:rPr>
                      <w:szCs w:val="24"/>
                      <w:vertAlign w:val="subscript"/>
                    </w:rPr>
                    <w:t>04,t</w:t>
                  </w:r>
                  <w:r>
                    <w:rPr>
                      <w:szCs w:val="24"/>
                    </w:rPr>
                    <w:t xml:space="preserve"> – koreguotos </w:t>
                  </w:r>
                  <w:r>
                    <w:rPr>
                      <w:i/>
                      <w:szCs w:val="24"/>
                    </w:rPr>
                    <w:t xml:space="preserve">t </w:t>
                  </w:r>
                  <w:r>
                    <w:rPr>
                      <w:szCs w:val="24"/>
                    </w:rPr>
                    <w:t>metų STO ŽĮ tinkle leidžiamos pajamos, EUR;</w:t>
                  </w:r>
                </w:p>
                <w:p>
                  <w:pPr>
                    <w:tabs>
                      <w:tab w:val="left" w:pos="1134"/>
                      <w:tab w:val="left" w:pos="1843"/>
                      <w:tab w:val="left" w:pos="2268"/>
                    </w:tabs>
                    <w:ind w:firstLine="709"/>
                    <w:jc w:val="both"/>
                    <w:rPr>
                      <w:szCs w:val="24"/>
                    </w:rPr>
                  </w:pPr>
                  <w:r>
                    <w:rPr>
                      <w:szCs w:val="24"/>
                    </w:rPr>
                    <w:t>E</w:t>
                  </w:r>
                  <w:r>
                    <w:rPr>
                      <w:szCs w:val="24"/>
                      <w:vertAlign w:val="subscript"/>
                    </w:rPr>
                    <w:t xml:space="preserve">04,t </w:t>
                  </w:r>
                  <w:r>
                    <w:rPr>
                      <w:szCs w:val="24"/>
                    </w:rPr>
                    <w:t xml:space="preserve">– STO prognozuojamas paskirstyti elektros energijos kiekis ŽĮ tinklais </w:t>
                  </w:r>
                  <w:r>
                    <w:rPr>
                      <w:i/>
                      <w:szCs w:val="24"/>
                    </w:rPr>
                    <w:t xml:space="preserve">t </w:t>
                  </w:r>
                  <w:r>
                    <w:rPr>
                      <w:szCs w:val="24"/>
                    </w:rPr>
                    <w:t>metais, kWh.</w:t>
                  </w:r>
                </w:p>
                <w:p>
                  <w:pPr>
                    <w:tabs>
                      <w:tab w:val="left" w:pos="1134"/>
                      <w:tab w:val="left" w:pos="1843"/>
                      <w:tab w:val="left" w:pos="2268"/>
                    </w:tabs>
                    <w:ind w:firstLine="709"/>
                    <w:jc w:val="both"/>
                    <w:rPr>
                      <w:szCs w:val="24"/>
                    </w:rPr>
                  </w:pPr>
                  <w:r>
                    <w:rPr>
                      <w:szCs w:val="24"/>
                    </w:rPr>
                    <w:t>T‘</w:t>
                  </w:r>
                  <w:r>
                    <w:rPr>
                      <w:szCs w:val="24"/>
                      <w:vertAlign w:val="subscript"/>
                    </w:rPr>
                    <w:t>10,t</w:t>
                  </w:r>
                  <w:r>
                    <w:rPr>
                      <w:szCs w:val="24"/>
                    </w:rPr>
                    <w:t xml:space="preserve"> – koreguota </w:t>
                  </w:r>
                  <w:r>
                    <w:rPr>
                      <w:i/>
                      <w:szCs w:val="24"/>
                    </w:rPr>
                    <w:t xml:space="preserve">t </w:t>
                  </w:r>
                  <w:r>
                    <w:rPr>
                      <w:szCs w:val="24"/>
                    </w:rPr>
                    <w:t>metų elektros energijos skirstymo paslaugos VĮ tinklais kainos viršutinė riba, ct/kWh;</w:t>
                  </w:r>
                </w:p>
                <w:p>
                  <w:pPr>
                    <w:tabs>
                      <w:tab w:val="left" w:pos="1134"/>
                      <w:tab w:val="left" w:pos="1843"/>
                      <w:tab w:val="left" w:pos="2268"/>
                    </w:tabs>
                    <w:ind w:firstLine="709"/>
                    <w:jc w:val="both"/>
                    <w:rPr>
                      <w:szCs w:val="24"/>
                    </w:rPr>
                  </w:pPr>
                  <w:r>
                    <w:rPr>
                      <w:szCs w:val="24"/>
                    </w:rPr>
                    <w:t>P‘</w:t>
                  </w:r>
                  <w:r>
                    <w:rPr>
                      <w:szCs w:val="24"/>
                      <w:vertAlign w:val="subscript"/>
                    </w:rPr>
                    <w:t>10,t</w:t>
                  </w:r>
                  <w:r>
                    <w:rPr>
                      <w:szCs w:val="24"/>
                    </w:rPr>
                    <w:t xml:space="preserve"> – koreguotos </w:t>
                  </w:r>
                  <w:r>
                    <w:rPr>
                      <w:i/>
                      <w:szCs w:val="24"/>
                    </w:rPr>
                    <w:t xml:space="preserve">t </w:t>
                  </w:r>
                  <w:r>
                    <w:rPr>
                      <w:szCs w:val="24"/>
                    </w:rPr>
                    <w:t>metų STO VĮ tinkle leidžiamos pajamos, EUR;</w:t>
                  </w:r>
                </w:p>
                <w:p>
                  <w:pPr>
                    <w:ind w:firstLine="709"/>
                    <w:jc w:val="both"/>
                    <w:rPr>
                      <w:szCs w:val="24"/>
                    </w:rPr>
                  </w:pPr>
                  <w:r>
                    <w:rPr>
                      <w:szCs w:val="24"/>
                    </w:rPr>
                    <w:t>E</w:t>
                  </w:r>
                  <w:r>
                    <w:rPr>
                      <w:szCs w:val="24"/>
                      <w:vertAlign w:val="subscript"/>
                    </w:rPr>
                    <w:t xml:space="preserve">10,t </w:t>
                  </w:r>
                  <w:r>
                    <w:rPr>
                      <w:szCs w:val="24"/>
                    </w:rPr>
                    <w:t xml:space="preserve">– STO prognozuojamas paskirstyti elektros energijos kiekis VĮ tinklais </w:t>
                  </w:r>
                  <w:r>
                    <w:rPr>
                      <w:i/>
                      <w:szCs w:val="24"/>
                    </w:rPr>
                    <w:t xml:space="preserve">t </w:t>
                  </w:r>
                  <w:r>
                    <w:rPr>
                      <w:szCs w:val="24"/>
                    </w:rPr>
                    <w:t>metais, kWh.</w:t>
                  </w:r>
                </w:p>
                <w:p>
                  <w:pPr>
                    <w:jc w:val="both"/>
                    <w:rPr>
                      <w:sz w:val="20"/>
                    </w:rPr>
                  </w:pPr>
                  <w:r>
                    <w:rPr>
                      <w:b/>
                      <w:i/>
                      <w:sz w:val="20"/>
                    </w:rPr>
                    <w:t>TAR pastaba.</w:t>
                  </w:r>
                  <w:r>
                    <w:rPr>
                      <w:i/>
                      <w:sz w:val="20"/>
                    </w:rPr>
                    <w:t xml:space="preserve"> 88 punkto nuostatose nurodyti Metodikos pakeitimai įmonėms, besiverčiančioms skirstymo ir visuomeninio tiekimo veiklomis, kurių veiklos teritorijoje esančių vartotojų skaičius mažesnis nei 100 tūkstančių, taikomi nustatant arba koreguojant 2019 m. ir vėlesnių metų kainų viršutines ribas.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sdtContent>
            </w:sdt>
            <w:sdt>
              <w:sdtPr>
                <w:alias w:val="89 p."/>
                <w:tag w:val="part_efe0d3187253498d8c46acf555b4e518"/>
                <w:lock w:val="sdtLocked"/>
                <w:richText/>
              </w:sdtPr>
              <w:sdtContent>
                <w:p>
                  <w:pPr>
                    <w:pStyle w:val="PlainText"/>
                    <w:ind w:firstLine="567"/>
                    <w:jc w:val="both"/>
                    <w:rPr>
                      <w:rFonts w:ascii="Times New Roman" w:hAnsi="Times New Roman"/>
                      <w:b/>
                      <w:bCs/>
                      <w:sz w:val="22"/>
                    </w:rPr>
                  </w:pPr>
                  <w:r>
                    <w:rPr>
                      <w:rFonts w:ascii="Times New Roman" w:hAnsi="Times New Roman"/>
                      <w:sz w:val="22"/>
                    </w:rPr>
                    <w:t>89</w:t>
                  </w:r>
                  <w:r>
                    <w:rPr>
                      <w:rFonts w:ascii="Times New Roman" w:hAnsi="Times New Roman"/>
                      <w:sz w:val="22"/>
                    </w:rPr>
                    <w:t>.</w:t>
                  </w:r>
                  <w:r>
                    <w:rPr>
                      <w:rFonts w:ascii="Times New Roman" w:eastAsia="MS Mincho" w:hAnsi="Times New Roman"/>
                      <w:sz w:val="20"/>
                      <w:i/>
                      <w:iCs/>
                    </w:rPr>
                    <w:t xml:space="preserve"> Neteko galios nuo 2017-09-16</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sdtContent>
            </w:sdt>
            <w:sdt>
              <w:sdtPr>
                <w:alias w:val="90 p."/>
                <w:tag w:val="part_b32db6115d69465aa0dcc8559b535ac8"/>
                <w:lock w:val="sdtLocked"/>
                <w:richText/>
              </w:sdtPr>
              <w:sdtContent>
                <w:p>
                  <w:pPr>
                    <w:pStyle w:val="PlainText"/>
                    <w:ind w:firstLine="567"/>
                    <w:jc w:val="both"/>
                    <w:rPr>
                      <w:rFonts w:ascii="Times New Roman" w:hAnsi="Times New Roman"/>
                      <w:b/>
                      <w:bCs/>
                      <w:sz w:val="22"/>
                    </w:rPr>
                  </w:pPr>
                  <w:r>
                    <w:rPr>
                      <w:rFonts w:ascii="Times New Roman" w:hAnsi="Times New Roman"/>
                      <w:sz w:val="22"/>
                    </w:rPr>
                    <w:t>90</w:t>
                  </w:r>
                  <w:r>
                    <w:rPr>
                      <w:rFonts w:ascii="Times New Roman" w:hAnsi="Times New Roman"/>
                      <w:sz w:val="22"/>
                    </w:rPr>
                    <w:t>.</w:t>
                  </w:r>
                  <w:r>
                    <w:rPr>
                      <w:rFonts w:ascii="Times New Roman" w:eastAsia="MS Mincho" w:hAnsi="Times New Roman"/>
                      <w:sz w:val="20"/>
                      <w:i/>
                      <w:iCs/>
                    </w:rPr>
                    <w:t xml:space="preserve"> Neteko galios nuo 2017-09-16</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sdtContent>
            </w:sdt>
            <w:sdt>
              <w:sdtPr>
                <w:alias w:val="91 p."/>
                <w:tag w:val="part_e770bff15cb443e8b94ae66ed388f027"/>
                <w:lock w:val="sdtLocked"/>
                <w:richText/>
              </w:sdtPr>
              <w:sdtContent>
                <w:p>
                  <w:pPr>
                    <w:pStyle w:val="PlainText"/>
                    <w:ind w:firstLine="567"/>
                    <w:jc w:val="both"/>
                    <w:rPr>
                      <w:rFonts w:ascii="Times New Roman" w:hAnsi="Times New Roman"/>
                      <w:b/>
                      <w:bCs/>
                      <w:sz w:val="22"/>
                    </w:rPr>
                  </w:pPr>
                  <w:r>
                    <w:rPr>
                      <w:rFonts w:ascii="Times New Roman" w:hAnsi="Times New Roman"/>
                      <w:sz w:val="22"/>
                    </w:rPr>
                    <w:t>91</w:t>
                  </w:r>
                  <w:r>
                    <w:rPr>
                      <w:rFonts w:ascii="Times New Roman" w:hAnsi="Times New Roman"/>
                      <w:sz w:val="22"/>
                    </w:rPr>
                    <w:t>.</w:t>
                  </w:r>
                  <w:r>
                    <w:rPr>
                      <w:rFonts w:ascii="Times New Roman" w:eastAsia="MS Mincho" w:hAnsi="Times New Roman"/>
                      <w:sz w:val="20"/>
                      <w:i/>
                      <w:iCs/>
                    </w:rPr>
                    <w:t xml:space="preserve"> Neteko galios nuo 2015-09-23</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92 p."/>
                <w:tag w:val="part_9c40e40bb9024d149402fa2d458e35b9"/>
                <w:lock w:val="sdtLocked"/>
                <w:richText/>
              </w:sdtPr>
              <w:sdtContent>
                <w:p>
                  <w:pPr>
                    <w:pStyle w:val="PlainText"/>
                    <w:ind w:firstLine="567"/>
                    <w:jc w:val="both"/>
                    <w:rPr>
                      <w:rFonts w:ascii="Times New Roman" w:hAnsi="Times New Roman"/>
                      <w:b/>
                      <w:bCs/>
                      <w:sz w:val="22"/>
                    </w:rPr>
                  </w:pPr>
                  <w:r>
                    <w:rPr>
                      <w:rFonts w:ascii="Times New Roman" w:hAnsi="Times New Roman"/>
                      <w:sz w:val="22"/>
                    </w:rPr>
                    <w:t>92</w:t>
                  </w:r>
                  <w:r>
                    <w:rPr>
                      <w:rFonts w:ascii="Times New Roman" w:hAnsi="Times New Roman"/>
                      <w:sz w:val="22"/>
                    </w:rPr>
                    <w:t>.</w:t>
                  </w:r>
                  <w:r>
                    <w:rPr>
                      <w:rFonts w:ascii="Times New Roman" w:eastAsia="MS Mincho" w:hAnsi="Times New Roman"/>
                      <w:sz w:val="20"/>
                      <w:i/>
                      <w:iCs/>
                    </w:rPr>
                    <w:t xml:space="preserve"> Neteko galios nuo 2015-09-23</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93 p."/>
                <w:tag w:val="part_94d7b9d37a334c4caca33c1aec8da0f1"/>
                <w:lock w:val="sdtLocked"/>
                <w:richText/>
              </w:sdtPr>
              <w:sdtContent>
                <w:p>
                  <w:pPr>
                    <w:pStyle w:val="PlainText"/>
                    <w:ind w:firstLine="567"/>
                    <w:jc w:val="both"/>
                    <w:rPr>
                      <w:rFonts w:ascii="Times New Roman" w:hAnsi="Times New Roman"/>
                      <w:b/>
                      <w:bCs/>
                      <w:sz w:val="22"/>
                    </w:rPr>
                  </w:pPr>
                  <w:r>
                    <w:rPr>
                      <w:rFonts w:ascii="Times New Roman" w:hAnsi="Times New Roman"/>
                      <w:sz w:val="22"/>
                    </w:rPr>
                    <w:t>93</w:t>
                  </w:r>
                  <w:r>
                    <w:rPr>
                      <w:rFonts w:ascii="Times New Roman" w:hAnsi="Times New Roman"/>
                      <w:sz w:val="22"/>
                    </w:rPr>
                    <w:t>.</w:t>
                  </w:r>
                  <w:r>
                    <w:rPr>
                      <w:rFonts w:ascii="Times New Roman" w:eastAsia="MS Mincho" w:hAnsi="Times New Roman"/>
                      <w:sz w:val="20"/>
                      <w:i/>
                      <w:iCs/>
                    </w:rPr>
                    <w:t xml:space="preserve"> Neteko galios nuo 2017-09-16</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sdtContent>
            </w:sdt>
            <w:sdt>
              <w:sdtPr>
                <w:alias w:val="94 p."/>
                <w:tag w:val="part_dacf1b08a81d4cfeb6736acfa0e05cb0"/>
                <w:lock w:val="sdtLocked"/>
                <w:richText/>
              </w:sdtPr>
              <w:sdtContent>
                <w:p>
                  <w:pPr>
                    <w:pStyle w:val="PlainText"/>
                    <w:ind w:firstLine="567"/>
                    <w:jc w:val="both"/>
                    <w:rPr>
                      <w:rFonts w:ascii="Times New Roman" w:hAnsi="Times New Roman"/>
                      <w:b/>
                      <w:bCs/>
                      <w:sz w:val="22"/>
                    </w:rPr>
                  </w:pPr>
                  <w:r>
                    <w:rPr>
                      <w:rFonts w:ascii="Times New Roman" w:hAnsi="Times New Roman"/>
                      <w:sz w:val="22"/>
                    </w:rPr>
                    <w:t>94</w:t>
                  </w:r>
                  <w:r>
                    <w:rPr>
                      <w:rFonts w:ascii="Times New Roman" w:hAnsi="Times New Roman"/>
                      <w:sz w:val="22"/>
                    </w:rPr>
                    <w:t>.</w:t>
                  </w:r>
                  <w:r>
                    <w:rPr>
                      <w:rFonts w:ascii="Times New Roman" w:eastAsia="MS Mincho" w:hAnsi="Times New Roman"/>
                      <w:sz w:val="20"/>
                      <w:i/>
                      <w:iCs/>
                    </w:rPr>
                    <w:t xml:space="preserve"> Neteko galios nuo 2017-09-16</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sdtContent>
            </w:sdt>
            <w:sdt>
              <w:sdtPr>
                <w:alias w:val="95 p."/>
                <w:tag w:val="part_cfd52f0a7a0a437fa2d3d21938820d65"/>
                <w:lock w:val="sdtLocked"/>
                <w:richText/>
              </w:sdtPr>
              <w:sdtContent>
                <w:p>
                  <w:pPr>
                    <w:pStyle w:val="PlainText"/>
                    <w:ind w:firstLine="567"/>
                    <w:jc w:val="both"/>
                    <w:rPr>
                      <w:rFonts w:ascii="Times New Roman" w:hAnsi="Times New Roman"/>
                      <w:b/>
                      <w:bCs/>
                      <w:sz w:val="22"/>
                    </w:rPr>
                  </w:pPr>
                  <w:r>
                    <w:rPr>
                      <w:rFonts w:ascii="Times New Roman" w:hAnsi="Times New Roman"/>
                      <w:sz w:val="22"/>
                    </w:rPr>
                    <w:t>95</w:t>
                  </w:r>
                  <w:r>
                    <w:rPr>
                      <w:rFonts w:ascii="Times New Roman" w:hAnsi="Times New Roman"/>
                      <w:sz w:val="22"/>
                    </w:rPr>
                    <w:t>.</w:t>
                  </w:r>
                  <w:r>
                    <w:rPr>
                      <w:rFonts w:ascii="Times New Roman" w:eastAsia="MS Mincho" w:hAnsi="Times New Roman"/>
                      <w:sz w:val="20"/>
                      <w:i/>
                      <w:iCs/>
                    </w:rPr>
                    <w:t xml:space="preserve"> Neteko galios nuo 2017-09-16</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sdtContent>
            </w:sdt>
            <w:sdt>
              <w:sdtPr>
                <w:alias w:val="96 p."/>
                <w:tag w:val="part_6a922ff9f2a24eb2b000d23a0a64d94e"/>
                <w:lock w:val="sdtLocked"/>
                <w:richText/>
              </w:sdtPr>
              <w:sdtContent>
                <w:p>
                  <w:pPr>
                    <w:pStyle w:val="PlainText"/>
                    <w:ind w:firstLine="567"/>
                    <w:jc w:val="both"/>
                    <w:rPr>
                      <w:rFonts w:ascii="Times New Roman" w:hAnsi="Times New Roman"/>
                      <w:b/>
                      <w:bCs/>
                      <w:sz w:val="22"/>
                    </w:rPr>
                  </w:pPr>
                  <w:r>
                    <w:rPr>
                      <w:rFonts w:ascii="Times New Roman" w:hAnsi="Times New Roman"/>
                      <w:sz w:val="22"/>
                    </w:rPr>
                    <w:t>96</w:t>
                  </w:r>
                  <w:r>
                    <w:rPr>
                      <w:rFonts w:ascii="Times New Roman" w:hAnsi="Times New Roman"/>
                      <w:sz w:val="22"/>
                    </w:rPr>
                    <w:t>.</w:t>
                  </w:r>
                  <w:r>
                    <w:rPr>
                      <w:rFonts w:ascii="Times New Roman" w:eastAsia="MS Mincho" w:hAnsi="Times New Roman"/>
                      <w:sz w:val="20"/>
                      <w:i/>
                      <w:iCs/>
                    </w:rPr>
                    <w:t xml:space="preserve"> Neteko galios nuo 2017-09-16</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sdtContent>
            </w:sdt>
          </w:sdtContent>
        </w:sdt>
        <w:sdt>
          <w:sdtPr>
            <w:alias w:val="skyrius"/>
            <w:tag w:val="part_24384c1cd70f44f5bc32cee795f53130"/>
            <w:lock w:val="sdtLocked"/>
            <w:richText/>
          </w:sdtPr>
          <w:sdtContent>
            <w:p>
              <w:pPr>
                <w:tabs>
                  <w:tab w:val="left" w:pos="1134"/>
                  <w:tab w:val="left" w:pos="1843"/>
                  <w:tab w:val="left" w:pos="2268"/>
                </w:tabs>
                <w:jc w:val="center"/>
                <w:rPr>
                  <w:b/>
                  <w:szCs w:val="24"/>
                </w:rPr>
              </w:pPr>
              <w:sdt>
                <w:sdtPr>
                  <w:alias w:val="Numeris"/>
                  <w:tag w:val="nr_24384c1cd70f44f5bc32cee795f53130"/>
                  <w:lock w:val="sdtLocked"/>
                  <w:richText/>
                </w:sdtPr>
                <w:sdtContent>
                  <w:r>
                    <w:rPr>
                      <w:b/>
                      <w:szCs w:val="24"/>
                    </w:rPr>
                    <w:t>V</w:t>
                  </w:r>
                </w:sdtContent>
              </w:sdt>
              <w:r>
                <w:rPr>
                  <w:b/>
                  <w:szCs w:val="24"/>
                </w:rPr>
                <w:t xml:space="preserve"> SKYRIUS</w:t>
              </w:r>
            </w:p>
            <w:p>
              <w:pPr>
                <w:tabs>
                  <w:tab w:val="left" w:pos="1134"/>
                  <w:tab w:val="left" w:pos="1843"/>
                  <w:tab w:val="left" w:pos="2268"/>
                </w:tabs>
                <w:jc w:val="center"/>
                <w:rPr>
                  <w:b/>
                  <w:szCs w:val="24"/>
                </w:rPr>
              </w:pPr>
              <w:sdt>
                <w:sdtPr>
                  <w:alias w:val="Pavadinimas"/>
                  <w:tag w:val="title_24384c1cd70f44f5bc32cee795f53130"/>
                  <w:lock w:val="sdtLocked"/>
                  <w:richText/>
                </w:sdtPr>
                <w:sdtContent>
                  <w:r>
                    <w:rPr>
                      <w:b/>
                      <w:szCs w:val="24"/>
                    </w:rPr>
                    <w:t>VISUOMENINIO TIEKIMO PASLAUGOS KAINOS VIRŠUTINĖS RIBOS NUSTATYMAS IR KOREGAVIMAS</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sdt>
              <w:sdtPr>
                <w:alias w:val="97 p."/>
                <w:tag w:val="part_2b32f328553e43d1b7c4d1baac73deae"/>
                <w:lock w:val="sdtLocked"/>
                <w:richText/>
              </w:sdtPr>
              <w:sdtContent>
                <w:p>
                  <w:pPr>
                    <w:tabs>
                      <w:tab w:val="left" w:pos="1080"/>
                      <w:tab w:val="left" w:pos="1843"/>
                      <w:tab w:val="left" w:pos="2268"/>
                    </w:tabs>
                    <w:ind w:firstLine="720"/>
                    <w:jc w:val="both"/>
                    <w:rPr>
                      <w:szCs w:val="24"/>
                    </w:rPr>
                  </w:pPr>
                  <w:sdt>
                    <w:sdtPr>
                      <w:alias w:val="Numeris"/>
                      <w:tag w:val="nr_2b32f328553e43d1b7c4d1baac73deae"/>
                      <w:lock w:val="sdtLocked"/>
                      <w:richText/>
                    </w:sdtPr>
                    <w:sdtContent>
                      <w:r>
                        <w:rPr>
                          <w:szCs w:val="24"/>
                        </w:rPr>
                        <w:t>97</w:t>
                      </w:r>
                    </w:sdtContent>
                  </w:sdt>
                  <w:r>
                    <w:rPr>
                      <w:szCs w:val="24"/>
                    </w:rPr>
                    <w:t>. Visuomeninio tiekimo paslaugos kainos viršutinė riba visam reguliavimo periodui apskaičiuojama galutines pirmiesiems reguliavimo periodo metams visuomeninio tiekėjo leidžiamas pajamas padalijus iš planuojamo parduoti elektros energijos kiekio ir apskaičiuojama pagal formulę:</w:t>
                  </w:r>
                </w:p>
                <w:p>
                  <w:pPr>
                    <w:tabs>
                      <w:tab w:val="left" w:pos="1080"/>
                      <w:tab w:val="left" w:pos="1843"/>
                      <w:tab w:val="left" w:pos="2268"/>
                    </w:tabs>
                    <w:ind w:firstLine="720"/>
                    <w:jc w:val="both"/>
                    <w:rPr>
                      <w:szCs w:val="24"/>
                    </w:rPr>
                  </w:pPr>
                </w:p>
                <w:p>
                  <w:pPr>
                    <w:tabs>
                      <w:tab w:val="left" w:pos="1134"/>
                      <w:tab w:val="left" w:pos="1843"/>
                      <w:tab w:val="left" w:pos="2268"/>
                    </w:tabs>
                    <w:jc w:val="center"/>
                    <w:rPr>
                      <w:szCs w:val="24"/>
                    </w:rPr>
                  </w:pPr>
                  <m:oMath>
                    <m:sSub>
                      <m:sSubPr>
                        <m:ctrlPr>
                          <w:rPr>
                            <w:rFonts w:ascii="Cambria Math" w:hAnsi="Cambria Math"/>
                            <w:i/>
                          </w:rPr>
                        </m:ctrlPr>
                      </m:sSubPr>
                      <m:e>
                        <m:r>
                          <w:rPr>
                            <w:rFonts w:ascii="Cambria Math" w:hAnsi="Cambria Math"/>
                          </w:rPr>
                          <m:t>T</m:t>
                        </m:r>
                      </m:e>
                      <m:sub>
                        <m:r>
                          <w:rPr>
                            <w:rFonts w:ascii="Cambria Math" w:hAnsi="Cambria Math"/>
                          </w:rPr>
                          <m:t>vt</m:t>
                        </m:r>
                      </m:sub>
                    </m:sSub>
                    <m:r>
                      <w:rPr>
                        <w:rFonts w:ascii="Cambria Math" w:hAnsi="Cambria Math"/>
                      </w:rPr>
                      <m:t>=</m:t>
                    </m:r>
                    <m:f>
                      <m:fPr>
                        <m:ctrlPr>
                          <w:rPr>
                            <w:rFonts w:ascii="Cambria Math" w:hAnsi="Cambria Math"/>
                            <w:i/>
                          </w:rPr>
                        </m:ctrlPr>
                      </m:fPr>
                      <m:num>
                        <m:sSub>
                          <m:sSubPr>
                            <m:ctrlPr>
                              <w:rPr>
                                <w:rFonts w:ascii="Cambria Math" w:hAnsi="Cambria Math"/>
                                <w:i/>
                              </w:rPr>
                            </m:ctrlPr>
                          </m:sSubPr>
                          <m:e>
                            <m:r>
                              <w:rPr>
                                <w:rFonts w:ascii="Cambria Math" w:hAnsi="Cambria Math"/>
                              </w:rPr>
                              <m:t>P</m:t>
                            </m:r>
                          </m:e>
                          <m:sub>
                            <m:r>
                              <w:rPr>
                                <w:rFonts w:ascii="Cambria Math" w:hAnsi="Cambria Math"/>
                              </w:rPr>
                              <m:t>vt</m:t>
                            </m:r>
                            <m:r>
                              <w:rPr>
                                <w:rFonts w:ascii="Cambria Math" w:hAnsi="Cambria Math"/>
                              </w:rPr>
                              <m:t xml:space="preserve"> </m:t>
                            </m:r>
                          </m:sub>
                        </m:sSub>
                      </m:num>
                      <m:den>
                        <m:sSub>
                          <m:sSubPr>
                            <m:ctrlPr>
                              <w:rPr>
                                <w:rFonts w:ascii="Cambria Math" w:hAnsi="Cambria Math"/>
                                <w:i/>
                              </w:rPr>
                            </m:ctrlPr>
                          </m:sSubPr>
                          <m:e>
                            <m:r>
                              <w:rPr>
                                <w:rFonts w:ascii="Cambria Math" w:hAnsi="Cambria Math"/>
                              </w:rPr>
                              <m:t>E</m:t>
                            </m:r>
                          </m:e>
                          <m:sub>
                            <m:r>
                              <w:rPr>
                                <w:rFonts w:ascii="Cambria Math" w:hAnsi="Cambria Math"/>
                              </w:rPr>
                              <m:t>vt</m:t>
                            </m:r>
                          </m:sub>
                        </m:sSub>
                      </m:den>
                    </m:f>
                    <m:r>
                      <w:rPr>
                        <w:rFonts w:ascii="Cambria Math" w:hAnsi="Cambria Math"/>
                      </w:rPr>
                      <m:t xml:space="preserve">×100     </m:t>
                    </m:r>
                  </m:oMath>
                  <w:r>
                    <w:t>(59)</w:t>
                  </w:r>
                </w:p>
                <w:p>
                  <w:pPr>
                    <w:tabs>
                      <w:tab w:val="left" w:pos="1080"/>
                      <w:tab w:val="left" w:pos="1843"/>
                      <w:tab w:val="left" w:pos="2268"/>
                    </w:tabs>
                    <w:ind w:firstLine="720"/>
                    <w:jc w:val="both"/>
                    <w:rPr>
                      <w:szCs w:val="24"/>
                    </w:rPr>
                  </w:pPr>
                </w:p>
                <w:p>
                  <w:pPr>
                    <w:tabs>
                      <w:tab w:val="left" w:pos="1134"/>
                      <w:tab w:val="left" w:pos="1843"/>
                      <w:tab w:val="left" w:pos="2268"/>
                    </w:tabs>
                    <w:ind w:firstLine="709"/>
                    <w:jc w:val="both"/>
                    <w:rPr>
                      <w:i/>
                      <w:szCs w:val="24"/>
                    </w:rPr>
                  </w:pPr>
                  <w:r>
                    <w:rPr>
                      <w:i/>
                      <w:szCs w:val="24"/>
                    </w:rPr>
                    <w:t>čia:</w:t>
                  </w:r>
                </w:p>
                <w:p>
                  <w:pPr>
                    <w:tabs>
                      <w:tab w:val="left" w:pos="1134"/>
                      <w:tab w:val="left" w:pos="1843"/>
                      <w:tab w:val="left" w:pos="2268"/>
                    </w:tabs>
                    <w:ind w:firstLine="709"/>
                    <w:jc w:val="both"/>
                    <w:rPr>
                      <w:szCs w:val="24"/>
                    </w:rPr>
                  </w:pPr>
                  <w:r>
                    <w:rPr>
                      <w:szCs w:val="24"/>
                    </w:rPr>
                    <w:t>T</w:t>
                  </w:r>
                  <w:r>
                    <w:rPr>
                      <w:szCs w:val="24"/>
                      <w:vertAlign w:val="subscript"/>
                    </w:rPr>
                    <w:t>vt</w:t>
                  </w:r>
                  <w:r>
                    <w:rPr>
                      <w:szCs w:val="24"/>
                    </w:rPr>
                    <w:t xml:space="preserve"> – bazinė elektros energijos visuomeninio tiekimo paslaugos kainos viršutinė riba, ct/kWh;</w:t>
                  </w:r>
                </w:p>
                <w:p>
                  <w:pPr>
                    <w:tabs>
                      <w:tab w:val="left" w:pos="1134"/>
                      <w:tab w:val="left" w:pos="1843"/>
                      <w:tab w:val="left" w:pos="2268"/>
                    </w:tabs>
                    <w:ind w:firstLine="709"/>
                    <w:jc w:val="both"/>
                    <w:rPr>
                      <w:szCs w:val="24"/>
                    </w:rPr>
                  </w:pPr>
                  <w:r>
                    <w:rPr>
                      <w:szCs w:val="24"/>
                    </w:rPr>
                    <w:t>P</w:t>
                  </w:r>
                  <w:r>
                    <w:rPr>
                      <w:szCs w:val="24"/>
                      <w:vertAlign w:val="subscript"/>
                    </w:rPr>
                    <w:t>vt</w:t>
                  </w:r>
                  <w:r>
                    <w:rPr>
                      <w:szCs w:val="24"/>
                    </w:rPr>
                    <w:t xml:space="preserve"> – galutinės pirmųjų reguliavimo periodo metų visuomeninio tiekėjo</w:t>
                  </w:r>
                  <w:r>
                    <w:rPr>
                      <w:i/>
                      <w:szCs w:val="24"/>
                    </w:rPr>
                    <w:t xml:space="preserve"> </w:t>
                  </w:r>
                  <w:r>
                    <w:rPr>
                      <w:szCs w:val="24"/>
                    </w:rPr>
                    <w:t>leidžiamos pajamos, EUR;</w:t>
                  </w:r>
                </w:p>
                <w:p>
                  <w:pPr>
                    <w:tabs>
                      <w:tab w:val="left" w:pos="1134"/>
                      <w:tab w:val="left" w:pos="1843"/>
                      <w:tab w:val="left" w:pos="2268"/>
                    </w:tabs>
                    <w:ind w:firstLine="709"/>
                    <w:rPr>
                      <w:szCs w:val="24"/>
                    </w:rPr>
                  </w:pPr>
                  <w:r>
                    <w:rPr>
                      <w:szCs w:val="24"/>
                    </w:rPr>
                    <w:t>E</w:t>
                  </w:r>
                  <w:r>
                    <w:rPr>
                      <w:szCs w:val="24"/>
                      <w:vertAlign w:val="subscript"/>
                    </w:rPr>
                    <w:t>vt</w:t>
                  </w:r>
                  <w:r>
                    <w:rPr>
                      <w:szCs w:val="24"/>
                    </w:rPr>
                    <w:t xml:space="preserve"> – visuomeninio tiekėjo prognozuojamas parduoti elektros energijos kiekis pirmaisiais reguliavimo periodo metais, kWh.</w:t>
                  </w:r>
                </w:p>
                <w:p>
                  <w:pPr>
                    <w:jc w:val="both"/>
                    <w:rPr>
                      <w:szCs w:val="24"/>
                    </w:rPr>
                  </w:pPr>
                  <w:r>
                    <w:rPr>
                      <w:b/>
                      <w:i/>
                      <w:sz w:val="20"/>
                    </w:rPr>
                    <w:t>TAR pastaba.</w:t>
                  </w:r>
                  <w:r>
                    <w:rPr>
                      <w:i/>
                      <w:sz w:val="20"/>
                    </w:rPr>
                    <w:t xml:space="preserve"> 97 punkto nuostatose nurodyti Metodikos pakeitimai įmonėms, besiverčiančioms skirstymo ir visuomeninio tiekimo veiklomis, kurių veiklos teritorijoje esančių vartotojų skaičius mažesnis nei 100 tūkstančių, taikomi nustatant arba koreguojant 2019 m. ir vėlesnių metų kainų viršutines ribas.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sdtContent>
            </w:sdt>
            <w:sdt>
              <w:sdtPr>
                <w:alias w:val="98 p."/>
                <w:tag w:val="part_0eb51f61208448f98a57ee0e9603d8ad"/>
                <w:lock w:val="sdtLocked"/>
                <w:richText/>
              </w:sdtPr>
              <w:sdtContent>
                <w:p>
                  <w:pPr>
                    <w:tabs>
                      <w:tab w:val="left" w:pos="1134"/>
                      <w:tab w:val="left" w:pos="1843"/>
                      <w:tab w:val="left" w:pos="2268"/>
                    </w:tabs>
                    <w:ind w:firstLine="709"/>
                    <w:jc w:val="both"/>
                    <w:rPr>
                      <w:szCs w:val="24"/>
                    </w:rPr>
                  </w:pPr>
                  <w:sdt>
                    <w:sdtPr>
                      <w:alias w:val="Numeris"/>
                      <w:tag w:val="nr_0eb51f61208448f98a57ee0e9603d8ad"/>
                      <w:lock w:val="sdtLocked"/>
                      <w:richText/>
                    </w:sdtPr>
                    <w:sdtContent>
                      <w:r>
                        <w:rPr>
                          <w:szCs w:val="24"/>
                        </w:rPr>
                        <w:t>98</w:t>
                      </w:r>
                    </w:sdtContent>
                  </w:sdt>
                  <w:r>
                    <w:rPr>
                      <w:szCs w:val="24"/>
                    </w:rPr>
                    <w:t xml:space="preserve">. Elektros energijos visuomeninio tiekimo paslaugos kainos viršutinė riba </w:t>
                  </w:r>
                  <w:r>
                    <w:t>kitiems reguliavimo periodo metams yra koreguojama</w:t>
                  </w:r>
                  <w:r>
                    <w:rPr>
                      <w:szCs w:val="24"/>
                    </w:rPr>
                    <w:t xml:space="preserve"> dėl infliacijos, vidutinio darbo užmokesčio pokyčio, mokesčių ir kapitalo kaštų pokyčių bei prognozuojamo parduoti elektros energijos kiekio. Bazinės visuomeninio tiekėjo leidžiamos pajamos gali būti koreguojamos ir dėl kitų reikšmingų pajamų ir (ar) sąnaudų pokyčių, kuriuos sąlygojo teisės aktų pakeitimai ir (ar) kiti objektyvūs (nuo Įmonės nepriklausantys) veiksniai.</w:t>
                  </w:r>
                </w:p>
                <w:p>
                  <w:pPr>
                    <w:jc w:val="both"/>
                    <w:rPr>
                      <w:szCs w:val="24"/>
                    </w:rPr>
                  </w:pPr>
                  <w:r>
                    <w:rPr>
                      <w:b/>
                      <w:i/>
                      <w:sz w:val="20"/>
                    </w:rPr>
                    <w:t>TAR pastaba.</w:t>
                  </w:r>
                  <w:r>
                    <w:rPr>
                      <w:i/>
                      <w:sz w:val="20"/>
                    </w:rPr>
                    <w:t xml:space="preserve"> 98 punkto nuostatose nurodyti Metodikos pakeitimai įmonėms, besiverčiančioms skirstymo ir visuomeninio tiekimo veiklomis, kurių veiklos teritorijoje esančių vartotojų skaičius mažesnis nei 100 tūkstančių, taikomi nustatant arba koreguojant 2019 m. ir vėlesnių metų kainų viršutines ribas.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sdtContent>
            </w:sdt>
            <w:sdt>
              <w:sdtPr>
                <w:alias w:val="99 p."/>
                <w:tag w:val="part_667f45cd57764cb3b1a133cab4176fb0"/>
                <w:lock w:val="sdtLocked"/>
                <w:richText/>
              </w:sdtPr>
              <w:sdtContent>
                <w:p>
                  <w:pPr>
                    <w:tabs>
                      <w:tab w:val="left" w:pos="1080"/>
                      <w:tab w:val="left" w:pos="1843"/>
                      <w:tab w:val="left" w:pos="2268"/>
                    </w:tabs>
                    <w:ind w:firstLine="720"/>
                    <w:jc w:val="both"/>
                    <w:rPr>
                      <w:szCs w:val="24"/>
                    </w:rPr>
                  </w:pPr>
                  <w:sdt>
                    <w:sdtPr>
                      <w:alias w:val="Numeris"/>
                      <w:tag w:val="nr_667f45cd57764cb3b1a133cab4176fb0"/>
                      <w:lock w:val="sdtLocked"/>
                      <w:richText/>
                    </w:sdtPr>
                    <w:sdtContent>
                      <w:r>
                        <w:rPr>
                          <w:szCs w:val="24"/>
                        </w:rPr>
                        <w:t>99</w:t>
                      </w:r>
                    </w:sdtContent>
                  </w:sdt>
                  <w:r>
                    <w:rPr>
                      <w:szCs w:val="24"/>
                    </w:rPr>
                    <w:t xml:space="preserve">. Koreguotos </w:t>
                  </w:r>
                  <w:r>
                    <w:rPr>
                      <w:i/>
                      <w:szCs w:val="24"/>
                    </w:rPr>
                    <w:t>t</w:t>
                  </w:r>
                  <w:r>
                    <w:rPr>
                      <w:szCs w:val="24"/>
                    </w:rPr>
                    <w:t xml:space="preserve"> metų visuomeninio tiekėjo leidžiamos pajamos apskaičiuojamos pagal formulę:</w:t>
                  </w:r>
                </w:p>
                <w:p>
                  <w:pPr>
                    <w:tabs>
                      <w:tab w:val="left" w:pos="1134"/>
                    </w:tabs>
                    <w:ind w:firstLine="709"/>
                    <w:jc w:val="both"/>
                    <w:rPr>
                      <w:szCs w:val="24"/>
                    </w:rPr>
                  </w:pPr>
                </w:p>
                <w:p>
                  <w:pPr>
                    <w:tabs>
                      <w:tab w:val="left" w:pos="142"/>
                      <w:tab w:val="left" w:pos="8789"/>
                      <w:tab w:val="left" w:pos="8931"/>
                    </w:tabs>
                    <w:ind w:right="-143"/>
                    <w:jc w:val="both"/>
                    <w:rPr>
                      <w:szCs w:val="24"/>
                    </w:rPr>
                  </w:pPr>
                  <m:oMath>
                    <m:sSub>
                      <m:sSubPr>
                        <m:ctrlPr>
                          <w:rPr>
                            <w:rFonts w:ascii="Cambria Math" w:hAnsi="Cambria Math"/>
                            <w:i/>
                            <w:szCs w:val="24"/>
                          </w:rPr>
                        </m:ctrlPr>
                      </m:sSubPr>
                      <m:e>
                        <m:r>
                          <w:rPr>
                            <w:rFonts w:ascii="Cambria Math" w:hAnsi="Cambria Math"/>
                            <w:szCs w:val="24"/>
                          </w:rPr>
                          <m:t>P</m:t>
                        </m:r>
                        <m:r>
                          <w:rPr>
                            <w:rFonts w:ascii="Cambria Math" w:hAnsi="Cambria Math"/>
                            <w:szCs w:val="24"/>
                          </w:rPr>
                          <m:t>'</m:t>
                        </m:r>
                      </m:e>
                      <m:sub>
                        <m:r>
                          <w:rPr>
                            <w:rFonts w:ascii="Cambria Math" w:hAnsi="Cambria Math"/>
                            <w:szCs w:val="24"/>
                          </w:rPr>
                          <m:t>vt</m:t>
                        </m:r>
                        <m:r>
                          <w:rPr>
                            <w:rFonts w:ascii="Cambria Math" w:hAnsi="Cambria Math"/>
                            <w:szCs w:val="24"/>
                          </w:rPr>
                          <m:t>,</m:t>
                        </m:r>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OPEX</m:t>
                        </m:r>
                        <m:r>
                          <w:rPr>
                            <w:rFonts w:ascii="Cambria Math" w:hAnsi="Cambria Math"/>
                            <w:szCs w:val="24"/>
                          </w:rPr>
                          <m:t>'</m:t>
                        </m:r>
                      </m:e>
                      <m:sub>
                        <m:d>
                          <m:dPr>
                            <m:ctrlPr>
                              <w:rPr>
                                <w:rFonts w:ascii="Cambria Math" w:hAnsi="Cambria Math"/>
                                <w:i/>
                                <w:szCs w:val="24"/>
                              </w:rPr>
                            </m:ctrlPr>
                          </m:dPr>
                          <m:e>
                            <m:r>
                              <w:rPr>
                                <w:rFonts w:ascii="Cambria Math" w:hAnsi="Cambria Math"/>
                                <w:szCs w:val="24"/>
                              </w:rPr>
                              <m:t>be</m:t>
                            </m:r>
                            <m:r>
                              <w:rPr>
                                <w:rFonts w:ascii="Cambria Math" w:hAnsi="Cambria Math"/>
                                <w:szCs w:val="24"/>
                              </w:rPr>
                              <m:t xml:space="preserve"> </m:t>
                            </m:r>
                            <m:r>
                              <w:rPr>
                                <w:rFonts w:ascii="Cambria Math" w:hAnsi="Cambria Math"/>
                                <w:szCs w:val="24"/>
                              </w:rPr>
                              <m:t>DU</m:t>
                            </m:r>
                          </m:e>
                        </m:d>
                        <m:r>
                          <w:rPr>
                            <w:rFonts w:ascii="Cambria Math" w:hAnsi="Cambria Math"/>
                            <w:szCs w:val="24"/>
                          </w:rPr>
                          <m:t>vt</m:t>
                        </m:r>
                        <m:r>
                          <w:rPr>
                            <w:rFonts w:ascii="Cambria Math" w:hAnsi="Cambria Math"/>
                            <w:szCs w:val="24"/>
                          </w:rPr>
                          <m:t>,</m:t>
                        </m:r>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OPEX</m:t>
                        </m:r>
                        <m:r>
                          <w:rPr>
                            <w:rFonts w:ascii="Cambria Math" w:hAnsi="Cambria Math"/>
                            <w:szCs w:val="24"/>
                          </w:rPr>
                          <m:t>'</m:t>
                        </m:r>
                      </m:e>
                      <m:sub>
                        <m:d>
                          <m:dPr>
                            <m:ctrlPr>
                              <w:rPr>
                                <w:rFonts w:ascii="Cambria Math" w:hAnsi="Cambria Math"/>
                                <w:i/>
                                <w:szCs w:val="24"/>
                              </w:rPr>
                            </m:ctrlPr>
                          </m:dPr>
                          <m:e>
                            <m:r>
                              <w:rPr>
                                <w:rFonts w:ascii="Cambria Math" w:hAnsi="Cambria Math"/>
                                <w:szCs w:val="24"/>
                              </w:rPr>
                              <m:t>DU</m:t>
                            </m:r>
                          </m:e>
                        </m:d>
                        <m:r>
                          <w:rPr>
                            <w:rFonts w:ascii="Cambria Math" w:hAnsi="Cambria Math"/>
                            <w:szCs w:val="24"/>
                          </w:rPr>
                          <m:t>vt</m:t>
                        </m:r>
                        <m:r>
                          <w:rPr>
                            <w:rFonts w:ascii="Cambria Math" w:hAnsi="Cambria Math"/>
                            <w:szCs w:val="24"/>
                          </w:rPr>
                          <m:t>,</m:t>
                        </m:r>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M</m:t>
                        </m:r>
                      </m:e>
                      <m:sub>
                        <m:r>
                          <w:rPr>
                            <w:rFonts w:ascii="Cambria Math" w:hAnsi="Cambria Math"/>
                            <w:szCs w:val="24"/>
                          </w:rPr>
                          <m:t>vt</m:t>
                        </m:r>
                        <m:r>
                          <w:rPr>
                            <w:rFonts w:ascii="Cambria Math" w:hAnsi="Cambria Math"/>
                            <w:szCs w:val="24"/>
                          </w:rPr>
                          <m:t>,</m:t>
                        </m:r>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sSub>
                          <m:sSubPr>
                            <m:ctrlPr>
                              <w:rPr>
                                <w:rFonts w:ascii="Cambria Math" w:hAnsi="Cambria Math"/>
                                <w:i/>
                                <w:szCs w:val="24"/>
                              </w:rPr>
                            </m:ctrlPr>
                          </m:sSubPr>
                          <m:e>
                            <m:r>
                              <w:rPr>
                                <w:rFonts w:ascii="Cambria Math" w:hAnsi="Cambria Math"/>
                                <w:szCs w:val="24"/>
                              </w:rPr>
                              <m:t>N</m:t>
                            </m:r>
                          </m:e>
                          <m:sub>
                            <m:r>
                              <w:rPr>
                                <w:rFonts w:ascii="Cambria Math" w:hAnsi="Cambria Math"/>
                                <w:szCs w:val="24"/>
                              </w:rPr>
                              <m:t>vt</m:t>
                            </m:r>
                            <m:r>
                              <w:rPr>
                                <w:rFonts w:ascii="Cambria Math" w:hAnsi="Cambria Math"/>
                                <w:szCs w:val="24"/>
                              </w:rPr>
                              <m:t>,</m:t>
                            </m:r>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NT</m:t>
                            </m:r>
                          </m:e>
                          <m:sub>
                            <m:r>
                              <w:rPr>
                                <w:rFonts w:ascii="Cambria Math" w:hAnsi="Cambria Math"/>
                                <w:szCs w:val="24"/>
                              </w:rPr>
                              <m:t>vt</m:t>
                            </m:r>
                            <m:r>
                              <w:rPr>
                                <w:rFonts w:ascii="Cambria Math" w:hAnsi="Cambria Math"/>
                                <w:szCs w:val="24"/>
                              </w:rPr>
                              <m:t>,</m:t>
                            </m:r>
                            <m:r>
                              <w:rPr>
                                <w:rFonts w:ascii="Cambria Math" w:hAnsi="Cambria Math"/>
                                <w:szCs w:val="24"/>
                              </w:rPr>
                              <m:t>t</m:t>
                            </m:r>
                          </m:sub>
                        </m:sSub>
                        <m:r>
                          <w:rPr>
                            <w:rFonts w:ascii="Cambria Math" w:hAnsi="Cambria Math"/>
                            <w:szCs w:val="24"/>
                          </w:rPr>
                          <m:t xml:space="preserve">+ </m:t>
                        </m:r>
                        <m:r>
                          <w:rPr>
                            <w:rFonts w:ascii="Cambria Math" w:hAnsi="Cambria Math"/>
                            <w:szCs w:val="24"/>
                          </w:rPr>
                          <m:t>ROI</m:t>
                        </m:r>
                      </m:e>
                      <m:sub>
                        <m:r>
                          <w:rPr>
                            <w:rFonts w:ascii="Cambria Math" w:hAnsi="Cambria Math"/>
                            <w:szCs w:val="24"/>
                          </w:rPr>
                          <m:t>vt</m:t>
                        </m:r>
                        <m:r>
                          <w:rPr>
                            <w:rFonts w:ascii="Cambria Math" w:hAnsi="Cambria Math"/>
                            <w:szCs w:val="24"/>
                          </w:rPr>
                          <m:t>,</m:t>
                        </m:r>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S</m:t>
                        </m:r>
                      </m:e>
                      <m:sub>
                        <m:r>
                          <w:rPr>
                            <w:rFonts w:ascii="Cambria Math" w:hAnsi="Cambria Math"/>
                            <w:szCs w:val="24"/>
                          </w:rPr>
                          <m:t>vt</m:t>
                        </m:r>
                        <m:r>
                          <w:rPr>
                            <w:rFonts w:ascii="Cambria Math" w:hAnsi="Cambria Math"/>
                            <w:szCs w:val="24"/>
                          </w:rPr>
                          <m:t>,</m:t>
                        </m:r>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OI</m:t>
                        </m:r>
                      </m:e>
                      <m:sub>
                        <m:r>
                          <w:rPr>
                            <w:rFonts w:ascii="Cambria Math" w:hAnsi="Cambria Math"/>
                            <w:szCs w:val="24"/>
                          </w:rPr>
                          <m:t>vt</m:t>
                        </m:r>
                        <m:r>
                          <w:rPr>
                            <w:rFonts w:ascii="Cambria Math" w:hAnsi="Cambria Math"/>
                            <w:szCs w:val="24"/>
                          </w:rPr>
                          <m:t>,</m:t>
                        </m:r>
                        <m:r>
                          <w:rPr>
                            <w:rFonts w:ascii="Cambria Math" w:hAnsi="Cambria Math"/>
                            <w:szCs w:val="24"/>
                          </w:rPr>
                          <m:t>t</m:t>
                        </m:r>
                      </m:sub>
                    </m:sSub>
                    <m:r>
                      <w:rPr>
                        <w:rFonts w:ascii="Cambria Math" w:hAnsi="Cambria Math"/>
                        <w:szCs w:val="24"/>
                      </w:rPr>
                      <m:t xml:space="preserve">- </m:t>
                    </m:r>
                    <m:sSub>
                      <m:sSubPr>
                        <m:ctrlPr>
                          <w:rPr>
                            <w:rFonts w:ascii="Cambria Math" w:hAnsi="Cambria Math"/>
                            <w:i/>
                            <w:szCs w:val="24"/>
                          </w:rPr>
                        </m:ctrlPr>
                      </m:sSubPr>
                      <m:e>
                        <m:r>
                          <w:rPr>
                            <w:rFonts w:ascii="Cambria Math" w:hAnsi="Cambria Math"/>
                            <w:szCs w:val="24"/>
                          </w:rPr>
                          <m:t>K</m:t>
                        </m:r>
                      </m:e>
                      <m:sub>
                        <m:r>
                          <w:rPr>
                            <w:rFonts w:ascii="Cambria Math" w:hAnsi="Cambria Math"/>
                            <w:szCs w:val="24"/>
                          </w:rPr>
                          <m:t>vt</m:t>
                        </m:r>
                        <m:r>
                          <w:rPr>
                            <w:rFonts w:ascii="Cambria Math" w:hAnsi="Cambria Math"/>
                            <w:szCs w:val="24"/>
                          </w:rPr>
                          <m:t>,</m:t>
                        </m:r>
                        <m:r>
                          <w:rPr>
                            <w:rFonts w:ascii="Cambria Math" w:hAnsi="Cambria Math"/>
                            <w:szCs w:val="24"/>
                          </w:rPr>
                          <m:t>t</m:t>
                        </m:r>
                      </m:sub>
                    </m:sSub>
                    <m:r>
                      <w:rPr>
                        <w:rFonts w:ascii="Cambria Math" w:hAnsi="Cambria Math"/>
                        <w:szCs w:val="24"/>
                      </w:rPr>
                      <m:t xml:space="preserve"> </m:t>
                    </m:r>
                  </m:oMath>
                  <w:r>
                    <w:rPr>
                      <w:szCs w:val="24"/>
                    </w:rPr>
                    <w:tab/>
                    <w:t>(60)</w:t>
                  </w:r>
                </w:p>
                <w:p>
                  <w:pPr>
                    <w:tabs>
                      <w:tab w:val="left" w:pos="142"/>
                    </w:tabs>
                    <w:ind w:firstLine="142"/>
                    <w:jc w:val="both"/>
                  </w:pPr>
                </w:p>
                <w:p>
                  <w:pPr>
                    <w:tabs>
                      <w:tab w:val="left" w:pos="142"/>
                    </w:tabs>
                    <w:ind w:firstLine="709"/>
                    <w:jc w:val="both"/>
                    <w:rPr>
                      <w:i/>
                      <w:szCs w:val="24"/>
                    </w:rPr>
                  </w:pPr>
                  <w:r>
                    <w:rPr>
                      <w:i/>
                      <w:szCs w:val="24"/>
                    </w:rPr>
                    <w:t>čia:</w:t>
                  </w:r>
                </w:p>
                <w:p>
                  <w:pPr>
                    <w:tabs>
                      <w:tab w:val="left" w:pos="142"/>
                    </w:tabs>
                    <w:ind w:firstLine="709"/>
                    <w:jc w:val="both"/>
                    <w:rPr>
                      <w:szCs w:val="24"/>
                      <w:lang w:eastAsia="lt-LT"/>
                    </w:rPr>
                  </w:pPr>
                  <w:r>
                    <w:rPr>
                      <w:szCs w:val="24"/>
                    </w:rPr>
                    <w:t>P‘</w:t>
                  </w:r>
                  <w:r>
                    <w:rPr>
                      <w:szCs w:val="24"/>
                      <w:vertAlign w:val="subscript"/>
                    </w:rPr>
                    <w:t>vt,t</w:t>
                  </w:r>
                  <w:r>
                    <w:rPr>
                      <w:szCs w:val="24"/>
                    </w:rPr>
                    <w:t xml:space="preserve"> – koreguotos </w:t>
                  </w:r>
                  <w:r>
                    <w:rPr>
                      <w:i/>
                      <w:iCs/>
                      <w:szCs w:val="24"/>
                    </w:rPr>
                    <w:t>t</w:t>
                  </w:r>
                  <w:r>
                    <w:rPr>
                      <w:szCs w:val="24"/>
                    </w:rPr>
                    <w:t xml:space="preserve"> metų visuomeninio tiekėjo leidžiamos pajamos, EUR;</w:t>
                  </w:r>
                </w:p>
                <w:p>
                  <w:pPr>
                    <w:tabs>
                      <w:tab w:val="left" w:pos="142"/>
                    </w:tabs>
                    <w:ind w:firstLine="709"/>
                    <w:jc w:val="both"/>
                    <w:rPr>
                      <w:szCs w:val="24"/>
                      <w:lang w:eastAsia="lt-LT"/>
                    </w:rPr>
                  </w:pPr>
                  <w:r>
                    <w:rPr>
                      <w:szCs w:val="24"/>
                      <w:lang w:eastAsia="lt-LT"/>
                    </w:rPr>
                    <w:t>OPEX‘</w:t>
                  </w:r>
                  <w:r>
                    <w:rPr>
                      <w:szCs w:val="24"/>
                      <w:vertAlign w:val="subscript"/>
                      <w:lang w:eastAsia="lt-LT"/>
                    </w:rPr>
                    <w:t xml:space="preserve">(be DU)vt,t </w:t>
                  </w:r>
                  <w:r>
                    <w:rPr>
                      <w:szCs w:val="24"/>
                      <w:lang w:eastAsia="lt-LT"/>
                    </w:rPr>
                    <w:t xml:space="preserve">– koreguoti </w:t>
                  </w:r>
                  <w:r>
                    <w:rPr>
                      <w:i/>
                      <w:iCs/>
                      <w:szCs w:val="24"/>
                    </w:rPr>
                    <w:t>t</w:t>
                  </w:r>
                  <w:r>
                    <w:rPr>
                      <w:szCs w:val="24"/>
                      <w:lang w:eastAsia="lt-LT"/>
                    </w:rPr>
                    <w:t xml:space="preserve"> metų OPEX (be DU) kaštai;</w:t>
                  </w:r>
                </w:p>
                <w:p>
                  <w:pPr>
                    <w:tabs>
                      <w:tab w:val="left" w:pos="142"/>
                    </w:tabs>
                    <w:ind w:firstLine="709"/>
                    <w:jc w:val="both"/>
                    <w:rPr>
                      <w:szCs w:val="24"/>
                      <w:lang w:eastAsia="lt-LT"/>
                    </w:rPr>
                  </w:pPr>
                  <w:r>
                    <w:rPr>
                      <w:szCs w:val="24"/>
                      <w:lang w:eastAsia="lt-LT"/>
                    </w:rPr>
                    <w:t>OPEX‘</w:t>
                  </w:r>
                  <w:r>
                    <w:rPr>
                      <w:szCs w:val="24"/>
                      <w:vertAlign w:val="subscript"/>
                      <w:lang w:eastAsia="lt-LT"/>
                    </w:rPr>
                    <w:t>(DU)vt,t</w:t>
                  </w:r>
                  <w:r>
                    <w:rPr>
                      <w:szCs w:val="24"/>
                      <w:lang w:eastAsia="lt-LT"/>
                    </w:rPr>
                    <w:t xml:space="preserve"> – koreguoti </w:t>
                  </w:r>
                  <w:r>
                    <w:rPr>
                      <w:i/>
                      <w:iCs/>
                      <w:szCs w:val="24"/>
                    </w:rPr>
                    <w:t>t</w:t>
                  </w:r>
                  <w:r>
                    <w:rPr>
                      <w:szCs w:val="24"/>
                      <w:lang w:eastAsia="lt-LT"/>
                    </w:rPr>
                    <w:t xml:space="preserve"> metų darbo užmokesčio kaštai;</w:t>
                  </w:r>
                </w:p>
                <w:p>
                  <w:pPr>
                    <w:tabs>
                      <w:tab w:val="left" w:pos="142"/>
                    </w:tabs>
                    <w:ind w:firstLine="709"/>
                    <w:jc w:val="both"/>
                    <w:rPr>
                      <w:szCs w:val="24"/>
                      <w:lang w:eastAsia="lt-LT"/>
                    </w:rPr>
                  </w:pPr>
                  <w:r>
                    <w:rPr>
                      <w:szCs w:val="24"/>
                      <w:lang w:eastAsia="lt-LT"/>
                    </w:rPr>
                    <w:t>M</w:t>
                  </w:r>
                  <w:r>
                    <w:rPr>
                      <w:szCs w:val="24"/>
                      <w:vertAlign w:val="subscript"/>
                      <w:lang w:eastAsia="lt-LT"/>
                    </w:rPr>
                    <w:t xml:space="preserve">vt,t </w:t>
                  </w:r>
                  <w:r>
                    <w:rPr>
                      <w:szCs w:val="24"/>
                      <w:lang w:eastAsia="lt-LT"/>
                    </w:rPr>
                    <w:t xml:space="preserve">– planuojami </w:t>
                  </w:r>
                  <w:r>
                    <w:rPr>
                      <w:i/>
                      <w:iCs/>
                      <w:szCs w:val="24"/>
                    </w:rPr>
                    <w:t>t</w:t>
                  </w:r>
                  <w:r>
                    <w:rPr>
                      <w:szCs w:val="24"/>
                      <w:lang w:eastAsia="lt-LT"/>
                    </w:rPr>
                    <w:t xml:space="preserve"> metų mokesčiai;</w:t>
                  </w:r>
                </w:p>
                <w:p>
                  <w:pPr>
                    <w:tabs>
                      <w:tab w:val="left" w:pos="142"/>
                    </w:tabs>
                    <w:ind w:firstLine="709"/>
                    <w:jc w:val="both"/>
                    <w:rPr>
                      <w:szCs w:val="24"/>
                      <w:lang w:eastAsia="lt-LT"/>
                    </w:rPr>
                  </w:pPr>
                  <w:r>
                    <w:rPr>
                      <w:szCs w:val="24"/>
                      <w:lang w:eastAsia="lt-LT"/>
                    </w:rPr>
                    <w:t>N</w:t>
                  </w:r>
                  <w:r>
                    <w:rPr>
                      <w:szCs w:val="24"/>
                      <w:vertAlign w:val="subscript"/>
                      <w:lang w:eastAsia="lt-LT"/>
                    </w:rPr>
                    <w:t xml:space="preserve">vt,t </w:t>
                  </w:r>
                  <w:r>
                    <w:rPr>
                      <w:szCs w:val="24"/>
                      <w:lang w:eastAsia="lt-LT"/>
                    </w:rPr>
                    <w:t xml:space="preserve">– planuojamos </w:t>
                  </w:r>
                  <w:r>
                    <w:rPr>
                      <w:i/>
                      <w:iCs/>
                      <w:szCs w:val="24"/>
                    </w:rPr>
                    <w:t>t</w:t>
                  </w:r>
                  <w:r>
                    <w:rPr>
                      <w:szCs w:val="24"/>
                      <w:lang w:eastAsia="lt-LT"/>
                    </w:rPr>
                    <w:t xml:space="preserve"> metų nusidėvėjimo sąnaudos;</w:t>
                  </w:r>
                </w:p>
                <w:p>
                  <w:pPr>
                    <w:tabs>
                      <w:tab w:val="left" w:pos="142"/>
                    </w:tabs>
                    <w:ind w:firstLine="709"/>
                    <w:jc w:val="both"/>
                    <w:rPr>
                      <w:szCs w:val="24"/>
                      <w:lang w:eastAsia="lt-LT"/>
                    </w:rPr>
                  </w:pPr>
                  <w:r>
                    <w:rPr>
                      <w:szCs w:val="24"/>
                    </w:rPr>
                    <w:t>NT</w:t>
                  </w:r>
                  <w:r>
                    <w:rPr>
                      <w:szCs w:val="24"/>
                      <w:vertAlign w:val="subscript"/>
                    </w:rPr>
                    <w:t xml:space="preserve">vt,t </w:t>
                  </w:r>
                  <w:r>
                    <w:rPr>
                      <w:szCs w:val="24"/>
                      <w:lang w:eastAsia="lt-LT"/>
                    </w:rPr>
                    <w:t xml:space="preserve">– planuojamos </w:t>
                  </w:r>
                  <w:r>
                    <w:rPr>
                      <w:i/>
                      <w:iCs/>
                      <w:szCs w:val="24"/>
                    </w:rPr>
                    <w:t>t</w:t>
                  </w:r>
                  <w:r>
                    <w:rPr>
                      <w:szCs w:val="24"/>
                      <w:lang w:eastAsia="lt-LT"/>
                    </w:rPr>
                    <w:t xml:space="preserve"> metų nurašomo turto sąnaudos;</w:t>
                  </w:r>
                  <w:r>
                    <w:rPr>
                      <w:szCs w:val="24"/>
                      <w:vertAlign w:val="subscript"/>
                    </w:rPr>
                    <w:t xml:space="preserve"> </w:t>
                  </w:r>
                </w:p>
                <w:p>
                  <w:pPr>
                    <w:tabs>
                      <w:tab w:val="left" w:pos="142"/>
                    </w:tabs>
                    <w:ind w:firstLine="709"/>
                    <w:jc w:val="both"/>
                    <w:rPr>
                      <w:szCs w:val="24"/>
                      <w:lang w:eastAsia="lt-LT"/>
                    </w:rPr>
                  </w:pPr>
                  <w:r>
                    <w:rPr>
                      <w:szCs w:val="24"/>
                      <w:lang w:eastAsia="lt-LT"/>
                    </w:rPr>
                    <w:t>ROI</w:t>
                  </w:r>
                  <w:r>
                    <w:rPr>
                      <w:szCs w:val="24"/>
                      <w:vertAlign w:val="subscript"/>
                      <w:lang w:eastAsia="lt-LT"/>
                    </w:rPr>
                    <w:t xml:space="preserve">vt,t </w:t>
                  </w:r>
                  <w:r>
                    <w:rPr>
                      <w:szCs w:val="24"/>
                      <w:lang w:eastAsia="lt-LT"/>
                    </w:rPr>
                    <w:t xml:space="preserve">– investicijų grąža, apskaičiuota taikant Komisijos </w:t>
                  </w:r>
                  <w:r>
                    <w:rPr>
                      <w:i/>
                      <w:iCs/>
                      <w:szCs w:val="24"/>
                    </w:rPr>
                    <w:t>t</w:t>
                  </w:r>
                  <w:r>
                    <w:rPr>
                      <w:szCs w:val="24"/>
                      <w:lang w:eastAsia="lt-LT"/>
                    </w:rPr>
                    <w:t xml:space="preserve"> metų nustatytą investicijų grąžos normą nuo reguliuojamos turto bazės metų pradžiai;</w:t>
                  </w:r>
                </w:p>
                <w:p>
                  <w:pPr>
                    <w:tabs>
                      <w:tab w:val="left" w:pos="142"/>
                    </w:tabs>
                    <w:ind w:firstLine="709"/>
                    <w:jc w:val="both"/>
                    <w:rPr>
                      <w:szCs w:val="24"/>
                      <w:lang w:eastAsia="lt-LT"/>
                    </w:rPr>
                  </w:pPr>
                  <w:r>
                    <w:rPr>
                      <w:szCs w:val="24"/>
                      <w:lang w:eastAsia="lt-LT"/>
                    </w:rPr>
                    <w:t>S</w:t>
                  </w:r>
                  <w:r>
                    <w:rPr>
                      <w:szCs w:val="24"/>
                      <w:vertAlign w:val="subscript"/>
                      <w:lang w:eastAsia="lt-LT"/>
                    </w:rPr>
                    <w:t>vt,t</w:t>
                  </w:r>
                  <w:r>
                    <w:rPr>
                      <w:szCs w:val="24"/>
                      <w:lang w:eastAsia="lt-LT"/>
                    </w:rPr>
                    <w:t xml:space="preserve"> – planuojamas </w:t>
                  </w:r>
                  <w:r>
                    <w:rPr>
                      <w:i/>
                      <w:iCs/>
                      <w:szCs w:val="24"/>
                    </w:rPr>
                    <w:t>t</w:t>
                  </w:r>
                  <w:r>
                    <w:rPr>
                      <w:szCs w:val="24"/>
                      <w:lang w:eastAsia="lt-LT"/>
                    </w:rPr>
                    <w:t xml:space="preserve"> metų OPEX padidėjimas/sumažėjimas, sąlygotas teisės aktų pasikeitimų </w:t>
                  </w:r>
                  <w:r>
                    <w:rPr>
                      <w:szCs w:val="24"/>
                    </w:rPr>
                    <w:t>ir/ar kitų objektyvių (nuo Įmonės nepriklausančių) veiksnių</w:t>
                  </w:r>
                  <w:r>
                    <w:rPr>
                      <w:szCs w:val="24"/>
                      <w:lang w:eastAsia="lt-LT"/>
                    </w:rPr>
                    <w:t>;</w:t>
                  </w:r>
                </w:p>
                <w:p>
                  <w:pPr>
                    <w:tabs>
                      <w:tab w:val="left" w:pos="142"/>
                    </w:tabs>
                    <w:ind w:firstLine="709"/>
                    <w:jc w:val="both"/>
                    <w:rPr>
                      <w:szCs w:val="24"/>
                      <w:lang w:eastAsia="lt-LT"/>
                    </w:rPr>
                  </w:pPr>
                  <w:r>
                    <w:rPr>
                      <w:szCs w:val="24"/>
                      <w:lang w:eastAsia="lt-LT"/>
                    </w:rPr>
                    <w:t>OI</w:t>
                  </w:r>
                  <w:r>
                    <w:rPr>
                      <w:szCs w:val="24"/>
                      <w:vertAlign w:val="subscript"/>
                      <w:lang w:eastAsia="lt-LT"/>
                    </w:rPr>
                    <w:t>vt,t</w:t>
                  </w:r>
                  <w:r>
                    <w:rPr>
                      <w:szCs w:val="24"/>
                      <w:lang w:eastAsia="lt-LT"/>
                    </w:rPr>
                    <w:t xml:space="preserve"> – planuojamos </w:t>
                  </w:r>
                  <w:r>
                    <w:rPr>
                      <w:i/>
                      <w:iCs/>
                      <w:szCs w:val="24"/>
                    </w:rPr>
                    <w:t>t</w:t>
                  </w:r>
                  <w:r>
                    <w:rPr>
                      <w:szCs w:val="24"/>
                      <w:lang w:eastAsia="lt-LT"/>
                    </w:rPr>
                    <w:t xml:space="preserve"> metų kitos pajamos;</w:t>
                  </w:r>
                </w:p>
                <w:p>
                  <w:pPr>
                    <w:tabs>
                      <w:tab w:val="left" w:pos="1134"/>
                      <w:tab w:val="left" w:pos="1843"/>
                      <w:tab w:val="left" w:pos="2268"/>
                    </w:tabs>
                    <w:ind w:firstLine="709"/>
                    <w:rPr>
                      <w:szCs w:val="24"/>
                      <w:lang w:eastAsia="lt-LT"/>
                    </w:rPr>
                  </w:pPr>
                  <w:r>
                    <w:rPr>
                      <w:szCs w:val="24"/>
                      <w:lang w:eastAsia="lt-LT"/>
                    </w:rPr>
                    <w:t>K</w:t>
                  </w:r>
                  <w:r>
                    <w:rPr>
                      <w:szCs w:val="24"/>
                      <w:vertAlign w:val="subscript"/>
                      <w:lang w:eastAsia="lt-LT"/>
                    </w:rPr>
                    <w:t xml:space="preserve">vt,t </w:t>
                  </w:r>
                  <w:r>
                    <w:rPr>
                      <w:szCs w:val="24"/>
                      <w:lang w:eastAsia="lt-LT"/>
                    </w:rPr>
                    <w:t>– Komisijos nustatyta praėjusių laikotarpių investicijų grąžos korekcija.</w:t>
                  </w:r>
                </w:p>
                <w:p>
                  <w:pPr>
                    <w:jc w:val="both"/>
                    <w:rPr>
                      <w:szCs w:val="24"/>
                    </w:rPr>
                  </w:pPr>
                  <w:r>
                    <w:rPr>
                      <w:b/>
                      <w:i/>
                      <w:sz w:val="20"/>
                    </w:rPr>
                    <w:t>TAR pastaba.</w:t>
                  </w:r>
                  <w:r>
                    <w:rPr>
                      <w:i/>
                      <w:sz w:val="20"/>
                    </w:rPr>
                    <w:t xml:space="preserve"> 99 punkto nuostatose nurodyti Metodikos pakeitimai įmonėms, besiverčiančioms skirstymo ir visuomeninio tiekimo veiklomis, kurių veiklos teritorijoje esančių vartotojų skaičius mažesnis nei 100 tūkstančių, taikomi nustatant arba koreguojant 2019 m. ir vėlesnių metų kainų viršutines ribas.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sdtContent>
            </w:sdt>
            <w:sdt>
              <w:sdtPr>
                <w:alias w:val="100 p."/>
                <w:tag w:val="part_5bf60eccdaf94a6687a8db3dbfb60803"/>
                <w:lock w:val="sdtLocked"/>
                <w:richText/>
              </w:sdtPr>
              <w:sdtContent>
                <w:p>
                  <w:pPr>
                    <w:tabs>
                      <w:tab w:val="left" w:pos="1260"/>
                      <w:tab w:val="left" w:pos="1843"/>
                      <w:tab w:val="left" w:pos="2268"/>
                    </w:tabs>
                    <w:ind w:firstLine="720"/>
                    <w:jc w:val="both"/>
                    <w:rPr>
                      <w:szCs w:val="24"/>
                    </w:rPr>
                  </w:pPr>
                  <w:sdt>
                    <w:sdtPr>
                      <w:alias w:val="Numeris"/>
                      <w:tag w:val="nr_5bf60eccdaf94a6687a8db3dbfb60803"/>
                      <w:lock w:val="sdtLocked"/>
                      <w:richText/>
                    </w:sdtPr>
                    <w:sdtContent>
                      <w:r>
                        <w:rPr>
                          <w:szCs w:val="24"/>
                        </w:rPr>
                        <w:t>100</w:t>
                      </w:r>
                    </w:sdtContent>
                  </w:sdt>
                  <w:r>
                    <w:rPr>
                      <w:szCs w:val="24"/>
                    </w:rPr>
                    <w:t xml:space="preserve">. </w:t>
                  </w:r>
                  <w:r>
                    <w:rPr>
                      <w:szCs w:val="24"/>
                      <w:lang w:eastAsia="lt-LT"/>
                    </w:rPr>
                    <w:t xml:space="preserve">Koreguoti </w:t>
                  </w:r>
                  <w:r>
                    <w:rPr>
                      <w:i/>
                      <w:szCs w:val="24"/>
                      <w:lang w:eastAsia="lt-LT"/>
                    </w:rPr>
                    <w:t xml:space="preserve">t </w:t>
                  </w:r>
                  <w:r>
                    <w:rPr>
                      <w:szCs w:val="24"/>
                      <w:lang w:eastAsia="lt-LT"/>
                    </w:rPr>
                    <w:t>metų visuomeninio tiekėjo OPEX(be DU) kaštai</w:t>
                  </w:r>
                  <w:r>
                    <w:rPr>
                      <w:szCs w:val="24"/>
                    </w:rPr>
                    <w:t xml:space="preserve"> apskaičiuojami pagal formulę:</w:t>
                  </w:r>
                </w:p>
                <w:p>
                  <w:pPr>
                    <w:tabs>
                      <w:tab w:val="left" w:pos="1134"/>
                    </w:tabs>
                    <w:ind w:firstLine="709"/>
                    <w:jc w:val="both"/>
                    <w:rPr>
                      <w:szCs w:val="24"/>
                    </w:rPr>
                  </w:pPr>
                </w:p>
                <w:p>
                  <w:pPr>
                    <w:tabs>
                      <w:tab w:val="left" w:pos="1134"/>
                    </w:tabs>
                    <w:ind w:firstLine="2880"/>
                    <w:jc w:val="both"/>
                    <w:rPr>
                      <w:szCs w:val="24"/>
                    </w:rPr>
                  </w:pPr>
                  <m:oMath>
                    <m:sSub>
                      <m:sSubPr>
                        <m:ctrlPr>
                          <w:rPr>
                            <w:rFonts w:ascii="Cambria Math" w:hAnsi="Cambria Math"/>
                            <w:i/>
                            <w:szCs w:val="24"/>
                          </w:rPr>
                        </m:ctrlPr>
                      </m:sSubPr>
                      <m:e>
                        <m:r>
                          <w:rPr>
                            <w:rFonts w:ascii="Cambria Math" w:hAnsi="Cambria Math"/>
                            <w:szCs w:val="24"/>
                          </w:rPr>
                          <m:t>OPEX</m:t>
                        </m:r>
                        <m:r>
                          <w:rPr>
                            <w:rFonts w:ascii="Cambria Math" w:hAnsi="Cambria Math"/>
                            <w:szCs w:val="24"/>
                          </w:rPr>
                          <m:t>'</m:t>
                        </m:r>
                      </m:e>
                      <m:sub>
                        <m:d>
                          <m:dPr>
                            <m:ctrlPr>
                              <w:rPr>
                                <w:rFonts w:ascii="Cambria Math" w:hAnsi="Cambria Math"/>
                                <w:i/>
                                <w:szCs w:val="24"/>
                              </w:rPr>
                            </m:ctrlPr>
                          </m:dPr>
                          <m:e>
                            <m:r>
                              <w:rPr>
                                <w:rFonts w:ascii="Cambria Math" w:hAnsi="Cambria Math"/>
                                <w:szCs w:val="24"/>
                              </w:rPr>
                              <m:t>be</m:t>
                            </m:r>
                            <m:r>
                              <w:rPr>
                                <w:rFonts w:ascii="Cambria Math" w:hAnsi="Cambria Math"/>
                                <w:szCs w:val="24"/>
                              </w:rPr>
                              <m:t xml:space="preserve"> </m:t>
                            </m:r>
                            <m:r>
                              <w:rPr>
                                <w:rFonts w:ascii="Cambria Math" w:hAnsi="Cambria Math"/>
                                <w:szCs w:val="24"/>
                              </w:rPr>
                              <m:t>DU</m:t>
                            </m:r>
                          </m:e>
                        </m:d>
                        <m:r>
                          <w:rPr>
                            <w:rFonts w:ascii="Cambria Math" w:hAnsi="Cambria Math"/>
                            <w:szCs w:val="24"/>
                          </w:rPr>
                          <m:t>vt</m:t>
                        </m:r>
                        <m:r>
                          <w:rPr>
                            <w:rFonts w:ascii="Cambria Math" w:hAnsi="Cambria Math"/>
                            <w:szCs w:val="24"/>
                          </w:rPr>
                          <m:t>,</m:t>
                        </m:r>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OP</m:t>
                        </m:r>
                        <m:r>
                          <w:rPr>
                            <w:rFonts w:ascii="Cambria Math" w:hAnsi="Cambria Math"/>
                            <w:szCs w:val="24"/>
                          </w:rPr>
                          <m:t>E</m:t>
                        </m:r>
                        <m:r>
                          <w:rPr>
                            <w:rFonts w:ascii="Cambria Math" w:hAnsi="Cambria Math"/>
                            <w:szCs w:val="24"/>
                          </w:rPr>
                          <m:t>X</m:t>
                        </m:r>
                      </m:e>
                      <m:sub>
                        <m:d>
                          <m:dPr>
                            <m:ctrlPr>
                              <w:rPr>
                                <w:rFonts w:ascii="Cambria Math" w:hAnsi="Cambria Math"/>
                                <w:i/>
                                <w:szCs w:val="24"/>
                              </w:rPr>
                            </m:ctrlPr>
                          </m:dPr>
                          <m:e>
                            <m:r>
                              <w:rPr>
                                <w:rFonts w:ascii="Cambria Math" w:hAnsi="Cambria Math"/>
                                <w:szCs w:val="24"/>
                              </w:rPr>
                              <m:t>be</m:t>
                            </m:r>
                            <m:r>
                              <w:rPr>
                                <w:rFonts w:ascii="Cambria Math" w:hAnsi="Cambria Math"/>
                                <w:szCs w:val="24"/>
                              </w:rPr>
                              <m:t xml:space="preserve"> </m:t>
                            </m:r>
                            <m:r>
                              <w:rPr>
                                <w:rFonts w:ascii="Cambria Math" w:hAnsi="Cambria Math"/>
                                <w:szCs w:val="24"/>
                              </w:rPr>
                              <m:t>DU</m:t>
                            </m:r>
                          </m:e>
                        </m:d>
                        <m:r>
                          <w:rPr>
                            <w:rFonts w:ascii="Cambria Math" w:hAnsi="Cambria Math"/>
                            <w:szCs w:val="24"/>
                          </w:rPr>
                          <m:t>vt</m:t>
                        </m:r>
                      </m:sub>
                    </m:sSub>
                    <m:r>
                      <w:rPr>
                        <w:rFonts w:ascii="Cambria Math" w:hAnsi="Cambria Math"/>
                        <w:szCs w:val="24"/>
                      </w:rPr>
                      <m:t xml:space="preserve"> ×</m:t>
                    </m:r>
                    <m:sSub>
                      <m:sSubPr>
                        <m:ctrlPr>
                          <w:rPr>
                            <w:rFonts w:ascii="Cambria Math" w:hAnsi="Cambria Math"/>
                            <w:i/>
                            <w:szCs w:val="24"/>
                          </w:rPr>
                        </m:ctrlPr>
                      </m:sSubPr>
                      <m:e>
                        <m:r>
                          <w:rPr>
                            <w:rFonts w:ascii="Cambria Math" w:hAnsi="Cambria Math"/>
                            <w:szCs w:val="24"/>
                          </w:rPr>
                          <m:t>IK</m:t>
                        </m:r>
                      </m:e>
                      <m:sub>
                        <m:r>
                          <w:rPr>
                            <w:rFonts w:ascii="Cambria Math" w:hAnsi="Cambria Math"/>
                            <w:szCs w:val="24"/>
                          </w:rPr>
                          <m:t xml:space="preserve"> </m:t>
                        </m:r>
                        <m:r>
                          <w:rPr>
                            <w:rFonts w:ascii="Cambria Math" w:hAnsi="Cambria Math"/>
                            <w:szCs w:val="24"/>
                          </w:rPr>
                          <m:t>t</m:t>
                        </m:r>
                      </m:sub>
                    </m:sSub>
                  </m:oMath>
                  <w:r>
                    <w:rPr>
                      <w:szCs w:val="24"/>
                    </w:rPr>
                    <w:tab/>
                    <w:t>(61)</w:t>
                  </w:r>
                </w:p>
                <w:p>
                  <w:pPr>
                    <w:tabs>
                      <w:tab w:val="left" w:pos="1134"/>
                    </w:tabs>
                    <w:ind w:firstLine="709"/>
                    <w:jc w:val="both"/>
                    <w:rPr>
                      <w:szCs w:val="24"/>
                    </w:rPr>
                  </w:pPr>
                </w:p>
                <w:p>
                  <w:pPr>
                    <w:tabs>
                      <w:tab w:val="left" w:pos="1134"/>
                      <w:tab w:val="left" w:pos="1843"/>
                      <w:tab w:val="left" w:pos="2268"/>
                    </w:tabs>
                    <w:ind w:firstLine="709"/>
                    <w:jc w:val="both"/>
                    <w:rPr>
                      <w:i/>
                      <w:szCs w:val="24"/>
                    </w:rPr>
                  </w:pPr>
                  <w:r>
                    <w:rPr>
                      <w:i/>
                      <w:szCs w:val="24"/>
                    </w:rPr>
                    <w:t>čia:</w:t>
                  </w:r>
                </w:p>
                <w:p>
                  <w:pPr>
                    <w:tabs>
                      <w:tab w:val="left" w:pos="1134"/>
                      <w:tab w:val="left" w:pos="1843"/>
                      <w:tab w:val="left" w:pos="2268"/>
                    </w:tabs>
                    <w:ind w:firstLine="709"/>
                    <w:jc w:val="both"/>
                    <w:rPr>
                      <w:szCs w:val="24"/>
                      <w:lang w:eastAsia="lt-LT"/>
                    </w:rPr>
                  </w:pPr>
                  <w:r>
                    <w:rPr>
                      <w:szCs w:val="24"/>
                      <w:lang w:eastAsia="lt-LT"/>
                    </w:rPr>
                    <w:t>OPEX‘</w:t>
                  </w:r>
                  <w:r>
                    <w:rPr>
                      <w:szCs w:val="24"/>
                      <w:vertAlign w:val="subscript"/>
                      <w:lang w:eastAsia="lt-LT"/>
                    </w:rPr>
                    <w:t xml:space="preserve"> (be DU)vt,t </w:t>
                  </w:r>
                  <w:r>
                    <w:rPr>
                      <w:szCs w:val="24"/>
                      <w:lang w:eastAsia="lt-LT"/>
                    </w:rPr>
                    <w:t xml:space="preserve">– koreguoti </w:t>
                  </w:r>
                  <w:r>
                    <w:rPr>
                      <w:i/>
                      <w:szCs w:val="24"/>
                      <w:lang w:eastAsia="lt-LT"/>
                    </w:rPr>
                    <w:t>t</w:t>
                  </w:r>
                  <w:r>
                    <w:rPr>
                      <w:szCs w:val="24"/>
                      <w:lang w:eastAsia="lt-LT"/>
                    </w:rPr>
                    <w:t xml:space="preserve"> metų OPEX(be DU) kaštai;</w:t>
                  </w:r>
                </w:p>
                <w:p>
                  <w:pPr>
                    <w:tabs>
                      <w:tab w:val="left" w:pos="1134"/>
                      <w:tab w:val="left" w:pos="1843"/>
                      <w:tab w:val="left" w:pos="2268"/>
                    </w:tabs>
                    <w:ind w:firstLine="709"/>
                    <w:jc w:val="both"/>
                    <w:rPr>
                      <w:szCs w:val="24"/>
                      <w:lang w:eastAsia="lt-LT"/>
                    </w:rPr>
                  </w:pPr>
                  <w:r>
                    <w:rPr>
                      <w:szCs w:val="24"/>
                      <w:lang w:eastAsia="lt-LT"/>
                    </w:rPr>
                    <w:t>OPEX</w:t>
                  </w:r>
                  <w:r>
                    <w:rPr>
                      <w:szCs w:val="24"/>
                      <w:vertAlign w:val="subscript"/>
                      <w:lang w:eastAsia="lt-LT"/>
                    </w:rPr>
                    <w:t xml:space="preserve"> (be DU)vt </w:t>
                  </w:r>
                  <w:r>
                    <w:rPr>
                      <w:szCs w:val="24"/>
                      <w:lang w:eastAsia="lt-LT"/>
                    </w:rPr>
                    <w:t>– reguliavimo periodo baziniai OPEX(be DU) kaštai;</w:t>
                  </w:r>
                </w:p>
                <w:p>
                  <w:pPr>
                    <w:tabs>
                      <w:tab w:val="left" w:pos="1134"/>
                      <w:tab w:val="left" w:pos="1843"/>
                      <w:tab w:val="left" w:pos="2268"/>
                    </w:tabs>
                    <w:ind w:firstLine="709"/>
                    <w:jc w:val="both"/>
                    <w:rPr>
                      <w:szCs w:val="24"/>
                      <w:lang w:eastAsia="lt-LT"/>
                    </w:rPr>
                  </w:pPr>
                  <w:r>
                    <w:rPr>
                      <w:szCs w:val="24"/>
                    </w:rPr>
                    <w:t>IK</w:t>
                  </w:r>
                  <w:r>
                    <w:rPr>
                      <w:szCs w:val="24"/>
                      <w:vertAlign w:val="subscript"/>
                    </w:rPr>
                    <w:t>t</w:t>
                  </w:r>
                  <w:r>
                    <w:rPr>
                      <w:szCs w:val="24"/>
                    </w:rPr>
                    <w:t xml:space="preserve"> – </w:t>
                  </w:r>
                  <w:r>
                    <w:rPr>
                      <w:i/>
                      <w:szCs w:val="24"/>
                    </w:rPr>
                    <w:t xml:space="preserve">t </w:t>
                  </w:r>
                  <w:r>
                    <w:rPr>
                      <w:szCs w:val="24"/>
                    </w:rPr>
                    <w:t xml:space="preserve">metų infliacijos koeficientas, </w:t>
                  </w:r>
                  <w:r>
                    <w:rPr>
                      <w:szCs w:val="24"/>
                      <w:lang w:eastAsia="lt-LT"/>
                    </w:rPr>
                    <w:t>kuris apskaičiuojamas pagal formulę:</w:t>
                  </w:r>
                </w:p>
                <w:p>
                  <w:pPr>
                    <w:tabs>
                      <w:tab w:val="left" w:pos="1134"/>
                      <w:tab w:val="left" w:pos="1843"/>
                      <w:tab w:val="left" w:pos="2268"/>
                    </w:tabs>
                    <w:jc w:val="both"/>
                    <w:rPr>
                      <w:szCs w:val="24"/>
                      <w:lang w:eastAsia="lt-LT"/>
                    </w:rPr>
                  </w:pPr>
                </w:p>
                <w:p>
                  <w:pPr>
                    <w:tabs>
                      <w:tab w:val="left" w:pos="1134"/>
                      <w:tab w:val="left" w:pos="1843"/>
                      <w:tab w:val="left" w:pos="2268"/>
                    </w:tabs>
                    <w:jc w:val="center"/>
                    <w:rPr>
                      <w:szCs w:val="24"/>
                      <w:lang w:eastAsia="lt-LT"/>
                    </w:rPr>
                  </w:pPr>
                  <m:oMath>
                    <m:sSub>
                      <m:sSubPr>
                        <m:ctrlPr>
                          <w:rPr>
                            <w:rFonts w:ascii="Cambria Math" w:hAnsi="Cambria Math"/>
                            <w:i/>
                            <w:szCs w:val="24"/>
                          </w:rPr>
                        </m:ctrlPr>
                      </m:sSubPr>
                      <m:e>
                        <m:r>
                          <w:rPr>
                            <w:rFonts w:ascii="Cambria Math" w:hAnsi="Cambria Math"/>
                            <w:szCs w:val="24"/>
                          </w:rPr>
                          <m:t xml:space="preserve"> </m:t>
                        </m:r>
                        <m:r>
                          <w:rPr>
                            <w:rFonts w:ascii="Cambria Math" w:hAnsi="Cambria Math"/>
                            <w:szCs w:val="24"/>
                          </w:rPr>
                          <m:t>IK</m:t>
                        </m:r>
                      </m:e>
                      <m:sub>
                        <m:r>
                          <w:rPr>
                            <w:rFonts w:ascii="Cambria Math" w:hAnsi="Cambria Math"/>
                            <w:szCs w:val="24"/>
                          </w:rPr>
                          <m:t xml:space="preserve"> </m:t>
                        </m:r>
                        <m:r>
                          <w:rPr>
                            <w:rFonts w:ascii="Cambria Math" w:hAnsi="Cambria Math"/>
                            <w:szCs w:val="24"/>
                          </w:rPr>
                          <m:t>t</m:t>
                        </m:r>
                      </m:sub>
                    </m:sSub>
                    <m:r>
                      <w:rPr>
                        <w:rFonts w:ascii="Cambria Math" w:hAnsi="Cambria Math"/>
                        <w:szCs w:val="24"/>
                      </w:rPr>
                      <m:t>= (1+</m:t>
                    </m:r>
                    <m:f>
                      <m:fPr>
                        <m:ctrlPr>
                          <w:rPr>
                            <w:rFonts w:ascii="Cambria Math" w:hAnsi="Cambria Math"/>
                            <w:i/>
                            <w:szCs w:val="24"/>
                          </w:rPr>
                        </m:ctrlPr>
                      </m:fPr>
                      <m:num>
                        <m:r>
                          <w:rPr>
                            <w:rFonts w:ascii="Cambria Math" w:hAnsi="Cambria Math"/>
                            <w:szCs w:val="24"/>
                          </w:rPr>
                          <m:t xml:space="preserve"> </m:t>
                        </m:r>
                        <m:sSub>
                          <m:sSubPr>
                            <m:ctrlPr>
                              <w:rPr>
                                <w:rFonts w:ascii="Cambria Math" w:hAnsi="Cambria Math"/>
                                <w:i/>
                                <w:szCs w:val="24"/>
                              </w:rPr>
                            </m:ctrlPr>
                          </m:sSubPr>
                          <m:e>
                            <m:r>
                              <w:rPr>
                                <w:rFonts w:ascii="Cambria Math" w:hAnsi="Cambria Math"/>
                                <w:szCs w:val="24"/>
                              </w:rPr>
                              <m:t>i</m:t>
                            </m:r>
                          </m:e>
                          <m:sub>
                            <m:r>
                              <w:rPr>
                                <w:rFonts w:ascii="Cambria Math" w:hAnsi="Cambria Math"/>
                                <w:szCs w:val="24"/>
                              </w:rPr>
                              <m:t xml:space="preserve"> </m:t>
                            </m:r>
                            <m:r>
                              <w:rPr>
                                <w:rFonts w:ascii="Cambria Math" w:hAnsi="Cambria Math"/>
                                <w:szCs w:val="24"/>
                              </w:rPr>
                              <m:t>t</m:t>
                            </m:r>
                          </m:sub>
                        </m:sSub>
                        <m:r>
                          <w:rPr>
                            <w:rFonts w:ascii="Cambria Math" w:hAnsi="Cambria Math"/>
                            <w:szCs w:val="24"/>
                          </w:rPr>
                          <m:t>-</m:t>
                        </m:r>
                        <m:r>
                          <w:rPr>
                            <w:rFonts w:ascii="Cambria Math" w:hAnsi="Cambria Math"/>
                            <w:szCs w:val="24"/>
                          </w:rPr>
                          <m:t>e</m:t>
                        </m:r>
                      </m:num>
                      <m:den>
                        <m:r>
                          <w:rPr>
                            <w:rFonts w:ascii="Cambria Math" w:hAnsi="Cambria Math"/>
                            <w:szCs w:val="24"/>
                          </w:rPr>
                          <m:t>100</m:t>
                        </m:r>
                      </m:den>
                    </m:f>
                    <m:r>
                      <w:rPr>
                        <w:rFonts w:ascii="Cambria Math" w:hAnsi="Cambria Math"/>
                        <w:szCs w:val="24"/>
                      </w:rPr>
                      <m:t>)×</m:t>
                    </m:r>
                    <m:sSub>
                      <m:sSubPr>
                        <m:ctrlPr>
                          <w:rPr>
                            <w:rFonts w:ascii="Cambria Math" w:hAnsi="Cambria Math"/>
                            <w:i/>
                            <w:szCs w:val="24"/>
                          </w:rPr>
                        </m:ctrlPr>
                      </m:sSubPr>
                      <m:e>
                        <m:r>
                          <w:rPr>
                            <w:rFonts w:ascii="Cambria Math" w:hAnsi="Cambria Math"/>
                            <w:szCs w:val="24"/>
                          </w:rPr>
                          <m:t>IK</m:t>
                        </m:r>
                      </m:e>
                      <m:sub>
                        <m:r>
                          <w:rPr>
                            <w:rFonts w:ascii="Cambria Math" w:hAnsi="Cambria Math"/>
                            <w:szCs w:val="24"/>
                          </w:rPr>
                          <m:t xml:space="preserve"> </m:t>
                        </m:r>
                        <m:r>
                          <w:rPr>
                            <w:rFonts w:ascii="Cambria Math" w:hAnsi="Cambria Math"/>
                            <w:szCs w:val="24"/>
                          </w:rPr>
                          <m:t>t</m:t>
                        </m:r>
                        <m:r>
                          <w:rPr>
                            <w:rFonts w:ascii="Cambria Math" w:hAnsi="Cambria Math"/>
                            <w:szCs w:val="24"/>
                          </w:rPr>
                          <m:t>-1</m:t>
                        </m:r>
                      </m:sub>
                    </m:sSub>
                  </m:oMath>
                  <w:r>
                    <w:rPr>
                      <w:szCs w:val="24"/>
                    </w:rPr>
                    <w:tab/>
                    <w:tab/>
                    <w:tab/>
                    <w:t>(62)</w:t>
                  </w:r>
                </w:p>
                <w:p>
                  <w:pPr>
                    <w:tabs>
                      <w:tab w:val="left" w:pos="1134"/>
                      <w:tab w:val="left" w:pos="1843"/>
                      <w:tab w:val="left" w:pos="2268"/>
                    </w:tabs>
                    <w:jc w:val="both"/>
                    <w:rPr>
                      <w:szCs w:val="24"/>
                    </w:rPr>
                  </w:pPr>
                </w:p>
                <w:p>
                  <w:pPr>
                    <w:tabs>
                      <w:tab w:val="left" w:pos="1134"/>
                      <w:tab w:val="left" w:pos="1843"/>
                      <w:tab w:val="left" w:pos="2268"/>
                    </w:tabs>
                    <w:ind w:firstLine="709"/>
                    <w:jc w:val="both"/>
                    <w:rPr>
                      <w:i/>
                      <w:szCs w:val="24"/>
                    </w:rPr>
                  </w:pPr>
                  <w:r>
                    <w:rPr>
                      <w:i/>
                      <w:szCs w:val="24"/>
                    </w:rPr>
                    <w:t>čia:</w:t>
                  </w:r>
                </w:p>
                <w:p>
                  <w:pPr>
                    <w:ind w:firstLine="709"/>
                    <w:jc w:val="both"/>
                    <w:rPr>
                      <w:szCs w:val="24"/>
                      <w:lang w:eastAsia="lt-LT"/>
                    </w:rPr>
                  </w:pPr>
                  <w:r>
                    <w:rPr>
                      <w:szCs w:val="24"/>
                      <w:lang w:eastAsia="lt-LT"/>
                    </w:rPr>
                    <w:t>i</w:t>
                  </w:r>
                  <w:r>
                    <w:rPr>
                      <w:szCs w:val="24"/>
                      <w:vertAlign w:val="subscript"/>
                      <w:lang w:eastAsia="lt-LT"/>
                    </w:rPr>
                    <w:t>t</w:t>
                  </w:r>
                  <w:r>
                    <w:rPr>
                      <w:szCs w:val="24"/>
                      <w:lang w:eastAsia="lt-LT"/>
                    </w:rPr>
                    <w:t xml:space="preserve"> – vidutinio metinio vartotojų kainų indekso pokytis metais </w:t>
                  </w:r>
                  <w:r>
                    <w:rPr>
                      <w:i/>
                      <w:szCs w:val="24"/>
                      <w:lang w:eastAsia="lt-LT"/>
                    </w:rPr>
                    <w:t>t</w:t>
                  </w:r>
                  <w:r>
                    <w:rPr>
                      <w:szCs w:val="24"/>
                      <w:lang w:eastAsia="lt-LT"/>
                    </w:rPr>
                    <w:t xml:space="preserve"> lyginant su atitinkamu indeksu metais </w:t>
                  </w:r>
                  <w:r>
                    <w:rPr>
                      <w:i/>
                      <w:szCs w:val="24"/>
                      <w:lang w:eastAsia="lt-LT"/>
                    </w:rPr>
                    <w:t>t-1</w:t>
                  </w:r>
                  <w:r>
                    <w:rPr>
                      <w:szCs w:val="24"/>
                      <w:lang w:eastAsia="lt-LT"/>
                    </w:rPr>
                    <w:t xml:space="preserve">, %. Jis nustatomas pagal Finansų ministerijos skelbiamus naujausius duomenis. Nesant Finansų ministerijos duomenų, nustatoma pagal Lietuvos banko duomenis; </w:t>
                  </w:r>
                </w:p>
                <w:p>
                  <w:pPr>
                    <w:tabs>
                      <w:tab w:val="left" w:pos="1134"/>
                    </w:tabs>
                    <w:ind w:firstLine="709"/>
                    <w:jc w:val="both"/>
                  </w:pPr>
                  <w:r>
                    <w:rPr>
                      <w:szCs w:val="24"/>
                      <w:lang w:eastAsia="lt-LT"/>
                    </w:rPr>
                    <w:t>e – efektyvumo koeficientas, %;</w:t>
                  </w:r>
                </w:p>
                <w:p>
                  <w:pPr>
                    <w:tabs>
                      <w:tab w:val="left" w:pos="1134"/>
                      <w:tab w:val="left" w:pos="1843"/>
                      <w:tab w:val="left" w:pos="2268"/>
                    </w:tabs>
                    <w:ind w:firstLine="709"/>
                    <w:rPr>
                      <w:szCs w:val="24"/>
                    </w:rPr>
                  </w:pPr>
                  <w:r>
                    <w:rPr>
                      <w:szCs w:val="24"/>
                    </w:rPr>
                    <w:t>IK</w:t>
                  </w:r>
                  <w:r>
                    <w:rPr>
                      <w:szCs w:val="24"/>
                      <w:vertAlign w:val="subscript"/>
                    </w:rPr>
                    <w:t>t-1</w:t>
                  </w:r>
                  <w:r>
                    <w:rPr>
                      <w:szCs w:val="24"/>
                    </w:rPr>
                    <w:t xml:space="preserve"> – </w:t>
                  </w:r>
                  <w:r>
                    <w:rPr>
                      <w:i/>
                      <w:szCs w:val="24"/>
                    </w:rPr>
                    <w:t>t-1</w:t>
                  </w:r>
                  <w:r>
                    <w:rPr>
                      <w:szCs w:val="24"/>
                    </w:rPr>
                    <w:t xml:space="preserve"> metų infliacijos koeficientas. Pirmųjų naujojo reguliavimo periodo metų infliacijos koeficientas lygus vienetui.</w:t>
                  </w:r>
                </w:p>
                <w:p>
                  <w:pPr>
                    <w:jc w:val="both"/>
                    <w:rPr>
                      <w:szCs w:val="24"/>
                    </w:rPr>
                  </w:pPr>
                  <w:r>
                    <w:rPr>
                      <w:b/>
                      <w:i/>
                      <w:sz w:val="20"/>
                    </w:rPr>
                    <w:t>TAR pastaba.</w:t>
                  </w:r>
                  <w:r>
                    <w:rPr>
                      <w:i/>
                      <w:sz w:val="20"/>
                    </w:rPr>
                    <w:t xml:space="preserve"> 100 punkto nuostatose nurodyti Metodikos pakeitimai įmonėms, besiverčiančioms skirstymo ir visuomeninio tiekimo veiklomis, kurių veiklos teritorijoje esančių vartotojų skaičius mažesnis nei 100 tūkstančių, taikomi nustatant arba koreguojant 2019 m. ir vėlesnių metų kainų viršutines ribas.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sdtContent>
            </w:sdt>
            <w:sdt>
              <w:sdtPr>
                <w:alias w:val="101 p."/>
                <w:tag w:val="part_903338a60c774cea84dee1272dbcc33e"/>
                <w:lock w:val="sdtLocked"/>
                <w:richText/>
              </w:sdtPr>
              <w:sdtContent>
                <w:p>
                  <w:pPr>
                    <w:tabs>
                      <w:tab w:val="left" w:pos="1260"/>
                      <w:tab w:val="left" w:pos="1843"/>
                      <w:tab w:val="left" w:pos="2268"/>
                    </w:tabs>
                    <w:ind w:firstLine="720"/>
                    <w:jc w:val="both"/>
                    <w:rPr>
                      <w:szCs w:val="24"/>
                    </w:rPr>
                  </w:pPr>
                  <w:sdt>
                    <w:sdtPr>
                      <w:alias w:val="Numeris"/>
                      <w:tag w:val="nr_903338a60c774cea84dee1272dbcc33e"/>
                      <w:lock w:val="sdtLocked"/>
                      <w:richText/>
                    </w:sdtPr>
                    <w:sdtContent>
                      <w:r>
                        <w:rPr>
                          <w:szCs w:val="24"/>
                        </w:rPr>
                        <w:t>101</w:t>
                      </w:r>
                    </w:sdtContent>
                  </w:sdt>
                  <w:r>
                    <w:rPr>
                      <w:szCs w:val="24"/>
                    </w:rPr>
                    <w:t xml:space="preserve">. Koreguoti </w:t>
                  </w:r>
                  <w:r>
                    <w:rPr>
                      <w:i/>
                      <w:szCs w:val="24"/>
                      <w:lang w:eastAsia="lt-LT"/>
                    </w:rPr>
                    <w:t xml:space="preserve">t </w:t>
                  </w:r>
                  <w:r>
                    <w:rPr>
                      <w:szCs w:val="24"/>
                      <w:lang w:eastAsia="lt-LT"/>
                    </w:rPr>
                    <w:t>metų</w:t>
                  </w:r>
                  <w:r>
                    <w:rPr>
                      <w:szCs w:val="24"/>
                    </w:rPr>
                    <w:t xml:space="preserve"> visuomeninio tiekėjo OPEX(DU) kaštai yra apskaičiuojami pagal formulę:</w:t>
                  </w:r>
                </w:p>
                <w:p>
                  <w:pPr>
                    <w:tabs>
                      <w:tab w:val="left" w:pos="1134"/>
                    </w:tabs>
                    <w:ind w:firstLine="709"/>
                    <w:jc w:val="both"/>
                    <w:rPr>
                      <w:szCs w:val="24"/>
                    </w:rPr>
                  </w:pPr>
                </w:p>
                <w:p>
                  <w:pPr>
                    <w:tabs>
                      <w:tab w:val="left" w:pos="567"/>
                      <w:tab w:val="left" w:pos="1843"/>
                      <w:tab w:val="left" w:pos="2268"/>
                    </w:tabs>
                    <w:jc w:val="center"/>
                    <w:rPr>
                      <w:szCs w:val="24"/>
                    </w:rPr>
                  </w:pPr>
                  <m:oMath>
                    <m:sSub>
                      <m:sSubPr>
                        <m:ctrlPr>
                          <w:rPr>
                            <w:rFonts w:ascii="Cambria Math" w:hAnsi="Cambria Math"/>
                            <w:i/>
                            <w:szCs w:val="24"/>
                          </w:rPr>
                        </m:ctrlPr>
                      </m:sSubPr>
                      <m:e>
                        <m:r>
                          <w:rPr>
                            <w:rFonts w:ascii="Cambria Math" w:hAnsi="Cambria Math"/>
                            <w:szCs w:val="24"/>
                          </w:rPr>
                          <m:t>OPEX</m:t>
                        </m:r>
                        <m:r>
                          <w:rPr>
                            <w:rFonts w:ascii="Cambria Math" w:hAnsi="Cambria Math"/>
                            <w:szCs w:val="24"/>
                          </w:rPr>
                          <m:t>'</m:t>
                        </m:r>
                      </m:e>
                      <m:sub>
                        <m:d>
                          <m:dPr>
                            <m:ctrlPr>
                              <w:rPr>
                                <w:rFonts w:ascii="Cambria Math" w:hAnsi="Cambria Math"/>
                                <w:i/>
                                <w:szCs w:val="24"/>
                              </w:rPr>
                            </m:ctrlPr>
                          </m:dPr>
                          <m:e>
                            <m:r>
                              <w:rPr>
                                <w:rFonts w:ascii="Cambria Math" w:hAnsi="Cambria Math"/>
                                <w:szCs w:val="24"/>
                              </w:rPr>
                              <m:t>DU</m:t>
                            </m:r>
                          </m:e>
                        </m:d>
                        <m:r>
                          <w:rPr>
                            <w:rFonts w:ascii="Cambria Math" w:hAnsi="Cambria Math"/>
                            <w:szCs w:val="24"/>
                          </w:rPr>
                          <m:t>vt</m:t>
                        </m:r>
                        <m:r>
                          <w:rPr>
                            <w:rFonts w:ascii="Cambria Math" w:hAnsi="Cambria Math"/>
                            <w:szCs w:val="24"/>
                          </w:rPr>
                          <m:t>,</m:t>
                        </m:r>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OPEX</m:t>
                        </m:r>
                      </m:e>
                      <m:sub>
                        <m:d>
                          <m:dPr>
                            <m:ctrlPr>
                              <w:rPr>
                                <w:rFonts w:ascii="Cambria Math" w:hAnsi="Cambria Math"/>
                                <w:i/>
                                <w:szCs w:val="24"/>
                              </w:rPr>
                            </m:ctrlPr>
                          </m:dPr>
                          <m:e>
                            <m:r>
                              <w:rPr>
                                <w:rFonts w:ascii="Cambria Math" w:hAnsi="Cambria Math"/>
                                <w:szCs w:val="24"/>
                              </w:rPr>
                              <m:t>DU</m:t>
                            </m:r>
                          </m:e>
                        </m:d>
                        <m:r>
                          <w:rPr>
                            <w:rFonts w:ascii="Cambria Math" w:hAnsi="Cambria Math"/>
                            <w:szCs w:val="24"/>
                          </w:rPr>
                          <m:t>vt</m:t>
                        </m:r>
                      </m:sub>
                    </m:sSub>
                    <m:r>
                      <w:rPr>
                        <w:rFonts w:ascii="Cambria Math" w:hAnsi="Cambria Math"/>
                        <w:szCs w:val="24"/>
                      </w:rPr>
                      <m:t xml:space="preserve"> ×</m:t>
                    </m:r>
                    <m:sSub>
                      <m:sSubPr>
                        <m:ctrlPr>
                          <w:rPr>
                            <w:rFonts w:ascii="Cambria Math" w:hAnsi="Cambria Math"/>
                            <w:i/>
                            <w:szCs w:val="24"/>
                          </w:rPr>
                        </m:ctrlPr>
                      </m:sSubPr>
                      <m:e>
                        <m:r>
                          <w:rPr>
                            <w:rFonts w:ascii="Cambria Math" w:hAnsi="Cambria Math"/>
                            <w:szCs w:val="24"/>
                          </w:rPr>
                          <m:t>DK</m:t>
                        </m:r>
                      </m:e>
                      <m:sub>
                        <m:r>
                          <w:rPr>
                            <w:rFonts w:ascii="Cambria Math" w:hAnsi="Cambria Math"/>
                            <w:szCs w:val="24"/>
                          </w:rPr>
                          <m:t xml:space="preserve"> </m:t>
                        </m:r>
                        <m:r>
                          <w:rPr>
                            <w:rFonts w:ascii="Cambria Math" w:hAnsi="Cambria Math"/>
                            <w:szCs w:val="24"/>
                          </w:rPr>
                          <m:t>t</m:t>
                        </m:r>
                      </m:sub>
                    </m:sSub>
                  </m:oMath>
                  <w:r>
                    <w:rPr>
                      <w:szCs w:val="24"/>
                    </w:rPr>
                    <w:tab/>
                    <w:tab/>
                    <w:tab/>
                    <w:t>(63)</w:t>
                  </w:r>
                </w:p>
                <w:p>
                  <w:pPr>
                    <w:tabs>
                      <w:tab w:val="left" w:pos="1134"/>
                    </w:tabs>
                    <w:ind w:firstLine="709"/>
                    <w:jc w:val="both"/>
                    <w:rPr>
                      <w:szCs w:val="24"/>
                    </w:rPr>
                  </w:pPr>
                </w:p>
                <w:p>
                  <w:pPr>
                    <w:tabs>
                      <w:tab w:val="left" w:pos="1134"/>
                      <w:tab w:val="left" w:pos="1843"/>
                      <w:tab w:val="left" w:pos="2268"/>
                    </w:tabs>
                    <w:ind w:firstLine="709"/>
                    <w:jc w:val="both"/>
                    <w:rPr>
                      <w:i/>
                      <w:szCs w:val="24"/>
                    </w:rPr>
                  </w:pPr>
                  <w:r>
                    <w:rPr>
                      <w:i/>
                      <w:szCs w:val="24"/>
                    </w:rPr>
                    <w:t>čia:</w:t>
                  </w:r>
                </w:p>
                <w:p>
                  <w:pPr>
                    <w:tabs>
                      <w:tab w:val="left" w:pos="1134"/>
                      <w:tab w:val="left" w:pos="1843"/>
                      <w:tab w:val="left" w:pos="2268"/>
                    </w:tabs>
                    <w:ind w:firstLine="709"/>
                    <w:jc w:val="both"/>
                    <w:rPr>
                      <w:szCs w:val="24"/>
                      <w:lang w:eastAsia="lt-LT"/>
                    </w:rPr>
                  </w:pPr>
                  <w:r>
                    <w:rPr>
                      <w:szCs w:val="24"/>
                      <w:lang w:eastAsia="lt-LT"/>
                    </w:rPr>
                    <w:t>OPEX‘</w:t>
                  </w:r>
                  <w:r>
                    <w:rPr>
                      <w:szCs w:val="24"/>
                      <w:vertAlign w:val="subscript"/>
                      <w:lang w:eastAsia="lt-LT"/>
                    </w:rPr>
                    <w:t xml:space="preserve"> (DU)vt,t </w:t>
                  </w:r>
                  <w:r>
                    <w:rPr>
                      <w:szCs w:val="24"/>
                      <w:lang w:eastAsia="lt-LT"/>
                    </w:rPr>
                    <w:t xml:space="preserve">– koreguoti </w:t>
                  </w:r>
                  <w:r>
                    <w:rPr>
                      <w:i/>
                      <w:szCs w:val="24"/>
                      <w:lang w:eastAsia="lt-LT"/>
                    </w:rPr>
                    <w:t>t</w:t>
                  </w:r>
                  <w:r>
                    <w:rPr>
                      <w:szCs w:val="24"/>
                      <w:lang w:eastAsia="lt-LT"/>
                    </w:rPr>
                    <w:t xml:space="preserve"> metų darbo užmokesčio kaštai;</w:t>
                  </w:r>
                </w:p>
                <w:p>
                  <w:pPr>
                    <w:tabs>
                      <w:tab w:val="left" w:pos="1134"/>
                      <w:tab w:val="left" w:pos="1843"/>
                      <w:tab w:val="left" w:pos="2268"/>
                    </w:tabs>
                    <w:ind w:firstLine="709"/>
                    <w:jc w:val="both"/>
                    <w:rPr>
                      <w:szCs w:val="24"/>
                      <w:lang w:eastAsia="lt-LT"/>
                    </w:rPr>
                  </w:pPr>
                  <w:r>
                    <w:rPr>
                      <w:szCs w:val="24"/>
                      <w:lang w:eastAsia="lt-LT"/>
                    </w:rPr>
                    <w:t>OPEX</w:t>
                  </w:r>
                  <w:r>
                    <w:rPr>
                      <w:szCs w:val="24"/>
                      <w:vertAlign w:val="subscript"/>
                      <w:lang w:eastAsia="lt-LT"/>
                    </w:rPr>
                    <w:t xml:space="preserve"> (DU)vt </w:t>
                  </w:r>
                  <w:r>
                    <w:rPr>
                      <w:szCs w:val="24"/>
                      <w:lang w:eastAsia="lt-LT"/>
                    </w:rPr>
                    <w:t>– reguliavimo periodo baziniai darbo užmokesčio kaštai;</w:t>
                  </w:r>
                </w:p>
                <w:p>
                  <w:pPr>
                    <w:tabs>
                      <w:tab w:val="left" w:pos="1134"/>
                      <w:tab w:val="left" w:pos="1843"/>
                      <w:tab w:val="left" w:pos="2268"/>
                    </w:tabs>
                    <w:ind w:firstLine="709"/>
                    <w:jc w:val="both"/>
                    <w:rPr>
                      <w:szCs w:val="24"/>
                      <w:lang w:eastAsia="lt-LT"/>
                    </w:rPr>
                  </w:pPr>
                  <w:r>
                    <w:rPr>
                      <w:szCs w:val="24"/>
                    </w:rPr>
                    <w:t>DK</w:t>
                  </w:r>
                  <w:r>
                    <w:rPr>
                      <w:szCs w:val="24"/>
                      <w:vertAlign w:val="subscript"/>
                    </w:rPr>
                    <w:t>t</w:t>
                  </w:r>
                  <w:r>
                    <w:rPr>
                      <w:szCs w:val="24"/>
                    </w:rPr>
                    <w:t xml:space="preserve"> – </w:t>
                  </w:r>
                  <w:r>
                    <w:rPr>
                      <w:i/>
                      <w:szCs w:val="24"/>
                    </w:rPr>
                    <w:t>t</w:t>
                  </w:r>
                  <w:r>
                    <w:rPr>
                      <w:szCs w:val="24"/>
                    </w:rPr>
                    <w:t xml:space="preserve"> metų darbo užmokesčio koregavimo koeficientas, kuris </w:t>
                  </w:r>
                  <w:r>
                    <w:rPr>
                      <w:szCs w:val="24"/>
                      <w:lang w:eastAsia="lt-LT"/>
                    </w:rPr>
                    <w:t xml:space="preserve">apskaičiuojamas pagal formulę: </w:t>
                  </w:r>
                </w:p>
                <w:p>
                  <w:pPr>
                    <w:tabs>
                      <w:tab w:val="left" w:pos="1134"/>
                      <w:tab w:val="left" w:pos="1843"/>
                      <w:tab w:val="left" w:pos="2268"/>
                    </w:tabs>
                    <w:jc w:val="both"/>
                    <w:rPr>
                      <w:szCs w:val="24"/>
                      <w:lang w:eastAsia="lt-LT"/>
                    </w:rPr>
                  </w:pPr>
                </w:p>
                <w:p>
                  <w:pPr>
                    <w:tabs>
                      <w:tab w:val="left" w:pos="1134"/>
                      <w:tab w:val="left" w:pos="1843"/>
                      <w:tab w:val="left" w:pos="2268"/>
                    </w:tabs>
                    <w:jc w:val="center"/>
                    <w:rPr>
                      <w:szCs w:val="24"/>
                      <w:lang w:eastAsia="lt-LT"/>
                    </w:rPr>
                  </w:pPr>
                  <m:oMath>
                    <m:sSub>
                      <m:sSubPr>
                        <m:ctrlPr>
                          <w:rPr>
                            <w:rFonts w:ascii="Cambria Math" w:hAnsi="Cambria Math"/>
                            <w:i/>
                            <w:szCs w:val="24"/>
                          </w:rPr>
                        </m:ctrlPr>
                      </m:sSubPr>
                      <m:e>
                        <m:r>
                          <w:rPr>
                            <w:rFonts w:ascii="Cambria Math" w:hAnsi="Cambria Math"/>
                            <w:szCs w:val="24"/>
                          </w:rPr>
                          <m:t>DK</m:t>
                        </m:r>
                      </m:e>
                      <m:sub>
                        <m:r>
                          <w:rPr>
                            <w:rFonts w:ascii="Cambria Math" w:hAnsi="Cambria Math"/>
                            <w:szCs w:val="24"/>
                          </w:rPr>
                          <m:t xml:space="preserve"> </m:t>
                        </m:r>
                        <m:r>
                          <w:rPr>
                            <w:rFonts w:ascii="Cambria Math" w:hAnsi="Cambria Math"/>
                            <w:szCs w:val="24"/>
                          </w:rPr>
                          <m:t>t</m:t>
                        </m:r>
                      </m:sub>
                    </m:sSub>
                    <m:r>
                      <w:rPr>
                        <w:rFonts w:ascii="Cambria Math" w:hAnsi="Cambria Math"/>
                        <w:szCs w:val="24"/>
                      </w:rPr>
                      <m:t>=(1+</m:t>
                    </m:r>
                    <m:f>
                      <m:fPr>
                        <m:ctrlPr>
                          <w:rPr>
                            <w:rFonts w:ascii="Cambria Math" w:hAnsi="Cambria Math"/>
                            <w:i/>
                            <w:szCs w:val="24"/>
                          </w:rPr>
                        </m:ctrlPr>
                      </m:fPr>
                      <m:num>
                        <m:r>
                          <w:rPr>
                            <w:rFonts w:ascii="Cambria Math" w:hAnsi="Cambria Math"/>
                            <w:szCs w:val="24"/>
                          </w:rPr>
                          <m:t xml:space="preserve"> </m:t>
                        </m:r>
                        <m:sSub>
                          <m:sSubPr>
                            <m:ctrlPr>
                              <w:rPr>
                                <w:rFonts w:ascii="Cambria Math" w:hAnsi="Cambria Math"/>
                                <w:i/>
                                <w:szCs w:val="24"/>
                              </w:rPr>
                            </m:ctrlPr>
                          </m:sSubPr>
                          <m:e>
                            <m:r>
                              <w:rPr>
                                <w:rFonts w:ascii="Cambria Math" w:hAnsi="Cambria Math"/>
                                <w:szCs w:val="24"/>
                              </w:rPr>
                              <m:t>∆</m:t>
                            </m:r>
                            <m:r>
                              <w:rPr>
                                <w:rFonts w:ascii="Cambria Math" w:hAnsi="Cambria Math"/>
                                <w:szCs w:val="24"/>
                              </w:rPr>
                              <m:t>DU</m:t>
                            </m:r>
                          </m:e>
                          <m:sub>
                            <m:r>
                              <w:rPr>
                                <w:rFonts w:ascii="Cambria Math" w:hAnsi="Cambria Math"/>
                                <w:szCs w:val="24"/>
                              </w:rPr>
                              <m:t xml:space="preserve"> </m:t>
                            </m:r>
                            <m:r>
                              <w:rPr>
                                <w:rFonts w:ascii="Cambria Math" w:hAnsi="Cambria Math"/>
                                <w:szCs w:val="24"/>
                              </w:rPr>
                              <m:t>t</m:t>
                            </m:r>
                          </m:sub>
                        </m:sSub>
                        <m:r>
                          <w:rPr>
                            <w:rFonts w:ascii="Cambria Math" w:hAnsi="Cambria Math"/>
                            <w:szCs w:val="24"/>
                          </w:rPr>
                          <m:t>-</m:t>
                        </m:r>
                        <m:r>
                          <w:rPr>
                            <w:rFonts w:ascii="Cambria Math" w:hAnsi="Cambria Math"/>
                            <w:szCs w:val="24"/>
                          </w:rPr>
                          <m:t>e</m:t>
                        </m:r>
                      </m:num>
                      <m:den>
                        <m:r>
                          <w:rPr>
                            <w:rFonts w:ascii="Cambria Math" w:hAnsi="Cambria Math"/>
                            <w:szCs w:val="24"/>
                          </w:rPr>
                          <m:t>100</m:t>
                        </m:r>
                      </m:den>
                    </m:f>
                    <m:r>
                      <w:rPr>
                        <w:rFonts w:ascii="Cambria Math" w:hAnsi="Cambria Math"/>
                        <w:szCs w:val="24"/>
                      </w:rPr>
                      <m:t>)×</m:t>
                    </m:r>
                    <m:sSub>
                      <m:sSubPr>
                        <m:ctrlPr>
                          <w:rPr>
                            <w:rFonts w:ascii="Cambria Math" w:hAnsi="Cambria Math"/>
                            <w:i/>
                            <w:szCs w:val="24"/>
                          </w:rPr>
                        </m:ctrlPr>
                      </m:sSubPr>
                      <m:e>
                        <m:r>
                          <w:rPr>
                            <w:rFonts w:ascii="Cambria Math" w:hAnsi="Cambria Math"/>
                            <w:szCs w:val="24"/>
                          </w:rPr>
                          <m:t>DK</m:t>
                        </m:r>
                      </m:e>
                      <m:sub>
                        <m:r>
                          <w:rPr>
                            <w:rFonts w:ascii="Cambria Math" w:hAnsi="Cambria Math"/>
                            <w:szCs w:val="24"/>
                          </w:rPr>
                          <m:t xml:space="preserve"> </m:t>
                        </m:r>
                        <m:r>
                          <w:rPr>
                            <w:rFonts w:ascii="Cambria Math" w:hAnsi="Cambria Math"/>
                            <w:szCs w:val="24"/>
                          </w:rPr>
                          <m:t>t</m:t>
                        </m:r>
                        <m:r>
                          <w:rPr>
                            <w:rFonts w:ascii="Cambria Math" w:hAnsi="Cambria Math"/>
                            <w:szCs w:val="24"/>
                          </w:rPr>
                          <m:t>-1</m:t>
                        </m:r>
                      </m:sub>
                    </m:sSub>
                  </m:oMath>
                  <w:r>
                    <w:rPr>
                      <w:szCs w:val="24"/>
                    </w:rPr>
                    <w:tab/>
                    <w:tab/>
                    <w:tab/>
                    <w:t>(64)</w:t>
                  </w:r>
                </w:p>
                <w:p>
                  <w:pPr>
                    <w:tabs>
                      <w:tab w:val="left" w:pos="1134"/>
                      <w:tab w:val="left" w:pos="1843"/>
                      <w:tab w:val="left" w:pos="2268"/>
                    </w:tabs>
                    <w:jc w:val="both"/>
                    <w:rPr>
                      <w:szCs w:val="24"/>
                    </w:rPr>
                  </w:pPr>
                </w:p>
                <w:p>
                  <w:pPr>
                    <w:tabs>
                      <w:tab w:val="left" w:pos="1134"/>
                      <w:tab w:val="left" w:pos="1843"/>
                      <w:tab w:val="left" w:pos="2268"/>
                    </w:tabs>
                    <w:ind w:firstLine="709"/>
                    <w:jc w:val="both"/>
                    <w:rPr>
                      <w:i/>
                      <w:szCs w:val="24"/>
                    </w:rPr>
                  </w:pPr>
                  <w:r>
                    <w:rPr>
                      <w:i/>
                      <w:szCs w:val="24"/>
                    </w:rPr>
                    <w:t>čia:</w:t>
                  </w:r>
                </w:p>
                <w:p>
                  <w:pPr>
                    <w:ind w:firstLine="709"/>
                    <w:jc w:val="both"/>
                    <w:rPr>
                      <w:szCs w:val="24"/>
                      <w:lang w:eastAsia="lt-LT"/>
                    </w:rPr>
                  </w:pPr>
                  <w:r>
                    <w:rPr>
                      <w:szCs w:val="24"/>
                      <w:lang w:eastAsia="lt-LT"/>
                    </w:rPr>
                    <w:t>ΔDU</w:t>
                  </w:r>
                  <w:r>
                    <w:rPr>
                      <w:szCs w:val="24"/>
                      <w:vertAlign w:val="subscript"/>
                      <w:lang w:eastAsia="lt-LT"/>
                    </w:rPr>
                    <w:t>t</w:t>
                  </w:r>
                  <w:r>
                    <w:rPr>
                      <w:szCs w:val="24"/>
                      <w:lang w:eastAsia="lt-LT"/>
                    </w:rPr>
                    <w:t xml:space="preserve"> –vidutinio mėnesinio bruto darbo užmokesčio pokytis metais </w:t>
                  </w:r>
                  <w:r>
                    <w:rPr>
                      <w:i/>
                      <w:szCs w:val="24"/>
                      <w:lang w:eastAsia="lt-LT"/>
                    </w:rPr>
                    <w:t xml:space="preserve">t </w:t>
                  </w:r>
                  <w:r>
                    <w:rPr>
                      <w:szCs w:val="24"/>
                      <w:lang w:eastAsia="lt-LT"/>
                    </w:rPr>
                    <w:t xml:space="preserve">lyginant su atitinkamu indeksu metais </w:t>
                  </w:r>
                  <w:r>
                    <w:rPr>
                      <w:i/>
                      <w:szCs w:val="24"/>
                      <w:lang w:eastAsia="lt-LT"/>
                    </w:rPr>
                    <w:t>t-1</w:t>
                  </w:r>
                  <w:r>
                    <w:rPr>
                      <w:szCs w:val="24"/>
                      <w:lang w:eastAsia="lt-LT"/>
                    </w:rPr>
                    <w:t xml:space="preserve">, %. Jis nustatomas pagal  Finansų ministerijos skelbiamus naujausius duomenis; </w:t>
                  </w:r>
                </w:p>
                <w:p>
                  <w:pPr>
                    <w:tabs>
                      <w:tab w:val="left" w:pos="1134"/>
                    </w:tabs>
                    <w:ind w:firstLine="709"/>
                    <w:jc w:val="both"/>
                  </w:pPr>
                  <w:r>
                    <w:rPr>
                      <w:szCs w:val="24"/>
                      <w:lang w:eastAsia="lt-LT"/>
                    </w:rPr>
                    <w:t>e – efektyvumo koeficientas, %;</w:t>
                  </w:r>
                </w:p>
                <w:p>
                  <w:pPr>
                    <w:tabs>
                      <w:tab w:val="left" w:pos="1134"/>
                      <w:tab w:val="left" w:pos="1843"/>
                      <w:tab w:val="left" w:pos="2268"/>
                    </w:tabs>
                    <w:ind w:firstLine="709"/>
                    <w:jc w:val="both"/>
                    <w:rPr>
                      <w:szCs w:val="24"/>
                    </w:rPr>
                  </w:pPr>
                  <w:r>
                    <w:rPr>
                      <w:szCs w:val="24"/>
                    </w:rPr>
                    <w:t>DK</w:t>
                  </w:r>
                  <w:r>
                    <w:rPr>
                      <w:szCs w:val="24"/>
                      <w:vertAlign w:val="subscript"/>
                    </w:rPr>
                    <w:t>t-1</w:t>
                  </w:r>
                  <w:r>
                    <w:rPr>
                      <w:szCs w:val="24"/>
                    </w:rPr>
                    <w:t xml:space="preserve"> – </w:t>
                  </w:r>
                  <w:r>
                    <w:rPr>
                      <w:i/>
                      <w:szCs w:val="24"/>
                    </w:rPr>
                    <w:t>t-1</w:t>
                  </w:r>
                  <w:r>
                    <w:rPr>
                      <w:szCs w:val="24"/>
                    </w:rPr>
                    <w:t xml:space="preserve"> metų darbo užmokesčio koregavimo koeficientas. Pirmųjų naujojo reguliavimo periodo metų darbo užmokesčio koregavimo koeficientas lygus vienetui.</w:t>
                  </w:r>
                </w:p>
                <w:p>
                  <w:pPr>
                    <w:jc w:val="both"/>
                    <w:rPr>
                      <w:szCs w:val="24"/>
                    </w:rPr>
                  </w:pPr>
                  <w:r>
                    <w:rPr>
                      <w:b/>
                      <w:i/>
                      <w:sz w:val="20"/>
                    </w:rPr>
                    <w:t>TAR pastaba.</w:t>
                  </w:r>
                  <w:r>
                    <w:rPr>
                      <w:i/>
                      <w:sz w:val="20"/>
                    </w:rPr>
                    <w:t xml:space="preserve"> 101 punkto nuostatose nurodyti Metodikos pakeitimai įmonėms, besiverčiančioms skirstymo ir visuomeninio tiekimo veiklomis, kurių veiklos teritorijoje esančių vartotojų skaičius mažesnis nei 100 tūkstančių, taikomi nustatant arba koreguojant 2019 m. ir vėlesnių metų kainų viršutines ribas.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sdtContent>
            </w:sdt>
            <w:sdt>
              <w:sdtPr>
                <w:alias w:val="102 p."/>
                <w:tag w:val="part_ea32d233b43f4513b5fc6ca23194beca"/>
                <w:lock w:val="sdtLocked"/>
                <w:richText/>
              </w:sdtPr>
              <w:sdtContent>
                <w:p>
                  <w:pPr>
                    <w:tabs>
                      <w:tab w:val="left" w:pos="1260"/>
                      <w:tab w:val="left" w:pos="1843"/>
                      <w:tab w:val="left" w:pos="2268"/>
                    </w:tabs>
                    <w:suppressAutoHyphens/>
                    <w:ind w:firstLine="720"/>
                    <w:jc w:val="both"/>
                    <w:rPr>
                      <w:szCs w:val="24"/>
                    </w:rPr>
                  </w:pPr>
                  <w:sdt>
                    <w:sdtPr>
                      <w:alias w:val="Numeris"/>
                      <w:tag w:val="nr_ea32d233b43f4513b5fc6ca23194beca"/>
                      <w:lock w:val="sdtLocked"/>
                      <w:richText/>
                    </w:sdtPr>
                    <w:sdtContent>
                      <w:r>
                        <w:rPr>
                          <w:szCs w:val="24"/>
                        </w:rPr>
                        <w:t>102</w:t>
                      </w:r>
                    </w:sdtContent>
                  </w:sdt>
                  <w:r>
                    <w:rPr>
                      <w:szCs w:val="24"/>
                    </w:rPr>
                    <w:t xml:space="preserve">. Koreguota </w:t>
                  </w:r>
                  <w:r>
                    <w:rPr>
                      <w:i/>
                      <w:szCs w:val="24"/>
                    </w:rPr>
                    <w:t>t</w:t>
                  </w:r>
                  <w:r>
                    <w:rPr>
                      <w:szCs w:val="24"/>
                    </w:rPr>
                    <w:t xml:space="preserve"> metų elektros energijos visuomeninio tiekimo paslaugos kainos viršutinė riba apskaičiuojama pagal formulę:</w:t>
                  </w:r>
                </w:p>
                <w:p>
                  <w:pPr>
                    <w:rPr>
                      <w:szCs w:val="24"/>
                    </w:rPr>
                  </w:pPr>
                </w:p>
                <w:p>
                  <w:pPr>
                    <w:tabs>
                      <w:tab w:val="left" w:pos="1134"/>
                    </w:tabs>
                    <w:jc w:val="center"/>
                    <w:rPr>
                      <w:szCs w:val="24"/>
                    </w:rPr>
                  </w:pPr>
                  <m:oMath>
                    <m:sSubSup>
                      <m:sSubSupPr>
                        <m:ctrlPr>
                          <w:rPr>
                            <w:rFonts w:ascii="Cambria Math" w:hAnsi="Cambria Math"/>
                            <w:i/>
                            <w:szCs w:val="24"/>
                          </w:rPr>
                        </m:ctrlPr>
                      </m:sSubSupPr>
                      <m:e>
                        <m:r>
                          <w:rPr>
                            <w:rFonts w:ascii="Cambria Math" w:hAnsi="Cambria Math"/>
                            <w:szCs w:val="24"/>
                          </w:rPr>
                          <m:t>T</m:t>
                        </m:r>
                      </m:e>
                      <m:sub>
                        <m:r>
                          <w:rPr>
                            <w:rFonts w:ascii="Cambria Math" w:hAnsi="Cambria Math"/>
                            <w:szCs w:val="24"/>
                          </w:rPr>
                          <m:t>vt</m:t>
                        </m:r>
                        <m:r>
                          <w:rPr>
                            <w:rFonts w:ascii="Cambria Math" w:hAnsi="Cambria Math"/>
                            <w:szCs w:val="24"/>
                          </w:rPr>
                          <m:t>,</m:t>
                        </m:r>
                        <m:r>
                          <w:rPr>
                            <w:rFonts w:ascii="Cambria Math" w:hAnsi="Cambria Math"/>
                            <w:szCs w:val="24"/>
                          </w:rPr>
                          <m:t>t</m:t>
                        </m:r>
                      </m:sub>
                      <m:sup>
                        <m:r>
                          <w:rPr>
                            <w:rFonts w:ascii="Cambria Math" w:hAnsi="Cambria Math"/>
                            <w:szCs w:val="24"/>
                          </w:rPr>
                          <m:t>'</m:t>
                        </m:r>
                      </m:sup>
                    </m:sSubSup>
                    <m:r>
                      <w:rPr>
                        <w:rFonts w:ascii="Cambria Math" w:hAnsi="Cambria Math"/>
                        <w:szCs w:val="24"/>
                      </w:rPr>
                      <m:t>=</m:t>
                    </m:r>
                    <m:f>
                      <m:fPr>
                        <m:ctrlPr>
                          <w:rPr>
                            <w:rFonts w:ascii="Cambria Math" w:hAnsi="Cambria Math"/>
                            <w:i/>
                            <w:szCs w:val="24"/>
                          </w:rPr>
                        </m:ctrlPr>
                      </m:fPr>
                      <m:num>
                        <m:sSub>
                          <m:sSubPr>
                            <m:ctrlPr>
                              <w:rPr>
                                <w:rFonts w:ascii="Cambria Math" w:hAnsi="Cambria Math"/>
                                <w:i/>
                                <w:szCs w:val="24"/>
                              </w:rPr>
                            </m:ctrlPr>
                          </m:sSubPr>
                          <m:e>
                            <m:r>
                              <w:rPr>
                                <w:rFonts w:ascii="Cambria Math" w:hAnsi="Cambria Math"/>
                                <w:szCs w:val="24"/>
                              </w:rPr>
                              <m:t>P</m:t>
                            </m:r>
                            <m:r>
                              <w:rPr>
                                <w:rFonts w:ascii="Cambria Math" w:hAnsi="Cambria Math"/>
                                <w:szCs w:val="24"/>
                              </w:rPr>
                              <m:t>'</m:t>
                            </m:r>
                          </m:e>
                          <m:sub>
                            <m:r>
                              <w:rPr>
                                <w:rFonts w:ascii="Cambria Math" w:hAnsi="Cambria Math"/>
                                <w:szCs w:val="24"/>
                              </w:rPr>
                              <m:t>vt</m:t>
                            </m:r>
                            <m:r>
                              <w:rPr>
                                <w:rFonts w:ascii="Cambria Math" w:hAnsi="Cambria Math"/>
                                <w:szCs w:val="24"/>
                              </w:rPr>
                              <m:t>,</m:t>
                            </m:r>
                            <m:r>
                              <w:rPr>
                                <w:rFonts w:ascii="Cambria Math" w:hAnsi="Cambria Math"/>
                                <w:szCs w:val="24"/>
                              </w:rPr>
                              <m:t>t</m:t>
                            </m:r>
                          </m:sub>
                        </m:sSub>
                      </m:num>
                      <m:den>
                        <m:sSub>
                          <m:sSubPr>
                            <m:ctrlPr>
                              <w:rPr>
                                <w:rFonts w:ascii="Cambria Math" w:hAnsi="Cambria Math"/>
                                <w:i/>
                                <w:szCs w:val="24"/>
                              </w:rPr>
                            </m:ctrlPr>
                          </m:sSubPr>
                          <m:e>
                            <m:r>
                              <w:rPr>
                                <w:rFonts w:ascii="Cambria Math" w:hAnsi="Cambria Math"/>
                                <w:szCs w:val="24"/>
                              </w:rPr>
                              <m:t>E</m:t>
                            </m:r>
                          </m:e>
                          <m:sub>
                            <m:r>
                              <w:rPr>
                                <w:rFonts w:ascii="Cambria Math" w:hAnsi="Cambria Math"/>
                                <w:szCs w:val="24"/>
                              </w:rPr>
                              <m:t>v</m:t>
                            </m:r>
                            <m:r>
                              <w:rPr>
                                <w:rFonts w:ascii="Cambria Math" w:hAnsi="Cambria Math"/>
                                <w:szCs w:val="24"/>
                              </w:rPr>
                              <m:t>t</m:t>
                            </m:r>
                            <m:r>
                              <w:rPr>
                                <w:rFonts w:ascii="Cambria Math" w:hAnsi="Cambria Math"/>
                                <w:szCs w:val="24"/>
                              </w:rPr>
                              <m:t>,</m:t>
                            </m:r>
                            <m:r>
                              <w:rPr>
                                <w:rFonts w:ascii="Cambria Math" w:hAnsi="Cambria Math"/>
                                <w:szCs w:val="24"/>
                              </w:rPr>
                              <m:t>t</m:t>
                            </m:r>
                          </m:sub>
                        </m:sSub>
                      </m:den>
                    </m:f>
                    <m:r>
                      <w:rPr>
                        <w:rFonts w:ascii="Cambria Math" w:hAnsi="Cambria Math"/>
                        <w:szCs w:val="24"/>
                      </w:rPr>
                      <m:t>×100</m:t>
                    </m:r>
                  </m:oMath>
                  <w:r>
                    <w:rPr>
                      <w:szCs w:val="24"/>
                    </w:rPr>
                    <w:tab/>
                    <w:tab/>
                    <w:tab/>
                    <w:tab/>
                    <w:t>(64</w:t>
                  </w:r>
                  <w:r>
                    <w:rPr>
                      <w:szCs w:val="24"/>
                      <w:vertAlign w:val="superscript"/>
                    </w:rPr>
                    <w:t>1</w:t>
                  </w:r>
                  <w:r>
                    <w:rPr>
                      <w:szCs w:val="24"/>
                    </w:rPr>
                    <w:t>)</w:t>
                  </w:r>
                </w:p>
                <w:p>
                  <w:pPr>
                    <w:rPr>
                      <w:szCs w:val="24"/>
                    </w:rPr>
                  </w:pPr>
                </w:p>
                <w:p>
                  <w:pPr>
                    <w:tabs>
                      <w:tab w:val="left" w:pos="1134"/>
                      <w:tab w:val="left" w:pos="1843"/>
                      <w:tab w:val="left" w:pos="2268"/>
                    </w:tabs>
                    <w:ind w:firstLine="709"/>
                    <w:jc w:val="both"/>
                    <w:rPr>
                      <w:i/>
                      <w:szCs w:val="24"/>
                    </w:rPr>
                  </w:pPr>
                  <w:r>
                    <w:rPr>
                      <w:i/>
                      <w:szCs w:val="24"/>
                    </w:rPr>
                    <w:t>čia:</w:t>
                  </w:r>
                </w:p>
                <w:p>
                  <w:pPr>
                    <w:tabs>
                      <w:tab w:val="left" w:pos="1134"/>
                      <w:tab w:val="left" w:pos="1843"/>
                      <w:tab w:val="left" w:pos="2268"/>
                    </w:tabs>
                    <w:ind w:firstLine="709"/>
                    <w:jc w:val="both"/>
                    <w:rPr>
                      <w:szCs w:val="24"/>
                    </w:rPr>
                  </w:pPr>
                  <w:r>
                    <w:rPr>
                      <w:szCs w:val="24"/>
                    </w:rPr>
                    <w:t>T‘</w:t>
                  </w:r>
                  <w:r>
                    <w:rPr>
                      <w:szCs w:val="24"/>
                      <w:vertAlign w:val="subscript"/>
                    </w:rPr>
                    <w:t>vt,t</w:t>
                  </w:r>
                  <w:r>
                    <w:rPr>
                      <w:szCs w:val="24"/>
                    </w:rPr>
                    <w:t xml:space="preserve"> – koreguota </w:t>
                  </w:r>
                  <w:r>
                    <w:rPr>
                      <w:i/>
                      <w:szCs w:val="24"/>
                    </w:rPr>
                    <w:t xml:space="preserve">t </w:t>
                  </w:r>
                  <w:r>
                    <w:rPr>
                      <w:szCs w:val="24"/>
                    </w:rPr>
                    <w:t>metų elektros energijos visuomeninio tiekimo paslaugos kainos viršutinė riba, ct/kWh;</w:t>
                  </w:r>
                </w:p>
                <w:p>
                  <w:pPr>
                    <w:tabs>
                      <w:tab w:val="left" w:pos="1134"/>
                      <w:tab w:val="left" w:pos="1843"/>
                      <w:tab w:val="left" w:pos="2268"/>
                    </w:tabs>
                    <w:ind w:firstLine="709"/>
                    <w:jc w:val="both"/>
                    <w:rPr>
                      <w:szCs w:val="24"/>
                    </w:rPr>
                  </w:pPr>
                  <w:r>
                    <w:rPr>
                      <w:szCs w:val="24"/>
                    </w:rPr>
                    <w:t>P‘</w:t>
                  </w:r>
                  <w:r>
                    <w:rPr>
                      <w:szCs w:val="24"/>
                      <w:vertAlign w:val="subscript"/>
                    </w:rPr>
                    <w:t>vt,t</w:t>
                  </w:r>
                  <w:r>
                    <w:rPr>
                      <w:szCs w:val="24"/>
                    </w:rPr>
                    <w:t xml:space="preserve"> – koreguotos </w:t>
                  </w:r>
                  <w:r>
                    <w:rPr>
                      <w:i/>
                      <w:szCs w:val="24"/>
                    </w:rPr>
                    <w:t>t</w:t>
                  </w:r>
                  <w:r>
                    <w:rPr>
                      <w:szCs w:val="24"/>
                    </w:rPr>
                    <w:t xml:space="preserve"> metų visuomeninio tiekėjo leidžiamos pajamos, EUR;</w:t>
                  </w:r>
                </w:p>
                <w:p>
                  <w:pPr>
                    <w:tabs>
                      <w:tab w:val="left" w:pos="1134"/>
                      <w:tab w:val="left" w:pos="1843"/>
                      <w:tab w:val="left" w:pos="2268"/>
                    </w:tabs>
                    <w:ind w:firstLine="709"/>
                    <w:rPr>
                      <w:szCs w:val="24"/>
                    </w:rPr>
                  </w:pPr>
                  <w:r>
                    <w:rPr>
                      <w:szCs w:val="24"/>
                    </w:rPr>
                    <w:t>E</w:t>
                  </w:r>
                  <w:r>
                    <w:rPr>
                      <w:szCs w:val="24"/>
                      <w:vertAlign w:val="subscript"/>
                    </w:rPr>
                    <w:t xml:space="preserve">vt,t </w:t>
                  </w:r>
                  <w:r>
                    <w:rPr>
                      <w:szCs w:val="24"/>
                    </w:rPr>
                    <w:t xml:space="preserve">– visuomeninio tiekėjo prognozuojamas parduoti elektros energijos kiekis </w:t>
                  </w:r>
                  <w:r>
                    <w:rPr>
                      <w:i/>
                      <w:szCs w:val="24"/>
                    </w:rPr>
                    <w:t xml:space="preserve">t </w:t>
                  </w:r>
                  <w:r>
                    <w:rPr>
                      <w:szCs w:val="24"/>
                    </w:rPr>
                    <w:t>metais, kWh.</w:t>
                  </w:r>
                </w:p>
                <w:p>
                  <w:pPr>
                    <w:jc w:val="both"/>
                    <w:rPr>
                      <w:szCs w:val="24"/>
                    </w:rPr>
                  </w:pPr>
                  <w:r>
                    <w:rPr>
                      <w:b/>
                      <w:i/>
                      <w:sz w:val="20"/>
                    </w:rPr>
                    <w:t>TAR pastaba.</w:t>
                  </w:r>
                  <w:r>
                    <w:rPr>
                      <w:i/>
                      <w:sz w:val="20"/>
                    </w:rPr>
                    <w:t xml:space="preserve"> 102 punkto nuostatose nurodyti Metodikos pakeitimai įmonėms, besiverčiančioms skirstymo ir visuomeninio tiekimo veiklomis, kurių veiklos teritorijoje esančių vartotojų skaičius mažesnis nei 100 tūkstančių, taikomi nustatant arba koreguojant 2019 m. ir vėlesnių metų kainų viršutines ribas.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sdtContent>
            </w:sdt>
            <w:sdt>
              <w:sdtPr>
                <w:alias w:val="103 p."/>
                <w:tag w:val="part_ede463a36afb4459a68c93bd063d6111"/>
                <w:lock w:val="sdtLocked"/>
                <w:richText/>
              </w:sdtPr>
              <w:sdtContent>
                <w:p>
                  <w:pPr>
                    <w:pStyle w:val="PlainText"/>
                    <w:ind w:firstLine="567"/>
                    <w:jc w:val="both"/>
                    <w:rPr>
                      <w:rFonts w:ascii="Times New Roman" w:hAnsi="Times New Roman"/>
                      <w:b/>
                      <w:bCs/>
                      <w:sz w:val="22"/>
                    </w:rPr>
                  </w:pPr>
                  <w:r>
                    <w:rPr>
                      <w:rFonts w:ascii="Times New Roman" w:hAnsi="Times New Roman"/>
                      <w:sz w:val="22"/>
                    </w:rPr>
                    <w:t>103</w:t>
                  </w:r>
                  <w:r>
                    <w:rPr>
                      <w:rFonts w:ascii="Times New Roman" w:hAnsi="Times New Roman"/>
                      <w:sz w:val="22"/>
                    </w:rPr>
                    <w:t>.</w:t>
                  </w:r>
                  <w:r>
                    <w:rPr>
                      <w:rFonts w:ascii="Times New Roman" w:eastAsia="MS Mincho" w:hAnsi="Times New Roman"/>
                      <w:sz w:val="20"/>
                      <w:i/>
                      <w:iCs/>
                    </w:rPr>
                    <w:t xml:space="preserve"> Neteko galios nuo 2017-09-16</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sdtContent>
            </w:sdt>
            <w:sdt>
              <w:sdtPr>
                <w:alias w:val="104 p."/>
                <w:tag w:val="part_08559cafabf34b0fbf6539936f77c95f"/>
                <w:lock w:val="sdtLocked"/>
                <w:richText/>
              </w:sdtPr>
              <w:sdtContent>
                <w:p>
                  <w:pPr>
                    <w:pStyle w:val="PlainText"/>
                    <w:ind w:firstLine="567"/>
                    <w:jc w:val="both"/>
                    <w:rPr>
                      <w:rFonts w:ascii="Times New Roman" w:hAnsi="Times New Roman"/>
                      <w:b/>
                      <w:bCs/>
                      <w:sz w:val="22"/>
                    </w:rPr>
                  </w:pPr>
                  <w:r>
                    <w:rPr>
                      <w:rFonts w:ascii="Times New Roman" w:hAnsi="Times New Roman"/>
                      <w:sz w:val="22"/>
                    </w:rPr>
                    <w:t>104</w:t>
                  </w:r>
                  <w:r>
                    <w:rPr>
                      <w:rFonts w:ascii="Times New Roman" w:hAnsi="Times New Roman"/>
                      <w:sz w:val="22"/>
                    </w:rPr>
                    <w:t>.</w:t>
                  </w:r>
                  <w:r>
                    <w:rPr>
                      <w:rFonts w:ascii="Times New Roman" w:eastAsia="MS Mincho" w:hAnsi="Times New Roman"/>
                      <w:sz w:val="20"/>
                      <w:i/>
                      <w:iCs/>
                    </w:rPr>
                    <w:t xml:space="preserve"> Neteko galios nuo 2017-09-16</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sdtContent>
            </w:sdt>
            <w:sdt>
              <w:sdtPr>
                <w:alias w:val="105 p."/>
                <w:tag w:val="part_b02290178f604653995d31813d2211d5"/>
                <w:lock w:val="sdtLocked"/>
                <w:richText/>
              </w:sdtPr>
              <w:sdtContent>
                <w:p>
                  <w:pPr>
                    <w:pStyle w:val="PlainText"/>
                    <w:ind w:firstLine="567"/>
                    <w:jc w:val="both"/>
                    <w:rPr>
                      <w:rFonts w:ascii="Times New Roman" w:hAnsi="Times New Roman"/>
                      <w:b/>
                      <w:bCs/>
                      <w:sz w:val="22"/>
                    </w:rPr>
                  </w:pPr>
                  <w:r>
                    <w:rPr>
                      <w:rFonts w:ascii="Times New Roman" w:hAnsi="Times New Roman"/>
                      <w:sz w:val="22"/>
                    </w:rPr>
                    <w:t>105</w:t>
                  </w:r>
                  <w:r>
                    <w:rPr>
                      <w:rFonts w:ascii="Times New Roman" w:hAnsi="Times New Roman"/>
                      <w:sz w:val="22"/>
                    </w:rPr>
                    <w:t>.</w:t>
                  </w:r>
                  <w:r>
                    <w:rPr>
                      <w:rFonts w:ascii="Times New Roman" w:eastAsia="MS Mincho" w:hAnsi="Times New Roman"/>
                      <w:sz w:val="20"/>
                      <w:i/>
                      <w:iCs/>
                    </w:rPr>
                    <w:t xml:space="preserve"> Neteko galios nuo 2017-09-16</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sdtContent>
            </w:sdt>
            <w:sdt>
              <w:sdtPr>
                <w:alias w:val="106 p."/>
                <w:tag w:val="part_529a6f04b39b49bb93a83ad0a1c9bc16"/>
                <w:lock w:val="sdtLocked"/>
                <w:richText/>
              </w:sdtPr>
              <w:sdtContent>
                <w:p>
                  <w:pPr>
                    <w:pStyle w:val="PlainText"/>
                    <w:ind w:firstLine="567"/>
                    <w:jc w:val="both"/>
                    <w:rPr>
                      <w:rFonts w:ascii="Times New Roman" w:hAnsi="Times New Roman"/>
                      <w:b/>
                      <w:bCs/>
                      <w:sz w:val="22"/>
                    </w:rPr>
                  </w:pPr>
                  <w:r>
                    <w:rPr>
                      <w:rFonts w:ascii="Times New Roman" w:hAnsi="Times New Roman"/>
                      <w:sz w:val="22"/>
                    </w:rPr>
                    <w:t>106</w:t>
                  </w:r>
                  <w:r>
                    <w:rPr>
                      <w:rFonts w:ascii="Times New Roman" w:hAnsi="Times New Roman"/>
                      <w:sz w:val="22"/>
                    </w:rPr>
                    <w:t>.</w:t>
                  </w:r>
                  <w:r>
                    <w:rPr>
                      <w:rFonts w:ascii="Times New Roman" w:eastAsia="MS Mincho" w:hAnsi="Times New Roman"/>
                      <w:sz w:val="20"/>
                      <w:i/>
                      <w:iCs/>
                    </w:rPr>
                    <w:t xml:space="preserve"> Neteko galios nuo 2017-09-16</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sdtContent>
            </w:sdt>
          </w:sdtContent>
        </w:sdt>
        <w:sdt>
          <w:sdtPr>
            <w:alias w:val="skyrius"/>
            <w:tag w:val="part_8d0ecf0a66b14fc9891da7927436df7a"/>
            <w:lock w:val="sdtLocked"/>
            <w:richText/>
          </w:sdtPr>
          <w:sdtContent>
            <w:p>
              <w:pPr>
                <w:tabs>
                  <w:tab w:val="left" w:pos="1134"/>
                  <w:tab w:val="left" w:pos="1843"/>
                  <w:tab w:val="left" w:pos="2268"/>
                </w:tabs>
                <w:jc w:val="center"/>
                <w:rPr>
                  <w:b/>
                  <w:szCs w:val="24"/>
                </w:rPr>
              </w:pPr>
              <w:sdt>
                <w:sdtPr>
                  <w:alias w:val="Numeris"/>
                  <w:tag w:val="nr_8d0ecf0a66b14fc9891da7927436df7a"/>
                  <w:lock w:val="sdtLocked"/>
                  <w:richText/>
                </w:sdtPr>
                <w:sdtContent>
                  <w:r>
                    <w:rPr>
                      <w:b/>
                      <w:szCs w:val="24"/>
                    </w:rPr>
                    <w:t>VI</w:t>
                  </w:r>
                </w:sdtContent>
              </w:sdt>
              <w:r>
                <w:rPr>
                  <w:b/>
                  <w:szCs w:val="24"/>
                </w:rPr>
                <w:t xml:space="preserve"> SKYRIUS</w:t>
              </w:r>
            </w:p>
            <w:p>
              <w:pPr>
                <w:tabs>
                  <w:tab w:val="left" w:pos="1134"/>
                  <w:tab w:val="left" w:pos="1843"/>
                  <w:tab w:val="left" w:pos="2268"/>
                </w:tabs>
                <w:jc w:val="center"/>
                <w:rPr>
                  <w:szCs w:val="24"/>
                </w:rPr>
              </w:pPr>
              <w:sdt>
                <w:sdtPr>
                  <w:alias w:val="Pavadinimas"/>
                  <w:tag w:val="title_8d0ecf0a66b14fc9891da7927436df7a"/>
                  <w:lock w:val="sdtLocked"/>
                  <w:richText/>
                </w:sdtPr>
                <w:sdtContent>
                  <w:r>
                    <w:rPr>
                      <w:b/>
                      <w:szCs w:val="24"/>
                    </w:rPr>
                    <w:t>VISUOMENINIŲ KAINŲ VIRŠUTINIŲ RIBŲ NUSTATYMAS</w:t>
                  </w:r>
                </w:sdtContent>
              </w:sdt>
            </w:p>
            <w:p>
              <w:pPr>
                <w:tabs>
                  <w:tab w:val="left" w:pos="1134"/>
                  <w:tab w:val="left" w:pos="1843"/>
                  <w:tab w:val="left" w:pos="2268"/>
                </w:tabs>
                <w:ind w:firstLine="567"/>
                <w:jc w:val="both"/>
                <w:rPr>
                  <w:szCs w:val="24"/>
                </w:rPr>
              </w:pPr>
            </w:p>
            <w:p>
              <w:pPr>
                <w:tabs>
                  <w:tab w:val="left" w:pos="1134"/>
                  <w:tab w:val="left" w:pos="1843"/>
                  <w:tab w:val="left" w:pos="2268"/>
                </w:tabs>
                <w:ind w:firstLine="567"/>
                <w:jc w:val="both"/>
                <w:rPr>
                  <w:szCs w:val="24"/>
                </w:rPr>
              </w:pPr>
            </w:p>
            <w:sdt>
              <w:sdtPr>
                <w:alias w:val="107 p."/>
                <w:tag w:val="part_fb2de30101a04372ab38fa703303e64e"/>
                <w:lock w:val="sdtLocked"/>
                <w:richText/>
              </w:sdtPr>
              <w:sdtContent>
                <w:p>
                  <w:pPr>
                    <w:ind w:firstLine="720"/>
                    <w:jc w:val="both"/>
                    <w:rPr>
                      <w:color w:val="000000"/>
                      <w:szCs w:val="24"/>
                      <w:lang w:eastAsia="lt-LT"/>
                    </w:rPr>
                  </w:pPr>
                  <w:sdt>
                    <w:sdtPr>
                      <w:alias w:val="Numeris"/>
                      <w:tag w:val="nr_fb2de30101a04372ab38fa703303e64e"/>
                      <w:lock w:val="sdtLocked"/>
                      <w:richText/>
                    </w:sdtPr>
                    <w:sdtContent>
                      <w:r>
                        <w:rPr>
                          <w:color w:val="000000"/>
                          <w:szCs w:val="24"/>
                          <w:lang w:eastAsia="lt-LT"/>
                        </w:rPr>
                        <w:t>107</w:t>
                      </w:r>
                    </w:sdtContent>
                  </w:sdt>
                  <w:r>
                    <w:rPr>
                      <w:color w:val="000000"/>
                      <w:szCs w:val="24"/>
                      <w:lang w:eastAsia="lt-LT"/>
                    </w:rPr>
                    <w:t>. Vartotojams, kuriems pagal Elektros energetikos įstatymą ir kitus teisės aktus visuomeninis tiekėjas privalo tiekti elektros energiją, visuomeninės elektros energijos kainos viršutinė riba skaičiuojama sumuojant elektros energijos įsigijimo kainą, visuomeninio tiekimo paslaugos, perdavimo paslaugos AĮ tinklais kainos viršutinę ribą, sisteminių paslaugų, VIAP kainas ir skirstymo paslaugų, priklausomai nuo to, iš kurios įtampos tinklų vartotojas gauna elektros energiją, kainų viršutines ribas. Visuomeninių elektros energijos kainų viršutinės ribos papildomai įvertina reguliavimo svertus, pavyzdžiui, elektros energijos įsigijimo kainos pokytį, ir apskaičiuojamos pagal formulę:</w:t>
                  </w:r>
                </w:p>
                <w:p>
                  <w:pPr>
                    <w:jc w:val="both"/>
                    <w:rPr>
                      <w:color w:val="000000"/>
                      <w:szCs w:val="24"/>
                      <w:lang w:eastAsia="lt-LT"/>
                    </w:rPr>
                  </w:pPr>
                </w:p>
                <w:p>
                  <w:pPr>
                    <w:ind w:firstLine="248"/>
                    <w:jc w:val="both"/>
                    <w:rPr>
                      <w:color w:val="000000"/>
                      <w:szCs w:val="24"/>
                      <w:lang w:eastAsia="lt-LT"/>
                    </w:rPr>
                  </w:pPr>
                  <m:oMath>
                    <m:sSubSup>
                      <m:sSubSupPr>
                        <m:ctrlPr>
                          <w:rPr>
                            <w:rFonts w:ascii="Cambria Math" w:hAnsi="Cambria Math"/>
                            <w:bCs/>
                            <w:i/>
                            <w:color w:val="000000"/>
                            <w:szCs w:val="24"/>
                            <w:lang w:eastAsia="lt-LT"/>
                          </w:rPr>
                        </m:ctrlPr>
                      </m:sSubSupPr>
                      <m:e>
                        <m:r>
                          <w:rPr>
                            <w:rFonts w:ascii="Cambria Math" w:hAnsi="Cambria Math"/>
                            <w:color w:val="000000"/>
                            <w:szCs w:val="24"/>
                            <w:lang w:eastAsia="lt-LT"/>
                          </w:rPr>
                          <m:t>VT</m:t>
                        </m:r>
                      </m:e>
                      <m:sub>
                        <m:d>
                          <m:dPr>
                            <m:ctrlPr>
                              <w:rPr>
                                <w:rFonts w:ascii="Cambria Math" w:hAnsi="Cambria Math"/>
                                <w:bCs/>
                                <w:i/>
                                <w:color w:val="000000"/>
                                <w:szCs w:val="24"/>
                                <w:lang w:eastAsia="lt-LT"/>
                              </w:rPr>
                            </m:ctrlPr>
                          </m:dPr>
                          <m:e>
                            <m:r>
                              <w:rPr>
                                <w:rFonts w:ascii="Cambria Math" w:hAnsi="Cambria Math"/>
                                <w:color w:val="000000"/>
                                <w:szCs w:val="24"/>
                                <w:lang w:eastAsia="lt-LT"/>
                              </w:rPr>
                              <m:t>10,04</m:t>
                            </m:r>
                          </m:e>
                        </m:d>
                        <m:r>
                          <w:rPr>
                            <w:rFonts w:ascii="Cambria Math" w:hAnsi="Cambria Math"/>
                            <w:color w:val="000000"/>
                            <w:szCs w:val="24"/>
                            <w:lang w:eastAsia="lt-LT"/>
                          </w:rPr>
                          <m:t>t</m:t>
                        </m:r>
                      </m:sub>
                      <m:sup>
                        <m:r>
                          <w:rPr>
                            <w:rFonts w:ascii="Cambria Math" w:hAnsi="Cambria Math"/>
                            <w:color w:val="000000"/>
                            <w:szCs w:val="24"/>
                            <w:lang w:eastAsia="lt-LT"/>
                          </w:rPr>
                          <m:t>'</m:t>
                        </m:r>
                      </m:sup>
                    </m:sSubSup>
                    <m:r>
                      <w:rPr>
                        <w:rFonts w:ascii="Cambria Math" w:hAnsi="Cambria Math"/>
                        <w:color w:val="000000"/>
                        <w:szCs w:val="24"/>
                        <w:lang w:val="en-US" w:eastAsia="lt-LT"/>
                      </w:rPr>
                      <m:t>=</m:t>
                    </m:r>
                    <m:sSub>
                      <m:sSubPr>
                        <m:ctrlPr>
                          <w:rPr>
                            <w:rFonts w:ascii="Cambria Math" w:hAnsi="Cambria Math"/>
                            <w:bCs/>
                            <w:i/>
                            <w:color w:val="000000"/>
                            <w:szCs w:val="24"/>
                            <w:lang w:val="en-US" w:eastAsia="lt-LT"/>
                          </w:rPr>
                        </m:ctrlPr>
                      </m:sSubPr>
                      <m:e>
                        <m:r>
                          <w:rPr>
                            <w:rFonts w:ascii="Cambria Math" w:hAnsi="Cambria Math"/>
                            <w:color w:val="000000"/>
                            <w:szCs w:val="24"/>
                            <w:lang w:val="en-US" w:eastAsia="lt-LT"/>
                          </w:rPr>
                          <m:t>T</m:t>
                        </m:r>
                      </m:e>
                      <m:sub>
                        <m:r>
                          <w:rPr>
                            <w:rFonts w:ascii="Cambria Math" w:hAnsi="Cambria Math"/>
                            <w:color w:val="000000"/>
                            <w:szCs w:val="24"/>
                            <w:lang w:val="en-US" w:eastAsia="lt-LT"/>
                          </w:rPr>
                          <m:t>g</m:t>
                        </m:r>
                        <m:r>
                          <w:rPr>
                            <w:rFonts w:ascii="Cambria Math" w:hAnsi="Cambria Math"/>
                            <w:color w:val="000000"/>
                            <w:szCs w:val="24"/>
                            <w:lang w:val="en-US" w:eastAsia="lt-LT"/>
                          </w:rPr>
                          <m:t>,</m:t>
                        </m:r>
                        <m:r>
                          <w:rPr>
                            <w:rFonts w:ascii="Cambria Math" w:hAnsi="Cambria Math"/>
                            <w:color w:val="000000"/>
                            <w:szCs w:val="24"/>
                            <w:lang w:val="en-US" w:eastAsia="lt-LT"/>
                          </w:rPr>
                          <m:t>t</m:t>
                        </m:r>
                      </m:sub>
                    </m:sSub>
                    <m:r>
                      <w:rPr>
                        <w:rFonts w:ascii="Cambria Math" w:hAnsi="Cambria Math"/>
                        <w:color w:val="000000"/>
                        <w:szCs w:val="24"/>
                        <w:lang w:val="en-US" w:eastAsia="lt-LT"/>
                      </w:rPr>
                      <m:t>+</m:t>
                    </m:r>
                    <m:r>
                      <w:rPr>
                        <w:rFonts w:ascii="Cambria Math" w:hAnsi="Cambria Math"/>
                        <w:szCs w:val="24"/>
                        <w:lang w:val="en-US" w:eastAsia="lt-LT"/>
                      </w:rPr>
                      <m:t>∆</m:t>
                    </m:r>
                    <m:sSub>
                      <m:sSubPr>
                        <m:ctrlPr>
                          <w:rPr>
                            <w:rFonts w:ascii="Cambria Math" w:hAnsi="Cambria Math"/>
                            <w:bCs/>
                            <w:i/>
                            <w:szCs w:val="24"/>
                            <w:lang w:val="en-US" w:eastAsia="lt-LT"/>
                          </w:rPr>
                        </m:ctrlPr>
                      </m:sSubPr>
                      <m:e>
                        <m:r>
                          <w:rPr>
                            <w:rFonts w:ascii="Cambria Math" w:hAnsi="Cambria Math"/>
                            <w:szCs w:val="24"/>
                            <w:lang w:val="en-US" w:eastAsia="lt-LT"/>
                          </w:rPr>
                          <m:t>T</m:t>
                        </m:r>
                      </m:e>
                      <m:sub>
                        <m:r>
                          <w:rPr>
                            <w:rFonts w:ascii="Cambria Math" w:hAnsi="Cambria Math"/>
                            <w:szCs w:val="24"/>
                            <w:lang w:val="en-US" w:eastAsia="lt-LT"/>
                          </w:rPr>
                          <m:t>g</m:t>
                        </m:r>
                        <m:r>
                          <w:rPr>
                            <w:rFonts w:ascii="Cambria Math" w:hAnsi="Cambria Math"/>
                            <w:szCs w:val="24"/>
                            <w:lang w:val="en-US" w:eastAsia="lt-LT"/>
                          </w:rPr>
                          <m:t>,</m:t>
                        </m:r>
                        <m:r>
                          <w:rPr>
                            <w:rFonts w:ascii="Cambria Math" w:hAnsi="Cambria Math"/>
                            <w:szCs w:val="24"/>
                            <w:lang w:val="en-US" w:eastAsia="lt-LT"/>
                          </w:rPr>
                          <m:t>t</m:t>
                        </m:r>
                        <m:r>
                          <w:rPr>
                            <w:rFonts w:ascii="Cambria Math" w:hAnsi="Cambria Math"/>
                            <w:szCs w:val="24"/>
                            <w:lang w:val="en-US" w:eastAsia="lt-LT"/>
                          </w:rPr>
                          <m:t>-2</m:t>
                        </m:r>
                      </m:sub>
                    </m:sSub>
                    <m:r>
                      <w:rPr>
                        <w:rFonts w:ascii="Cambria Math" w:hAnsi="Cambria Math"/>
                        <w:color w:val="000000"/>
                        <w:szCs w:val="24"/>
                        <w:lang w:val="en-US" w:eastAsia="lt-LT"/>
                      </w:rPr>
                      <m:t>+</m:t>
                    </m:r>
                    <m:sSubSup>
                      <m:sSubSupPr>
                        <m:ctrlPr>
                          <w:rPr>
                            <w:rFonts w:ascii="Cambria Math" w:hAnsi="Cambria Math"/>
                            <w:bCs/>
                            <w:i/>
                            <w:color w:val="000000"/>
                            <w:szCs w:val="24"/>
                            <w:lang w:val="en-US" w:eastAsia="lt-LT"/>
                          </w:rPr>
                        </m:ctrlPr>
                      </m:sSubSupPr>
                      <m:e>
                        <m:r>
                          <w:rPr>
                            <w:rFonts w:ascii="Cambria Math" w:hAnsi="Cambria Math"/>
                            <w:color w:val="000000"/>
                            <w:szCs w:val="24"/>
                            <w:lang w:val="en-US" w:eastAsia="lt-LT"/>
                          </w:rPr>
                          <m:t>T</m:t>
                        </m:r>
                      </m:e>
                      <m:sub>
                        <m:r>
                          <w:rPr>
                            <w:rFonts w:ascii="Cambria Math" w:hAnsi="Cambria Math"/>
                            <w:color w:val="000000"/>
                            <w:szCs w:val="24"/>
                            <w:lang w:val="en-US" w:eastAsia="lt-LT"/>
                          </w:rPr>
                          <m:t>vt</m:t>
                        </m:r>
                        <m:r>
                          <w:rPr>
                            <w:rFonts w:ascii="Cambria Math" w:hAnsi="Cambria Math"/>
                            <w:color w:val="000000"/>
                            <w:szCs w:val="24"/>
                            <w:lang w:val="en-US" w:eastAsia="lt-LT"/>
                          </w:rPr>
                          <m:t>,</m:t>
                        </m:r>
                        <m:r>
                          <w:rPr>
                            <w:rFonts w:ascii="Cambria Math" w:hAnsi="Cambria Math"/>
                            <w:color w:val="000000"/>
                            <w:szCs w:val="24"/>
                            <w:lang w:val="en-US" w:eastAsia="lt-LT"/>
                          </w:rPr>
                          <m:t>t</m:t>
                        </m:r>
                      </m:sub>
                      <m:sup>
                        <m:r>
                          <w:rPr>
                            <w:rFonts w:ascii="Cambria Math" w:hAnsi="Cambria Math"/>
                            <w:color w:val="000000"/>
                            <w:szCs w:val="24"/>
                            <w:lang w:val="en-US" w:eastAsia="lt-LT"/>
                          </w:rPr>
                          <m:t>'</m:t>
                        </m:r>
                      </m:sup>
                    </m:sSubSup>
                    <m:r>
                      <w:rPr>
                        <w:rFonts w:ascii="Cambria Math" w:hAnsi="Cambria Math"/>
                        <w:color w:val="000000"/>
                        <w:szCs w:val="24"/>
                        <w:lang w:val="en-US" w:eastAsia="lt-LT"/>
                      </w:rPr>
                      <m:t>+</m:t>
                    </m:r>
                    <m:sSubSup>
                      <m:sSubSupPr>
                        <m:ctrlPr>
                          <w:rPr>
                            <w:rFonts w:ascii="Cambria Math" w:hAnsi="Cambria Math"/>
                            <w:bCs/>
                            <w:i/>
                            <w:color w:val="000000"/>
                            <w:szCs w:val="24"/>
                            <w:lang w:val="en-US" w:eastAsia="lt-LT"/>
                          </w:rPr>
                        </m:ctrlPr>
                      </m:sSubSupPr>
                      <m:e>
                        <m:r>
                          <w:rPr>
                            <w:rFonts w:ascii="Cambria Math" w:hAnsi="Cambria Math"/>
                            <w:color w:val="000000"/>
                            <w:szCs w:val="24"/>
                            <w:lang w:val="en-US" w:eastAsia="lt-LT"/>
                          </w:rPr>
                          <m:t>T</m:t>
                        </m:r>
                      </m:e>
                      <m:sub>
                        <m:r>
                          <w:rPr>
                            <w:rFonts w:ascii="Cambria Math" w:hAnsi="Cambria Math"/>
                            <w:color w:val="000000"/>
                            <w:szCs w:val="24"/>
                            <w:lang w:val="en-US" w:eastAsia="lt-LT"/>
                          </w:rPr>
                          <m:t>110,</m:t>
                        </m:r>
                        <m:r>
                          <w:rPr>
                            <w:rFonts w:ascii="Cambria Math" w:hAnsi="Cambria Math"/>
                            <w:color w:val="000000"/>
                            <w:szCs w:val="24"/>
                            <w:lang w:val="en-US" w:eastAsia="lt-LT"/>
                          </w:rPr>
                          <m:t>t</m:t>
                        </m:r>
                      </m:sub>
                      <m:sup>
                        <m:r>
                          <w:rPr>
                            <w:rFonts w:ascii="Cambria Math" w:hAnsi="Cambria Math"/>
                            <w:color w:val="000000"/>
                            <w:szCs w:val="24"/>
                            <w:lang w:val="en-US" w:eastAsia="lt-LT"/>
                          </w:rPr>
                          <m:t>'</m:t>
                        </m:r>
                      </m:sup>
                    </m:sSubSup>
                    <m:r>
                      <w:rPr>
                        <w:rFonts w:ascii="Cambria Math" w:hAnsi="Cambria Math"/>
                        <w:color w:val="000000"/>
                        <w:szCs w:val="24"/>
                        <w:lang w:val="en-US" w:eastAsia="lt-LT"/>
                      </w:rPr>
                      <m:t>+</m:t>
                    </m:r>
                    <m:sSub>
                      <m:sSubPr>
                        <m:ctrlPr>
                          <w:rPr>
                            <w:rFonts w:ascii="Cambria Math" w:hAnsi="Cambria Math"/>
                            <w:bCs/>
                            <w:i/>
                            <w:color w:val="000000"/>
                            <w:szCs w:val="24"/>
                            <w:lang w:val="en-US" w:eastAsia="lt-LT"/>
                          </w:rPr>
                        </m:ctrlPr>
                      </m:sSubPr>
                      <m:e>
                        <m:r>
                          <w:rPr>
                            <w:rFonts w:ascii="Cambria Math" w:hAnsi="Cambria Math"/>
                            <w:color w:val="000000"/>
                            <w:szCs w:val="24"/>
                            <w:lang w:val="en-US" w:eastAsia="lt-LT"/>
                          </w:rPr>
                          <m:t>T</m:t>
                        </m:r>
                      </m:e>
                      <m:sub>
                        <m:r>
                          <w:rPr>
                            <w:rFonts w:ascii="Cambria Math" w:hAnsi="Cambria Math"/>
                            <w:color w:val="000000"/>
                            <w:szCs w:val="24"/>
                            <w:lang w:val="en-US" w:eastAsia="lt-LT"/>
                          </w:rPr>
                          <m:t>sis</m:t>
                        </m:r>
                        <m:r>
                          <w:rPr>
                            <w:rFonts w:ascii="Cambria Math" w:hAnsi="Cambria Math"/>
                            <w:color w:val="000000"/>
                            <w:szCs w:val="24"/>
                            <w:lang w:val="en-US" w:eastAsia="lt-LT"/>
                          </w:rPr>
                          <m:t>,</m:t>
                        </m:r>
                        <m:r>
                          <w:rPr>
                            <w:rFonts w:ascii="Cambria Math" w:hAnsi="Cambria Math"/>
                            <w:color w:val="000000"/>
                            <w:szCs w:val="24"/>
                            <w:lang w:val="en-US" w:eastAsia="lt-LT"/>
                          </w:rPr>
                          <m:t>t</m:t>
                        </m:r>
                      </m:sub>
                    </m:sSub>
                    <m:r>
                      <w:rPr>
                        <w:rFonts w:ascii="Cambria Math" w:hAnsi="Cambria Math"/>
                        <w:color w:val="000000"/>
                        <w:szCs w:val="24"/>
                        <w:lang w:val="en-US" w:eastAsia="lt-LT"/>
                      </w:rPr>
                      <m:t>+</m:t>
                    </m:r>
                    <m:sSub>
                      <m:sSubPr>
                        <m:ctrlPr>
                          <w:rPr>
                            <w:rFonts w:ascii="Cambria Math" w:hAnsi="Cambria Math"/>
                            <w:bCs/>
                            <w:i/>
                            <w:color w:val="000000"/>
                            <w:szCs w:val="24"/>
                            <w:lang w:val="en-US" w:eastAsia="lt-LT"/>
                          </w:rPr>
                        </m:ctrlPr>
                      </m:sSubPr>
                      <m:e>
                        <m:r>
                          <w:rPr>
                            <w:rFonts w:ascii="Cambria Math" w:hAnsi="Cambria Math"/>
                            <w:color w:val="000000"/>
                            <w:szCs w:val="24"/>
                            <w:lang w:val="en-US" w:eastAsia="lt-LT"/>
                          </w:rPr>
                          <m:t>T</m:t>
                        </m:r>
                      </m:e>
                      <m:sub>
                        <m:r>
                          <w:rPr>
                            <w:rFonts w:ascii="Cambria Math" w:hAnsi="Cambria Math"/>
                            <w:color w:val="000000"/>
                            <w:szCs w:val="24"/>
                            <w:lang w:val="en-US" w:eastAsia="lt-LT"/>
                          </w:rPr>
                          <m:t>viap</m:t>
                        </m:r>
                        <m:r>
                          <w:rPr>
                            <w:rFonts w:ascii="Cambria Math" w:hAnsi="Cambria Math"/>
                            <w:color w:val="000000"/>
                            <w:szCs w:val="24"/>
                            <w:lang w:val="en-US" w:eastAsia="lt-LT"/>
                          </w:rPr>
                          <m:t>,</m:t>
                        </m:r>
                        <m:r>
                          <w:rPr>
                            <w:rFonts w:ascii="Cambria Math" w:hAnsi="Cambria Math"/>
                            <w:color w:val="000000"/>
                            <w:szCs w:val="24"/>
                            <w:lang w:val="en-US" w:eastAsia="lt-LT"/>
                          </w:rPr>
                          <m:t>t</m:t>
                        </m:r>
                      </m:sub>
                    </m:sSub>
                    <m:r>
                      <w:rPr>
                        <w:rFonts w:ascii="Cambria Math" w:hAnsi="Cambria Math"/>
                        <w:color w:val="000000"/>
                        <w:szCs w:val="24"/>
                        <w:lang w:val="en-US" w:eastAsia="lt-LT"/>
                      </w:rPr>
                      <m:t>+</m:t>
                    </m:r>
                    <m:sSubSup>
                      <m:sSubSupPr>
                        <m:ctrlPr>
                          <w:rPr>
                            <w:rFonts w:ascii="Cambria Math" w:hAnsi="Cambria Math"/>
                            <w:bCs/>
                            <w:i/>
                            <w:color w:val="000000"/>
                            <w:szCs w:val="24"/>
                            <w:lang w:val="en-US" w:eastAsia="lt-LT"/>
                          </w:rPr>
                        </m:ctrlPr>
                      </m:sSubSupPr>
                      <m:e>
                        <m:r>
                          <w:rPr>
                            <w:rFonts w:ascii="Cambria Math" w:hAnsi="Cambria Math"/>
                            <w:color w:val="000000"/>
                            <w:szCs w:val="24"/>
                            <w:lang w:val="en-US" w:eastAsia="lt-LT"/>
                          </w:rPr>
                          <m:t>T</m:t>
                        </m:r>
                      </m:e>
                      <m:sub>
                        <m:r>
                          <w:rPr>
                            <w:rFonts w:ascii="Cambria Math" w:hAnsi="Cambria Math"/>
                            <w:color w:val="000000"/>
                            <w:szCs w:val="24"/>
                            <w:lang w:val="en-US" w:eastAsia="lt-LT"/>
                          </w:rPr>
                          <m:t>10,</m:t>
                        </m:r>
                        <m:r>
                          <w:rPr>
                            <w:rFonts w:ascii="Cambria Math" w:hAnsi="Cambria Math"/>
                            <w:color w:val="000000"/>
                            <w:szCs w:val="24"/>
                            <w:lang w:val="en-US" w:eastAsia="lt-LT"/>
                          </w:rPr>
                          <m:t>t</m:t>
                        </m:r>
                      </m:sub>
                      <m:sup>
                        <m:r>
                          <w:rPr>
                            <w:rFonts w:ascii="Cambria Math" w:hAnsi="Cambria Math"/>
                            <w:color w:val="000000"/>
                            <w:szCs w:val="24"/>
                            <w:lang w:val="en-US" w:eastAsia="lt-LT"/>
                          </w:rPr>
                          <m:t>'</m:t>
                        </m:r>
                      </m:sup>
                    </m:sSubSup>
                    <m:r>
                      <w:rPr>
                        <w:rFonts w:ascii="Cambria Math" w:hAnsi="Cambria Math"/>
                        <w:color w:val="000000"/>
                        <w:szCs w:val="24"/>
                        <w:lang w:val="en-US" w:eastAsia="lt-LT"/>
                      </w:rPr>
                      <m:t>+</m:t>
                    </m:r>
                    <m:sSubSup>
                      <m:sSubSupPr>
                        <m:ctrlPr>
                          <w:rPr>
                            <w:rFonts w:ascii="Cambria Math" w:hAnsi="Cambria Math"/>
                            <w:bCs/>
                            <w:i/>
                            <w:color w:val="000000"/>
                            <w:szCs w:val="24"/>
                            <w:lang w:val="en-US" w:eastAsia="lt-LT"/>
                          </w:rPr>
                        </m:ctrlPr>
                      </m:sSubSupPr>
                      <m:e>
                        <m:r>
                          <w:rPr>
                            <w:rFonts w:ascii="Cambria Math" w:hAnsi="Cambria Math"/>
                            <w:color w:val="000000"/>
                            <w:szCs w:val="24"/>
                            <w:lang w:val="en-US" w:eastAsia="lt-LT"/>
                          </w:rPr>
                          <m:t>T</m:t>
                        </m:r>
                      </m:e>
                      <m:sub>
                        <m:r>
                          <w:rPr>
                            <w:rFonts w:ascii="Cambria Math" w:hAnsi="Cambria Math"/>
                            <w:color w:val="000000"/>
                            <w:szCs w:val="24"/>
                            <w:lang w:val="en-US" w:eastAsia="lt-LT"/>
                          </w:rPr>
                          <m:t>04,</m:t>
                        </m:r>
                        <m:r>
                          <w:rPr>
                            <w:rFonts w:ascii="Cambria Math" w:hAnsi="Cambria Math"/>
                            <w:color w:val="000000"/>
                            <w:szCs w:val="24"/>
                            <w:lang w:val="en-US" w:eastAsia="lt-LT"/>
                          </w:rPr>
                          <m:t>t</m:t>
                        </m:r>
                      </m:sub>
                      <m:sup>
                        <m:r>
                          <w:rPr>
                            <w:rFonts w:ascii="Cambria Math" w:hAnsi="Cambria Math"/>
                            <w:color w:val="000000"/>
                            <w:szCs w:val="24"/>
                            <w:lang w:val="en-US" w:eastAsia="lt-LT"/>
                          </w:rPr>
                          <m:t>'</m:t>
                        </m:r>
                      </m:sup>
                    </m:sSubSup>
                    <m:r>
                      <w:rPr>
                        <w:rFonts w:ascii="Cambria Math" w:hAnsi="Cambria Math"/>
                        <w:color w:val="000000"/>
                        <w:szCs w:val="24"/>
                        <w:lang w:val="en-US" w:eastAsia="lt-LT"/>
                      </w:rPr>
                      <m:t>+∆</m:t>
                    </m:r>
                    <m:sSub>
                      <m:sSubPr>
                        <m:ctrlPr>
                          <w:rPr>
                            <w:rFonts w:ascii="Cambria Math" w:hAnsi="Cambria Math"/>
                            <w:i/>
                            <w:color w:val="000000"/>
                            <w:szCs w:val="24"/>
                            <w:lang w:val="en-US" w:eastAsia="lt-LT"/>
                          </w:rPr>
                        </m:ctrlPr>
                      </m:sSubPr>
                      <m:e>
                        <m:r>
                          <w:rPr>
                            <w:rFonts w:ascii="Cambria Math" w:hAnsi="Cambria Math"/>
                            <w:color w:val="000000"/>
                            <w:szCs w:val="24"/>
                            <w:lang w:val="en-US" w:eastAsia="lt-LT"/>
                          </w:rPr>
                          <m:t>T</m:t>
                        </m:r>
                      </m:e>
                      <m:sub>
                        <m:r>
                          <w:rPr>
                            <w:rFonts w:ascii="Cambria Math" w:hAnsi="Cambria Math"/>
                            <w:color w:val="000000"/>
                            <w:szCs w:val="24"/>
                            <w:lang w:val="en-US" w:eastAsia="lt-LT"/>
                          </w:rPr>
                          <m:t>STO</m:t>
                        </m:r>
                        <m:d>
                          <m:dPr>
                            <m:ctrlPr>
                              <w:rPr>
                                <w:rFonts w:ascii="Cambria Math" w:hAnsi="Cambria Math"/>
                                <w:i/>
                                <w:color w:val="000000"/>
                                <w:szCs w:val="24"/>
                                <w:lang w:val="en-US" w:eastAsia="lt-LT"/>
                              </w:rPr>
                            </m:ctrlPr>
                          </m:dPr>
                          <m:e>
                            <m:r>
                              <w:rPr>
                                <w:rFonts w:ascii="Cambria Math" w:hAnsi="Cambria Math"/>
                                <w:color w:val="000000"/>
                                <w:szCs w:val="24"/>
                                <w:lang w:val="en-US" w:eastAsia="lt-LT"/>
                              </w:rPr>
                              <m:t>10,04</m:t>
                            </m:r>
                          </m:e>
                        </m:d>
                        <m:r>
                          <w:rPr>
                            <w:rFonts w:ascii="Cambria Math" w:hAnsi="Cambria Math"/>
                            <w:color w:val="000000"/>
                            <w:szCs w:val="24"/>
                            <w:lang w:val="en-US" w:eastAsia="lt-LT"/>
                          </w:rPr>
                          <m:t>,</m:t>
                        </m:r>
                        <m:r>
                          <w:rPr>
                            <w:rFonts w:ascii="Cambria Math" w:hAnsi="Cambria Math"/>
                            <w:color w:val="000000"/>
                            <w:szCs w:val="24"/>
                            <w:lang w:val="en-US" w:eastAsia="lt-LT"/>
                          </w:rPr>
                          <m:t>t</m:t>
                        </m:r>
                        <m:r>
                          <w:rPr>
                            <w:rFonts w:ascii="Cambria Math" w:hAnsi="Cambria Math"/>
                            <w:color w:val="000000"/>
                            <w:szCs w:val="24"/>
                            <w:lang w:val="en-US" w:eastAsia="lt-LT"/>
                          </w:rPr>
                          <m:t>-2</m:t>
                        </m:r>
                      </m:sub>
                    </m:sSub>
                  </m:oMath>
                  <w:r>
                    <w:rPr>
                      <w:color w:val="000000"/>
                      <w:szCs w:val="24"/>
                      <w:lang w:eastAsia="lt-LT"/>
                    </w:rPr>
                    <w:t>(65)</w:t>
                  </w:r>
                </w:p>
                <w:p>
                  <w:pPr>
                    <w:ind w:firstLine="842"/>
                    <w:jc w:val="both"/>
                    <w:rPr>
                      <w:color w:val="000000"/>
                      <w:szCs w:val="24"/>
                      <w:lang w:eastAsia="lt-LT"/>
                    </w:rPr>
                  </w:pPr>
                </w:p>
                <w:p>
                  <w:pPr>
                    <w:ind w:firstLine="720"/>
                    <w:jc w:val="both"/>
                    <w:rPr>
                      <w:color w:val="000000"/>
                      <w:szCs w:val="24"/>
                      <w:lang w:eastAsia="lt-LT"/>
                    </w:rPr>
                  </w:pPr>
                  <w:r>
                    <w:rPr>
                      <w:i/>
                      <w:iCs/>
                      <w:color w:val="000000"/>
                      <w:szCs w:val="24"/>
                      <w:lang w:eastAsia="lt-LT"/>
                    </w:rPr>
                    <w:t>čia:</w:t>
                  </w:r>
                </w:p>
                <w:p>
                  <w:pPr>
                    <w:ind w:firstLine="720"/>
                    <w:jc w:val="both"/>
                    <w:rPr>
                      <w:color w:val="000000"/>
                      <w:szCs w:val="24"/>
                      <w:lang w:eastAsia="lt-LT"/>
                    </w:rPr>
                  </w:pPr>
                  <w:r>
                    <w:rPr>
                      <w:color w:val="000000"/>
                      <w:szCs w:val="24"/>
                      <w:lang w:eastAsia="lt-LT"/>
                    </w:rPr>
                    <w:t>VT’</w:t>
                  </w:r>
                  <w:r>
                    <w:rPr>
                      <w:color w:val="000000"/>
                      <w:szCs w:val="24"/>
                      <w:vertAlign w:val="subscript"/>
                      <w:lang w:eastAsia="lt-LT"/>
                    </w:rPr>
                    <w:t>(10,04)t</w:t>
                  </w:r>
                  <w:r>
                    <w:rPr>
                      <w:color w:val="000000"/>
                      <w:szCs w:val="24"/>
                      <w:lang w:eastAsia="lt-LT"/>
                    </w:rPr>
                    <w:t> – visuomeninių elektros energijos kainų viršutinės ribos vartotojams, gaunantiems elektros energiją iš skirstymo atitinkamai VĮ ir ŽĮ tinklų </w:t>
                  </w:r>
                  <w:r>
                    <w:rPr>
                      <w:i/>
                      <w:iCs/>
                      <w:color w:val="000000"/>
                      <w:szCs w:val="24"/>
                      <w:lang w:eastAsia="lt-LT"/>
                    </w:rPr>
                    <w:t>t </w:t>
                  </w:r>
                  <w:r>
                    <w:rPr>
                      <w:color w:val="000000"/>
                      <w:szCs w:val="24"/>
                      <w:lang w:eastAsia="lt-LT"/>
                    </w:rPr>
                    <w:t>metais, EUR/kWh;</w:t>
                  </w:r>
                </w:p>
                <w:p>
                  <w:pPr>
                    <w:ind w:firstLine="720"/>
                    <w:jc w:val="both"/>
                    <w:rPr>
                      <w:color w:val="000000"/>
                      <w:szCs w:val="24"/>
                      <w:lang w:eastAsia="lt-LT"/>
                    </w:rPr>
                  </w:pPr>
                  <w:r>
                    <w:rPr>
                      <w:color w:val="000000"/>
                      <w:szCs w:val="24"/>
                      <w:lang w:eastAsia="lt-LT"/>
                    </w:rPr>
                    <w:t>T</w:t>
                  </w:r>
                  <w:r>
                    <w:rPr>
                      <w:color w:val="000000"/>
                      <w:szCs w:val="24"/>
                      <w:vertAlign w:val="subscript"/>
                      <w:lang w:eastAsia="lt-LT"/>
                    </w:rPr>
                    <w:t>g, t</w:t>
                  </w:r>
                  <w:r>
                    <w:rPr>
                      <w:color w:val="000000"/>
                      <w:szCs w:val="24"/>
                      <w:lang w:eastAsia="lt-LT"/>
                    </w:rPr>
                    <w:t> – prognozuojama elektros energijos įsigijimo kaina </w:t>
                  </w:r>
                  <w:r>
                    <w:rPr>
                      <w:i/>
                      <w:iCs/>
                      <w:color w:val="000000"/>
                      <w:szCs w:val="24"/>
                      <w:lang w:eastAsia="lt-LT"/>
                    </w:rPr>
                    <w:t>t</w:t>
                  </w:r>
                  <w:r>
                    <w:rPr>
                      <w:color w:val="000000"/>
                      <w:szCs w:val="24"/>
                      <w:lang w:eastAsia="lt-LT"/>
                    </w:rPr>
                    <w:t> metais, EUR/kWh;</w:t>
                  </w:r>
                </w:p>
                <w:p>
                  <w:pPr>
                    <w:ind w:firstLine="720"/>
                    <w:jc w:val="both"/>
                    <w:rPr>
                      <w:color w:val="000000"/>
                      <w:szCs w:val="24"/>
                      <w:lang w:eastAsia="lt-LT"/>
                    </w:rPr>
                  </w:pPr>
                  <w:r>
                    <w:rPr>
                      <w:color w:val="000000"/>
                      <w:szCs w:val="24"/>
                      <w:lang w:eastAsia="lt-LT"/>
                    </w:rPr>
                    <w:t>ΔT</w:t>
                  </w:r>
                  <w:r>
                    <w:rPr>
                      <w:color w:val="000000"/>
                      <w:szCs w:val="24"/>
                      <w:vertAlign w:val="subscript"/>
                      <w:lang w:eastAsia="lt-LT"/>
                    </w:rPr>
                    <w:t>g, t-2</w:t>
                  </w:r>
                  <w:r>
                    <w:rPr>
                      <w:color w:val="000000"/>
                      <w:szCs w:val="24"/>
                      <w:lang w:eastAsia="lt-LT"/>
                    </w:rPr>
                    <w:t> – </w:t>
                  </w:r>
                  <w:r>
                    <w:rPr>
                      <w:i/>
                      <w:iCs/>
                      <w:color w:val="000000"/>
                      <w:szCs w:val="24"/>
                      <w:lang w:eastAsia="lt-LT"/>
                    </w:rPr>
                    <w:t>t</w:t>
                  </w:r>
                  <w:r>
                    <w:rPr>
                      <w:color w:val="000000"/>
                      <w:szCs w:val="24"/>
                      <w:lang w:eastAsia="lt-LT"/>
                    </w:rPr>
                    <w:t>-2 metų faktinės elektros energijos įsigijimo kainos ir prognozuotos elektros energijos įsigijimo kainos skirtumas, EUR/kWh;</w:t>
                  </w:r>
                </w:p>
                <w:p>
                  <w:pPr>
                    <w:ind w:firstLine="720"/>
                    <w:jc w:val="both"/>
                    <w:rPr>
                      <w:color w:val="000000"/>
                      <w:szCs w:val="24"/>
                      <w:lang w:eastAsia="lt-LT"/>
                    </w:rPr>
                  </w:pPr>
                  <w:r>
                    <w:rPr>
                      <w:color w:val="000000"/>
                      <w:szCs w:val="24"/>
                      <w:lang w:eastAsia="lt-LT"/>
                    </w:rPr>
                    <w:t>T’</w:t>
                  </w:r>
                  <w:r>
                    <w:rPr>
                      <w:color w:val="000000"/>
                      <w:szCs w:val="24"/>
                      <w:vertAlign w:val="subscript"/>
                      <w:lang w:eastAsia="lt-LT"/>
                    </w:rPr>
                    <w:t>vt, t</w:t>
                  </w:r>
                  <w:r>
                    <w:rPr>
                      <w:color w:val="000000"/>
                      <w:szCs w:val="24"/>
                      <w:lang w:eastAsia="lt-LT"/>
                    </w:rPr>
                    <w:t> – elektros energijos visuomeninio tiekimo paslaugos kainos viršutinė riba </w:t>
                  </w:r>
                  <w:r>
                    <w:rPr>
                      <w:i/>
                      <w:iCs/>
                      <w:color w:val="000000"/>
                      <w:szCs w:val="24"/>
                      <w:lang w:eastAsia="lt-LT"/>
                    </w:rPr>
                    <w:t>t </w:t>
                  </w:r>
                  <w:r>
                    <w:rPr>
                      <w:color w:val="000000"/>
                      <w:szCs w:val="24"/>
                      <w:lang w:eastAsia="lt-LT"/>
                    </w:rPr>
                    <w:t>metais, EUR/kWh;</w:t>
                  </w:r>
                </w:p>
                <w:p>
                  <w:pPr>
                    <w:ind w:firstLine="720"/>
                    <w:jc w:val="both"/>
                    <w:rPr>
                      <w:color w:val="000000"/>
                      <w:szCs w:val="24"/>
                      <w:lang w:eastAsia="lt-LT"/>
                    </w:rPr>
                  </w:pPr>
                  <w:r>
                    <w:rPr>
                      <w:color w:val="000000"/>
                      <w:szCs w:val="24"/>
                      <w:lang w:eastAsia="lt-LT"/>
                    </w:rPr>
                    <w:t>T’</w:t>
                  </w:r>
                  <w:r>
                    <w:rPr>
                      <w:color w:val="000000"/>
                      <w:szCs w:val="24"/>
                      <w:vertAlign w:val="subscript"/>
                      <w:lang w:eastAsia="lt-LT"/>
                    </w:rPr>
                    <w:t>110, t</w:t>
                  </w:r>
                  <w:r>
                    <w:rPr>
                      <w:color w:val="000000"/>
                      <w:szCs w:val="24"/>
                      <w:lang w:eastAsia="lt-LT"/>
                    </w:rPr>
                    <w:t> – elektros energijos perdavimo AĮ tinklais paslaugos kainos viršutinė riba </w:t>
                  </w:r>
                  <w:r>
                    <w:rPr>
                      <w:i/>
                      <w:iCs/>
                      <w:color w:val="000000"/>
                      <w:szCs w:val="24"/>
                      <w:lang w:eastAsia="lt-LT"/>
                    </w:rPr>
                    <w:t>t </w:t>
                  </w:r>
                  <w:r>
                    <w:rPr>
                      <w:color w:val="000000"/>
                      <w:szCs w:val="24"/>
                      <w:lang w:eastAsia="lt-LT"/>
                    </w:rPr>
                    <w:t>metais, EUR/kWh;</w:t>
                  </w:r>
                </w:p>
                <w:p>
                  <w:pPr>
                    <w:ind w:firstLine="720"/>
                    <w:jc w:val="both"/>
                    <w:rPr>
                      <w:color w:val="000000"/>
                      <w:szCs w:val="24"/>
                      <w:lang w:eastAsia="lt-LT"/>
                    </w:rPr>
                  </w:pPr>
                  <w:r>
                    <w:rPr>
                      <w:color w:val="000000"/>
                      <w:szCs w:val="24"/>
                      <w:lang w:eastAsia="lt-LT"/>
                    </w:rPr>
                    <w:t>T’</w:t>
                  </w:r>
                  <w:r>
                    <w:rPr>
                      <w:color w:val="000000"/>
                      <w:szCs w:val="24"/>
                      <w:vertAlign w:val="subscript"/>
                      <w:lang w:eastAsia="lt-LT"/>
                    </w:rPr>
                    <w:t>10, t</w:t>
                  </w:r>
                  <w:r>
                    <w:rPr>
                      <w:color w:val="000000"/>
                      <w:szCs w:val="24"/>
                      <w:lang w:eastAsia="lt-LT"/>
                    </w:rPr>
                    <w:t> – elektros energijos skirstymo paslaugos VĮ tinklais kainos viršutinė riba </w:t>
                  </w:r>
                  <w:r>
                    <w:rPr>
                      <w:i/>
                      <w:iCs/>
                      <w:color w:val="000000"/>
                      <w:szCs w:val="24"/>
                      <w:lang w:eastAsia="lt-LT"/>
                    </w:rPr>
                    <w:t>t </w:t>
                  </w:r>
                  <w:r>
                    <w:rPr>
                      <w:color w:val="000000"/>
                      <w:szCs w:val="24"/>
                      <w:lang w:eastAsia="lt-LT"/>
                    </w:rPr>
                    <w:t xml:space="preserve">metais, </w:t>
                  </w:r>
                  <w:r>
                    <w:rPr>
                      <w:bCs/>
                      <w:szCs w:val="24"/>
                      <w:lang w:eastAsia="lt-LT"/>
                    </w:rPr>
                    <w:t>įvertinant elektros energijos skirstymo paslaugos teikimo sąnaudų priskyrimo buitiniams vartotojams koeficientą pagal Metodikos 107</w:t>
                  </w:r>
                  <w:r>
                    <w:rPr>
                      <w:bCs/>
                      <w:szCs w:val="24"/>
                      <w:vertAlign w:val="superscript"/>
                      <w:lang w:eastAsia="lt-LT"/>
                    </w:rPr>
                    <w:t>1</w:t>
                  </w:r>
                  <w:r>
                    <w:rPr>
                      <w:bCs/>
                      <w:szCs w:val="24"/>
                      <w:lang w:eastAsia="lt-LT"/>
                    </w:rPr>
                    <w:t xml:space="preserve"> punktą,</w:t>
                  </w:r>
                  <w:r>
                    <w:rPr>
                      <w:color w:val="000000"/>
                      <w:szCs w:val="24"/>
                      <w:lang w:eastAsia="lt-LT"/>
                    </w:rPr>
                    <w:t xml:space="preserve"> EUR/kWh;</w:t>
                  </w:r>
                </w:p>
                <w:p>
                  <w:pPr>
                    <w:ind w:firstLine="720"/>
                    <w:jc w:val="both"/>
                    <w:rPr>
                      <w:szCs w:val="24"/>
                      <w:lang w:eastAsia="lt-LT"/>
                    </w:rPr>
                  </w:pPr>
                  <w:r>
                    <w:rPr>
                      <w:color w:val="000000"/>
                      <w:szCs w:val="24"/>
                      <w:lang w:eastAsia="lt-LT"/>
                    </w:rPr>
                    <w:t>T’</w:t>
                  </w:r>
                  <w:r>
                    <w:rPr>
                      <w:color w:val="000000"/>
                      <w:szCs w:val="24"/>
                      <w:vertAlign w:val="subscript"/>
                      <w:lang w:eastAsia="lt-LT"/>
                    </w:rPr>
                    <w:t>04, t</w:t>
                  </w:r>
                  <w:r>
                    <w:rPr>
                      <w:color w:val="000000"/>
                      <w:szCs w:val="24"/>
                      <w:lang w:eastAsia="lt-LT"/>
                    </w:rPr>
                    <w:t xml:space="preserve"> – </w:t>
                  </w:r>
                  <w:r>
                    <w:rPr>
                      <w:szCs w:val="24"/>
                      <w:lang w:eastAsia="lt-LT"/>
                    </w:rPr>
                    <w:t xml:space="preserve">elektros energijos skirstymo paslaugos ŽĮ tinklais kainos viršutinė riba, </w:t>
                  </w:r>
                  <w:r>
                    <w:rPr>
                      <w:i/>
                      <w:iCs/>
                      <w:szCs w:val="24"/>
                      <w:lang w:eastAsia="lt-LT"/>
                    </w:rPr>
                    <w:t>t</w:t>
                  </w:r>
                  <w:r>
                    <w:rPr>
                      <w:szCs w:val="24"/>
                      <w:lang w:eastAsia="lt-LT"/>
                    </w:rPr>
                    <w:t xml:space="preserve"> metais, EUR/kWh, </w:t>
                  </w:r>
                  <w:r>
                    <w:rPr>
                      <w:color w:val="000000"/>
                      <w:szCs w:val="24"/>
                      <w:lang w:eastAsia="lt-LT"/>
                    </w:rPr>
                    <w:t>įvertinant skirstymo paslaugos teikimo sąnaudų priskyrimo buitiniams vartotojams koeficientą, kurio reikšmė lygi 1,3. Skirstomųjų tinklų operatoriui diferencijuojant persiuntimo paslaugos kainas vartotojams reikšmė nuosekliai didinama iki 2020 m., tačiau negali viršyti 1,3. Reguliuojančiajai institucijai nustačius naują skirstymo veiklos reguliavimo periodą, skirstomųjų tinklų operatoriui diferencijuojant persiuntimo paslaugos kainas vartotojams reikšmė reguliavimo periodu nuosekliai didinama iki reikšmės, ne didesnės kaip 1,4</w:t>
                  </w:r>
                  <w:r>
                    <w:rPr>
                      <w:szCs w:val="24"/>
                      <w:lang w:eastAsia="lt-LT"/>
                    </w:rPr>
                    <w:t>.;</w:t>
                  </w:r>
                </w:p>
                <w:p>
                  <w:pPr>
                    <w:ind w:firstLine="720"/>
                    <w:jc w:val="both"/>
                    <w:rPr>
                      <w:color w:val="000000"/>
                      <w:szCs w:val="24"/>
                      <w:lang w:eastAsia="lt-LT"/>
                    </w:rPr>
                  </w:pPr>
                  <w:r>
                    <w:rPr>
                      <w:color w:val="000000"/>
                      <w:szCs w:val="24"/>
                      <w:lang w:eastAsia="lt-LT"/>
                    </w:rPr>
                    <w:t>T</w:t>
                  </w:r>
                  <w:r>
                    <w:rPr>
                      <w:color w:val="000000"/>
                      <w:szCs w:val="24"/>
                      <w:vertAlign w:val="subscript"/>
                      <w:lang w:eastAsia="lt-LT"/>
                    </w:rPr>
                    <w:t>sis, t </w:t>
                  </w:r>
                  <w:r>
                    <w:rPr>
                      <w:color w:val="000000"/>
                      <w:szCs w:val="24"/>
                      <w:lang w:eastAsia="lt-LT"/>
                    </w:rPr>
                    <w:t>– elektros energijos sisteminių paslaugų kaina, apskaičiuota vadovaujantis 2012 m. liepos 27 d. Komisijos nutarimu Nr. O3-200 „Dėl Elektros energijos sisteminių paslaugų kainos nustatymo metodikos patvirtinimo“ patvirtinta Elektros energijos sisteminių paslaugų kainos nustatymo metodika, </w:t>
                  </w:r>
                  <w:r>
                    <w:rPr>
                      <w:i/>
                      <w:iCs/>
                      <w:color w:val="000000"/>
                      <w:szCs w:val="24"/>
                      <w:lang w:eastAsia="lt-LT"/>
                    </w:rPr>
                    <w:t>t </w:t>
                  </w:r>
                  <w:r>
                    <w:rPr>
                      <w:color w:val="000000"/>
                      <w:szCs w:val="24"/>
                      <w:lang w:eastAsia="lt-LT"/>
                    </w:rPr>
                    <w:t>metais, EUR/kWh;</w:t>
                  </w:r>
                </w:p>
                <w:p>
                  <w:pPr>
                    <w:ind w:firstLine="720"/>
                    <w:jc w:val="both"/>
                    <w:rPr>
                      <w:color w:val="000000"/>
                      <w:szCs w:val="24"/>
                      <w:lang w:eastAsia="lt-LT"/>
                    </w:rPr>
                  </w:pPr>
                  <w:r>
                    <w:rPr>
                      <w:color w:val="000000"/>
                      <w:szCs w:val="24"/>
                      <w:lang w:eastAsia="lt-LT"/>
                    </w:rPr>
                    <w:t>T</w:t>
                  </w:r>
                  <w:r>
                    <w:rPr>
                      <w:color w:val="000000"/>
                      <w:szCs w:val="24"/>
                      <w:vertAlign w:val="subscript"/>
                      <w:lang w:eastAsia="lt-LT"/>
                    </w:rPr>
                    <w:t>viap, t</w:t>
                  </w:r>
                  <w:r>
                    <w:rPr>
                      <w:color w:val="000000"/>
                      <w:szCs w:val="24"/>
                      <w:lang w:eastAsia="lt-LT"/>
                    </w:rPr>
                    <w:t> – elektros energijos viešuosius interesus atitinkančių paslaugų kaina, apskaičiuota vadovaujantis 2012 m. rugsėjo 28 d. Komisijos nutarimu Nr. O3-279 „Dėl Viešuosius interesus atitinkančių paslaugų elektros energetikos sektoriuje kainos nustatymo metodikos patvirtinimo“ patvirtinta Viešuosius interesus atitinkančių paslaugų elektros energetikos sektoriuje kainos nustatymo metodika, </w:t>
                  </w:r>
                  <w:r>
                    <w:rPr>
                      <w:i/>
                      <w:iCs/>
                      <w:color w:val="000000"/>
                      <w:szCs w:val="24"/>
                      <w:lang w:eastAsia="lt-LT"/>
                    </w:rPr>
                    <w:t>t </w:t>
                  </w:r>
                  <w:r>
                    <w:rPr>
                      <w:color w:val="000000"/>
                      <w:szCs w:val="24"/>
                      <w:lang w:eastAsia="lt-LT"/>
                    </w:rPr>
                    <w:t>metais, EUR/kWh</w:t>
                  </w:r>
                  <w:r>
                    <w:rPr>
                      <w:bCs/>
                      <w:color w:val="000000"/>
                      <w:szCs w:val="24"/>
                      <w:lang w:eastAsia="lt-LT"/>
                    </w:rPr>
                    <w:t>;</w:t>
                  </w:r>
                </w:p>
                <w:p>
                  <w:pPr>
                    <w:ind w:firstLine="720"/>
                    <w:jc w:val="both"/>
                    <w:rPr>
                      <w:bCs/>
                      <w:color w:val="000000"/>
                      <w:szCs w:val="24"/>
                      <w:lang w:eastAsia="lt-LT"/>
                    </w:rPr>
                  </w:pPr>
                  <w:r>
                    <w:rPr>
                      <w:bCs/>
                      <w:color w:val="000000"/>
                      <w:szCs w:val="24"/>
                      <w:lang w:eastAsia="lt-LT"/>
                    </w:rPr>
                    <w:t>ΔT</w:t>
                  </w:r>
                  <w:r>
                    <w:rPr>
                      <w:bCs/>
                      <w:color w:val="000000"/>
                      <w:szCs w:val="24"/>
                      <w:vertAlign w:val="subscript"/>
                      <w:lang w:eastAsia="lt-LT"/>
                    </w:rPr>
                    <w:t>STO(10,04), t-2</w:t>
                  </w:r>
                  <w:r>
                    <w:rPr>
                      <w:bCs/>
                      <w:color w:val="000000"/>
                      <w:szCs w:val="24"/>
                      <w:lang w:eastAsia="lt-LT"/>
                    </w:rPr>
                    <w:t xml:space="preserve"> – </w:t>
                  </w:r>
                  <w:r>
                    <w:rPr>
                      <w:i/>
                      <w:iCs/>
                      <w:color w:val="000000"/>
                      <w:szCs w:val="24"/>
                      <w:lang w:eastAsia="lt-LT"/>
                    </w:rPr>
                    <w:t>t</w:t>
                  </w:r>
                  <w:r>
                    <w:rPr>
                      <w:color w:val="000000"/>
                      <w:szCs w:val="24"/>
                      <w:lang w:eastAsia="lt-LT"/>
                    </w:rPr>
                    <w:t>-2 metų visuomeninės elektros energijos kainos viršutinėje riboje taikytų ir faktinių elektros energijos skirstymo paslaugų VĮ ir ŽĮ tinkluose kainų viršutinių ribų skirtumas</w:t>
                  </w:r>
                  <w:r>
                    <w:rPr>
                      <w:bCs/>
                      <w:color w:val="000000"/>
                      <w:szCs w:val="24"/>
                      <w:lang w:eastAsia="lt-LT"/>
                    </w:rPr>
                    <w:t>, vienam visuomeniniam tiekėjui veikiant kelių skirstomųjų tinklų operatorių licencijuojamos veiklos teritorijose, EUR/kWh.</w:t>
                  </w:r>
                </w:p>
                <w:p>
                  <w:pPr>
                    <w:jc w:val="both"/>
                  </w:pPr>
                  <w:r>
                    <w:rPr>
                      <w:b/>
                      <w:bCs/>
                      <w:i/>
                      <w:color w:val="000000"/>
                      <w:sz w:val="20"/>
                      <w:lang w:eastAsia="lt-LT"/>
                    </w:rPr>
                    <w:t>TAR pastaba.</w:t>
                  </w:r>
                  <w:r>
                    <w:rPr>
                      <w:bCs/>
                      <w:color w:val="000000"/>
                      <w:szCs w:val="24"/>
                      <w:lang w:eastAsia="lt-LT"/>
                    </w:rPr>
                    <w:t xml:space="preserve"> </w:t>
                  </w:r>
                  <w:r>
                    <w:rPr>
                      <w:bCs/>
                      <w:i/>
                      <w:color w:val="000000"/>
                      <w:sz w:val="20"/>
                      <w:lang w:eastAsia="lt-LT"/>
                    </w:rPr>
                    <w:t>107</w:t>
                  </w:r>
                  <w:r>
                    <w:rPr>
                      <w:bCs/>
                      <w:color w:val="000000"/>
                      <w:szCs w:val="24"/>
                      <w:lang w:eastAsia="lt-LT"/>
                    </w:rPr>
                    <w:t xml:space="preserve"> </w:t>
                  </w:r>
                  <w:r>
                    <w:rPr>
                      <w:i/>
                      <w:sz w:val="20"/>
                    </w:rPr>
                    <w:t xml:space="preserve">punkto nuostatos taikomos </w:t>
                  </w:r>
                  <w:r>
                    <w:rPr>
                      <w:bCs/>
                      <w:i/>
                      <w:sz w:val="20"/>
                    </w:rPr>
                    <w:t>nustatant arba koreguojant 2020 metų ir vėlesnių laikotarpių elektros energijos perdavimo, skirstymo ir visuomeninio tiekimo paslaugų bei visuomeninės kainos viršutines ribas</w:t>
                  </w:r>
                  <w:r>
                    <w:rPr>
                      <w:bCs/>
                      <w:i/>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64650190e11e68eb0b4a9a30fc97f">
                    <w:r w:rsidRPr="00532B9F">
                      <w:rPr>
                        <w:rFonts w:ascii="Times New Roman" w:eastAsia="MS Mincho" w:hAnsi="Times New Roman"/>
                        <w:sz w:val="20"/>
                        <w:i/>
                        <w:iCs/>
                        <w:color w:val="0000FF" w:themeColor="hyperlink"/>
                        <w:u w:val="single"/>
                      </w:rPr>
                      <w:t>O3-122</w:t>
                    </w:r>
                  </w:fldSimple>
                  <w:r>
                    <w:rPr>
                      <w:rFonts w:ascii="Times New Roman" w:eastAsia="MS Mincho" w:hAnsi="Times New Roman"/>
                      <w:sz w:val="20"/>
                      <w:i/>
                      <w:iCs/>
                    </w:rPr>
                    <w:t>,
2016-05-13,
paskelbta TAR 2016-05-13, i. k. 2016-12616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2bc050eb6011e99681cd81dcdca52c">
                    <w:r w:rsidRPr="00532B9F">
                      <w:rPr>
                        <w:rFonts w:ascii="Times New Roman" w:eastAsia="MS Mincho" w:hAnsi="Times New Roman"/>
                        <w:sz w:val="20"/>
                        <w:i/>
                        <w:iCs/>
                        <w:color w:val="0000FF" w:themeColor="hyperlink"/>
                        <w:u w:val="single"/>
                      </w:rPr>
                      <w:t>O3E-548</w:t>
                    </w:r>
                  </w:fldSimple>
                  <w:r>
                    <w:rPr>
                      <w:rFonts w:ascii="Times New Roman" w:eastAsia="MS Mincho" w:hAnsi="Times New Roman"/>
                      <w:sz w:val="20"/>
                      <w:i/>
                      <w:iCs/>
                    </w:rPr>
                    <w:t>,
2019-10-10,
paskelbta TAR 2019-10-10, i. k. 2019-16169            </w:t>
                  </w:r>
                </w:p>
                <w:p/>
              </w:sdtContent>
            </w:sdt>
            <w:sdt>
              <w:sdtPr>
                <w:alias w:val="107-1 p."/>
                <w:tag w:val="part_976a44bf000c4766a2c664843afe4cf7"/>
                <w:lock w:val="sdtLocked"/>
                <w:richText/>
              </w:sdtPr>
              <w:sdtContent>
                <w:p>
                  <w:pPr>
                    <w:ind w:firstLine="720"/>
                    <w:jc w:val="both"/>
                  </w:pPr>
                  <w:sdt>
                    <w:sdtPr>
                      <w:alias w:val="Numeris"/>
                      <w:tag w:val="nr_976a44bf000c4766a2c664843afe4cf7"/>
                      <w:lock w:val="sdtLocked"/>
                      <w:richText/>
                    </w:sdtPr>
                    <w:sdtContent>
                      <w:r>
                        <w:rPr>
                          <w:bCs/>
                          <w:color w:val="000000"/>
                          <w:szCs w:val="24"/>
                          <w:lang w:eastAsia="lt-LT"/>
                        </w:rPr>
                        <w:t>107</w:t>
                      </w:r>
                      <w:r>
                        <w:rPr>
                          <w:bCs/>
                          <w:color w:val="000000"/>
                          <w:szCs w:val="24"/>
                          <w:vertAlign w:val="superscript"/>
                          <w:lang w:eastAsia="lt-LT"/>
                        </w:rPr>
                        <w:t>1</w:t>
                      </w:r>
                    </w:sdtContent>
                  </w:sdt>
                  <w:r>
                    <w:rPr>
                      <w:bCs/>
                      <w:color w:val="000000"/>
                      <w:szCs w:val="24"/>
                      <w:lang w:eastAsia="lt-LT"/>
                    </w:rPr>
                    <w:t>.</w:t>
                  </w:r>
                  <w:r>
                    <w:rPr>
                      <w:bCs/>
                      <w:sz w:val="22"/>
                      <w:szCs w:val="22"/>
                    </w:rPr>
                    <w:t xml:space="preserve"> </w:t>
                  </w:r>
                  <w:r>
                    <w:rPr>
                      <w:bCs/>
                      <w:color w:val="000000"/>
                      <w:szCs w:val="24"/>
                      <w:lang w:eastAsia="lt-LT"/>
                    </w:rPr>
                    <w:t>Visuomeninės kainos viršutinės ribos</w:t>
                  </w:r>
                  <w:r>
                    <w:rPr>
                      <w:bCs/>
                      <w:i/>
                      <w:color w:val="000000"/>
                      <w:szCs w:val="24"/>
                      <w:lang w:eastAsia="lt-LT"/>
                    </w:rPr>
                    <w:t xml:space="preserve"> t</w:t>
                  </w:r>
                  <w:r>
                    <w:rPr>
                      <w:bCs/>
                      <w:color w:val="000000"/>
                      <w:szCs w:val="24"/>
                      <w:lang w:eastAsia="lt-LT"/>
                    </w:rPr>
                    <w:t xml:space="preserve"> metais prie VĮ ir ŽĮ tinklų prisijungusiems buitiniams vartotojams nustatomos atskirai. Prie VĮ tinklų prisijungusių buitinių vartotojų visuomeninės kainos viršutinei ribai ir prie ŽĮ tinklų prisijungusių buitinių vartotojų visuomeninės kainos viršutinei ribai nustatyti gali būti taikoma skirtinga </w:t>
                  </w:r>
                  <w:r>
                    <w:rPr>
                      <w:bCs/>
                      <w:i/>
                      <w:color w:val="000000"/>
                      <w:szCs w:val="24"/>
                      <w:lang w:eastAsia="lt-LT"/>
                    </w:rPr>
                    <w:t>t</w:t>
                  </w:r>
                  <w:r>
                    <w:rPr>
                      <w:bCs/>
                      <w:color w:val="000000"/>
                      <w:szCs w:val="24"/>
                      <w:lang w:eastAsia="lt-LT"/>
                    </w:rPr>
                    <w:t xml:space="preserve"> metų elektros energijos skirstymo paslaugos VĮ tinklais kainos viršutinė riba, nustatoma atsižvelgiant į skirstymo tinklų operatoriaus pateikiamą elektros energijos skirstymo paslaugos teikimo sąnaudų priskyrimo buitiniams vartotojams koeficientą, priklausomai nuo prie kurios įtampos tinklų prijungti vartotojai. Prie VĮ tinklų prisijungusiems vartotojams ir prie ŽĮ tinklų prisijungusiems vartotojams taikomų elektros energijos skirstymo paslaugos VĮ tinklais kainų viršutinių ribų </w:t>
                  </w:r>
                  <w:r>
                    <w:rPr>
                      <w:bCs/>
                      <w:i/>
                      <w:color w:val="000000"/>
                      <w:szCs w:val="24"/>
                      <w:lang w:eastAsia="lt-LT"/>
                    </w:rPr>
                    <w:t>t</w:t>
                  </w:r>
                  <w:r>
                    <w:rPr>
                      <w:bCs/>
                      <w:color w:val="000000"/>
                      <w:szCs w:val="24"/>
                      <w:lang w:eastAsia="lt-LT"/>
                    </w:rPr>
                    <w:t xml:space="preserve"> metais svertinis vidurkis negali viršyti Reguliuojančiosios institucijos nustatytos elektros energijos skirstymo paslaugos VĮ tinklais kainų viršutinės ribos </w:t>
                  </w:r>
                  <w:r>
                    <w:rPr>
                      <w:bCs/>
                      <w:i/>
                      <w:color w:val="000000"/>
                      <w:szCs w:val="24"/>
                      <w:lang w:eastAsia="lt-LT"/>
                    </w:rPr>
                    <w:t xml:space="preserve">t </w:t>
                  </w:r>
                  <w:r>
                    <w:rPr>
                      <w:bCs/>
                      <w:color w:val="000000"/>
                      <w:szCs w:val="24"/>
                      <w:lang w:eastAsia="lt-LT"/>
                    </w:rPr>
                    <w:t>metais.</w:t>
                  </w:r>
                  <w:r>
                    <w:t xml:space="preserve"> </w:t>
                  </w:r>
                </w:p>
                <w:p>
                  <w:pPr>
                    <w:jc w:val="both"/>
                    <w:rPr>
                      <w:i/>
                      <w:sz w:val="20"/>
                    </w:rPr>
                  </w:pPr>
                  <w:r>
                    <w:rPr>
                      <w:i/>
                      <w:sz w:val="20"/>
                    </w:rPr>
                    <w:t>TAR pastaba. 107</w:t>
                  </w:r>
                  <w:r>
                    <w:rPr>
                      <w:i/>
                      <w:sz w:val="20"/>
                      <w:vertAlign w:val="superscript"/>
                    </w:rPr>
                    <w:t>1</w:t>
                  </w:r>
                  <w:r>
                    <w:rPr>
                      <w:i/>
                      <w:sz w:val="20"/>
                    </w:rPr>
                    <w:t xml:space="preserve"> punkto nuostatos taikomos </w:t>
                  </w:r>
                  <w:r>
                    <w:rPr>
                      <w:bCs/>
                      <w:i/>
                      <w:sz w:val="20"/>
                    </w:rPr>
                    <w:t>nustatant arba koreguojant 2020 metų ir vėlesnių laikotarpių elektros energijos perdavimo, skirstymo ir visuomeninio tiekimo paslaugų bei visuomeninės kainos viršutines ribas.</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2bc050eb6011e99681cd81dcdca52c">
                    <w:r w:rsidRPr="00532B9F">
                      <w:rPr>
                        <w:rFonts w:ascii="Times New Roman" w:eastAsia="MS Mincho" w:hAnsi="Times New Roman"/>
                        <w:sz w:val="20"/>
                        <w:i/>
                        <w:iCs/>
                        <w:color w:val="0000FF" w:themeColor="hyperlink"/>
                        <w:u w:val="single"/>
                      </w:rPr>
                      <w:t>O3E-548</w:t>
                    </w:r>
                  </w:fldSimple>
                  <w:r>
                    <w:rPr>
                      <w:rFonts w:ascii="Times New Roman" w:eastAsia="MS Mincho" w:hAnsi="Times New Roman"/>
                      <w:sz w:val="20"/>
                      <w:i/>
                      <w:iCs/>
                    </w:rPr>
                    <w:t>,
2019-10-10,
paskelbta TAR 2019-10-10, i. k. 2019-16169        </w:t>
                  </w:r>
                </w:p>
                <w:p/>
              </w:sdtContent>
            </w:sdt>
            <w:sdt>
              <w:sdtPr>
                <w:alias w:val="107-2 p."/>
                <w:tag w:val="part_4570bd0a94ec4ecc85bdebc8b39e0860"/>
                <w:lock w:val="sdtLocked"/>
                <w:richText/>
              </w:sdtPr>
              <w:sdtContent>
                <w:p>
                  <w:pPr>
                    <w:ind w:firstLine="720"/>
                    <w:jc w:val="both"/>
                  </w:pPr>
                  <w:sdt>
                    <w:sdtPr>
                      <w:alias w:val="Numeris"/>
                      <w:tag w:val="nr_4570bd0a94ec4ecc85bdebc8b39e0860"/>
                      <w:lock w:val="sdtLocked"/>
                      <w:richText/>
                    </w:sdtPr>
                    <w:sdtContent>
                      <w:r>
                        <w:rPr>
                          <w:bCs/>
                          <w:color w:val="000000"/>
                          <w:szCs w:val="24"/>
                          <w:lang w:eastAsia="lt-LT"/>
                        </w:rPr>
                        <w:t>107</w:t>
                      </w:r>
                      <w:r>
                        <w:rPr>
                          <w:bCs/>
                          <w:color w:val="000000"/>
                          <w:szCs w:val="24"/>
                          <w:vertAlign w:val="superscript"/>
                          <w:lang w:eastAsia="lt-LT"/>
                        </w:rPr>
                        <w:t>2</w:t>
                      </w:r>
                    </w:sdtContent>
                  </w:sdt>
                  <w:r>
                    <w:rPr>
                      <w:bCs/>
                      <w:color w:val="000000"/>
                      <w:szCs w:val="24"/>
                      <w:lang w:eastAsia="lt-LT"/>
                    </w:rPr>
                    <w:t xml:space="preserve">. Kai visuomeninis tiekėjas teikia visuomeninio tiekimo paslaugą kelių skirstymo tinklų operatorių licencijuojamose veiklos teritorijose, nustatant visuomeninės elektros energijos kainos viršutinę ribą, </w:t>
                  </w:r>
                  <w:r>
                    <w:rPr>
                      <w:bCs/>
                      <w:i/>
                      <w:iCs/>
                      <w:color w:val="000000"/>
                      <w:szCs w:val="24"/>
                      <w:lang w:eastAsia="lt-LT"/>
                    </w:rPr>
                    <w:t>t</w:t>
                  </w:r>
                  <w:r>
                    <w:rPr>
                      <w:bCs/>
                      <w:color w:val="000000"/>
                      <w:szCs w:val="24"/>
                      <w:lang w:eastAsia="lt-LT"/>
                    </w:rPr>
                    <w:t xml:space="preserve"> metais, yra taikomos daugiausiai buitinių vartotojų turinčio skirstymo tinklų operatoriaus elektros energijos skirstymo paslaugų, priklausomai nuo to, iš kurios įtampos tinklų vartotojas gauna elektros energiją, kainų viršutinės ribos. </w:t>
                  </w:r>
                  <w:r>
                    <w:rPr>
                      <w:color w:val="000000"/>
                      <w:szCs w:val="24"/>
                      <w:lang w:eastAsia="lt-LT"/>
                    </w:rPr>
                    <w:t>Skirtumas visuomeninio tiekėjo visuomeninės elektros energijos kainos viršutinėje riboje taikytų ir faktinių elektros energijos skirstymo paslaugų VĮ ir ŽĮ tinkluose kainų viršutinių ribų</w:t>
                  </w:r>
                  <w:r>
                    <w:rPr>
                      <w:bCs/>
                      <w:color w:val="000000"/>
                      <w:szCs w:val="24"/>
                      <w:lang w:eastAsia="lt-LT"/>
                    </w:rPr>
                    <w:t xml:space="preserve">, visuomeniniam tiekėjui veikiant kelių skirstomųjų tinklų operatorių licencijuojamos veiklos teritorijose, </w:t>
                  </w:r>
                  <w:r>
                    <w:rPr>
                      <w:bCs/>
                      <w:i/>
                      <w:iCs/>
                      <w:color w:val="000000"/>
                      <w:szCs w:val="24"/>
                      <w:lang w:eastAsia="lt-LT"/>
                    </w:rPr>
                    <w:t>t</w:t>
                  </w:r>
                  <w:r>
                    <w:rPr>
                      <w:bCs/>
                      <w:color w:val="000000"/>
                      <w:szCs w:val="24"/>
                      <w:lang w:eastAsia="lt-LT"/>
                    </w:rPr>
                    <w:t>-2</w:t>
                  </w:r>
                  <w:r>
                    <w:rPr>
                      <w:bCs/>
                      <w:i/>
                      <w:iCs/>
                      <w:color w:val="000000"/>
                      <w:szCs w:val="24"/>
                      <w:lang w:eastAsia="lt-LT"/>
                    </w:rPr>
                    <w:t xml:space="preserve"> </w:t>
                  </w:r>
                  <w:r>
                    <w:rPr>
                      <w:bCs/>
                      <w:color w:val="000000"/>
                      <w:szCs w:val="24"/>
                      <w:lang w:eastAsia="lt-LT"/>
                    </w:rPr>
                    <w:t>metais yra apskaičiuojamas pagal Metodikos 111</w:t>
                  </w:r>
                  <w:r>
                    <w:rPr>
                      <w:bCs/>
                      <w:color w:val="000000"/>
                      <w:szCs w:val="24"/>
                      <w:vertAlign w:val="superscript"/>
                      <w:lang w:eastAsia="lt-LT"/>
                    </w:rPr>
                    <w:t>2</w:t>
                  </w:r>
                  <w:r>
                    <w:rPr>
                      <w:bCs/>
                      <w:color w:val="000000"/>
                      <w:szCs w:val="24"/>
                      <w:lang w:eastAsia="lt-LT"/>
                    </w:rPr>
                    <w:t xml:space="preserve"> punkte nustatytą formulę ir kompensuojamas Metodikos 107 punkte numatyta tvarka.</w:t>
                  </w:r>
                  <w:r>
                    <w:t xml:space="preserve"> </w:t>
                  </w:r>
                </w:p>
                <w:p>
                  <w:pPr>
                    <w:jc w:val="both"/>
                    <w:rPr>
                      <w:i/>
                      <w:sz w:val="20"/>
                      <w:lang w:eastAsia="lt-LT"/>
                    </w:rPr>
                  </w:pPr>
                  <w:r>
                    <w:rPr>
                      <w:b/>
                      <w:i/>
                      <w:sz w:val="20"/>
                    </w:rPr>
                    <w:t>TAR pastaba.</w:t>
                  </w:r>
                  <w:r>
                    <w:rPr>
                      <w:i/>
                      <w:sz w:val="20"/>
                    </w:rPr>
                    <w:t xml:space="preserve"> 107</w:t>
                  </w:r>
                  <w:r>
                    <w:rPr>
                      <w:i/>
                      <w:sz w:val="20"/>
                      <w:vertAlign w:val="superscript"/>
                    </w:rPr>
                    <w:t>2</w:t>
                  </w:r>
                  <w:r>
                    <w:rPr>
                      <w:i/>
                      <w:sz w:val="20"/>
                    </w:rPr>
                    <w:t xml:space="preserve"> punkto nuostatos </w:t>
                  </w:r>
                  <w:r>
                    <w:rPr>
                      <w:bCs/>
                      <w:i/>
                      <w:sz w:val="20"/>
                    </w:rPr>
                    <w:t>nustatant arba koreguojant 2020 metų ir vėlesnių laikotarpių elektros energijos perdavimo, skirstymo ir visuomeninio tiekimo paslaugų bei visuomeninės kainos viršutines ribas.</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2bc050eb6011e99681cd81dcdca52c">
                    <w:r w:rsidRPr="00532B9F">
                      <w:rPr>
                        <w:rFonts w:ascii="Times New Roman" w:eastAsia="MS Mincho" w:hAnsi="Times New Roman"/>
                        <w:sz w:val="20"/>
                        <w:i/>
                        <w:iCs/>
                        <w:color w:val="0000FF" w:themeColor="hyperlink"/>
                        <w:u w:val="single"/>
                      </w:rPr>
                      <w:t>O3E-548</w:t>
                    </w:r>
                  </w:fldSimple>
                  <w:r>
                    <w:rPr>
                      <w:rFonts w:ascii="Times New Roman" w:eastAsia="MS Mincho" w:hAnsi="Times New Roman"/>
                      <w:sz w:val="20"/>
                      <w:i/>
                      <w:iCs/>
                    </w:rPr>
                    <w:t>,
2019-10-10,
paskelbta TAR 2019-10-10, i. k. 2019-16169        </w:t>
                  </w:r>
                </w:p>
                <w:p/>
              </w:sdtContent>
            </w:sdt>
            <w:sdt>
              <w:sdtPr>
                <w:alias w:val="108 p."/>
                <w:tag w:val="part_5d22d755bd5b4ae89af41af36abc2135"/>
                <w:lock w:val="sdtLocked"/>
                <w:richText/>
              </w:sdtPr>
              <w:sdtContent>
                <w:p>
                  <w:pPr>
                    <w:tabs>
                      <w:tab w:val="left" w:pos="1260"/>
                      <w:tab w:val="left" w:pos="1843"/>
                      <w:tab w:val="left" w:pos="2268"/>
                    </w:tabs>
                    <w:ind w:right="-1" w:firstLine="720"/>
                    <w:jc w:val="both"/>
                    <w:rPr>
                      <w:szCs w:val="24"/>
                    </w:rPr>
                  </w:pPr>
                  <w:sdt>
                    <w:sdtPr>
                      <w:alias w:val="Numeris"/>
                      <w:tag w:val="nr_5d22d755bd5b4ae89af41af36abc2135"/>
                      <w:lock w:val="sdtLocked"/>
                      <w:richText/>
                    </w:sdtPr>
                    <w:sdtContent>
                      <w:r>
                        <w:rPr>
                          <w:szCs w:val="24"/>
                        </w:rPr>
                        <w:t>108</w:t>
                      </w:r>
                    </w:sdtContent>
                  </w:sdt>
                  <w:r>
                    <w:rPr>
                      <w:szCs w:val="24"/>
                    </w:rPr>
                    <w:t>. Elektros energijos įsigijimo kainos bei prognozuotos ir faktinės elektros energijos įsigijimo kainos skirtumas nustatomas remiantis paslaugos teikėjo pateiktų faktinių ir prognozuotų duomenų analize. Jei Įmonė įsigijo ar planuoja įsigyti elektros energiją brangiau nei galima pagal objektyvią situaciją rinkoje, Komisijos motyvuotu sprendimu dalis elektros energijos kaštų neįskaičiuojama į visuomeninės elektros energijos kainos viršutinę ribą.</w:t>
                  </w:r>
                </w:p>
              </w:sdtContent>
            </w:sdt>
            <w:sdt>
              <w:sdtPr>
                <w:alias w:val="109 p."/>
                <w:tag w:val="part_20bcc833610d4eb6a949e1f4e99bd21a"/>
                <w:lock w:val="sdtLocked"/>
                <w:richText/>
              </w:sdtPr>
              <w:sdtContent>
                <w:p>
                  <w:pPr>
                    <w:tabs>
                      <w:tab w:val="left" w:pos="1260"/>
                      <w:tab w:val="left" w:pos="1843"/>
                      <w:tab w:val="left" w:pos="2268"/>
                    </w:tabs>
                    <w:ind w:right="-1" w:firstLine="720"/>
                    <w:jc w:val="both"/>
                    <w:rPr>
                      <w:szCs w:val="24"/>
                    </w:rPr>
                  </w:pPr>
                  <w:sdt>
                    <w:sdtPr>
                      <w:alias w:val="Numeris"/>
                      <w:tag w:val="nr_20bcc833610d4eb6a949e1f4e99bd21a"/>
                      <w:lock w:val="sdtLocked"/>
                      <w:richText/>
                    </w:sdtPr>
                    <w:sdtContent>
                      <w:r>
                        <w:rPr>
                          <w:szCs w:val="24"/>
                        </w:rPr>
                        <w:t>109</w:t>
                      </w:r>
                    </w:sdtContent>
                  </w:sdt>
                  <w:r>
                    <w:rPr>
                      <w:szCs w:val="24"/>
                    </w:rPr>
                    <w:t xml:space="preserve">. Komisijos sprendimu įvertinamas prognozuotos elektros energijos įsigijimo kainos ir faktinės elektros energijos įsigijimo kainos, kurią faktiškai mokėjo visuomeninis tiekėjas, skirtumas kainos galiojimo laikotarpiui </w:t>
                  </w:r>
                  <w:r>
                    <w:rPr>
                      <w:i/>
                      <w:szCs w:val="24"/>
                    </w:rPr>
                    <w:t>t-2</w:t>
                  </w:r>
                  <w:r>
                    <w:rPr>
                      <w:szCs w:val="24"/>
                    </w:rPr>
                    <w:t xml:space="preserve"> ir apskaičiuojamas pagal formulę:</w:t>
                  </w:r>
                </w:p>
                <w:p>
                  <w:pPr>
                    <w:tabs>
                      <w:tab w:val="left" w:pos="1260"/>
                      <w:tab w:val="left" w:pos="1843"/>
                      <w:tab w:val="left" w:pos="2268"/>
                    </w:tabs>
                    <w:ind w:right="-1"/>
                    <w:jc w:val="both"/>
                    <w:rPr>
                      <w:szCs w:val="24"/>
                    </w:rPr>
                  </w:pPr>
                </w:p>
                <w:p>
                  <w:pPr>
                    <w:tabs>
                      <w:tab w:val="left" w:pos="9214"/>
                    </w:tabs>
                    <w:ind w:right="-1"/>
                    <w:jc w:val="both"/>
                    <w:rPr>
                      <w:szCs w:val="24"/>
                    </w:rPr>
                  </w:pPr>
                  <w:r>
                    <w:rPr>
                      <w:szCs w:val="24"/>
                      <w:lang w:eastAsia="lt-LT"/>
                    </w:rPr>
                    <w:drawing>
                      <wp:inline distT="0" distB="0" distL="0" distR="0">
                        <wp:extent cx="2076450" cy="476250"/>
                        <wp:effectExtent l="0" t="0" r="0" b="0"/>
                        <wp:docPr id="11" name="Paveikslėlis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076450" cy="476250"/>
                                </a:xfrm>
                                <a:prstGeom prst="rect">
                                  <a:avLst/>
                                </a:prstGeom>
                                <a:noFill/>
                              </pic:spPr>
                            </pic:pic>
                          </a:graphicData>
                        </a:graphic>
                      </wp:inline>
                    </w:drawing>
                  </w:r>
                  <w:r>
                    <w:rPr>
                      <w:szCs w:val="24"/>
                    </w:rPr>
                    <w:tab/>
                    <w:t>(66)</w:t>
                  </w:r>
                </w:p>
                <w:p>
                  <w:pPr>
                    <w:tabs>
                      <w:tab w:val="left" w:pos="1134"/>
                      <w:tab w:val="left" w:pos="1843"/>
                      <w:tab w:val="left" w:pos="2268"/>
                    </w:tabs>
                    <w:jc w:val="both"/>
                    <w:rPr>
                      <w:szCs w:val="24"/>
                    </w:rPr>
                  </w:pPr>
                </w:p>
                <w:p>
                  <w:pPr>
                    <w:tabs>
                      <w:tab w:val="left" w:pos="1134"/>
                      <w:tab w:val="left" w:pos="1843"/>
                      <w:tab w:val="left" w:pos="2268"/>
                      <w:tab w:val="left" w:pos="7240"/>
                    </w:tabs>
                    <w:suppressAutoHyphens/>
                    <w:jc w:val="both"/>
                    <w:rPr>
                      <w:i/>
                      <w:szCs w:val="24"/>
                      <w:lang w:eastAsia="lt-LT"/>
                    </w:rPr>
                  </w:pPr>
                  <w:r>
                    <w:rPr>
                      <w:i/>
                      <w:szCs w:val="24"/>
                      <w:lang w:eastAsia="lt-LT"/>
                    </w:rPr>
                    <w:t>čia:</w:t>
                  </w:r>
                </w:p>
                <w:p>
                  <w:pPr>
                    <w:tabs>
                      <w:tab w:val="left" w:pos="1134"/>
                      <w:tab w:val="left" w:pos="1843"/>
                      <w:tab w:val="left" w:pos="2268"/>
                    </w:tabs>
                    <w:jc w:val="both"/>
                    <w:rPr>
                      <w:bCs/>
                      <w:szCs w:val="24"/>
                      <w:lang w:eastAsia="lt-LT"/>
                    </w:rPr>
                  </w:pPr>
                  <w:r>
                    <w:rPr>
                      <w:bCs/>
                      <w:szCs w:val="24"/>
                      <w:lang w:eastAsia="lt-LT"/>
                    </w:rPr>
                    <w:t>ΔT</w:t>
                  </w:r>
                  <w:r>
                    <w:rPr>
                      <w:bCs/>
                      <w:szCs w:val="24"/>
                      <w:vertAlign w:val="subscript"/>
                      <w:lang w:eastAsia="lt-LT"/>
                    </w:rPr>
                    <w:t>g,t-2</w:t>
                  </w:r>
                  <w:r>
                    <w:rPr>
                      <w:bCs/>
                      <w:szCs w:val="24"/>
                      <w:lang w:eastAsia="lt-LT"/>
                    </w:rPr>
                    <w:t xml:space="preserve"> – </w:t>
                  </w:r>
                  <w:r>
                    <w:rPr>
                      <w:bCs/>
                      <w:i/>
                      <w:szCs w:val="24"/>
                      <w:lang w:eastAsia="lt-LT"/>
                    </w:rPr>
                    <w:t>t-2</w:t>
                  </w:r>
                  <w:r>
                    <w:rPr>
                      <w:bCs/>
                      <w:szCs w:val="24"/>
                      <w:lang w:eastAsia="lt-LT"/>
                    </w:rPr>
                    <w:t xml:space="preserve"> metų faktinės elektros energijos įsigijimo kainos ir prognozuotos elektros energijos įsigijimo kainos skirtumas, EUR/kWh;</w:t>
                  </w:r>
                </w:p>
                <w:p>
                  <w:pPr>
                    <w:tabs>
                      <w:tab w:val="left" w:pos="1134"/>
                      <w:tab w:val="left" w:pos="1843"/>
                      <w:tab w:val="left" w:pos="2268"/>
                    </w:tabs>
                    <w:jc w:val="both"/>
                    <w:rPr>
                      <w:bCs/>
                      <w:szCs w:val="24"/>
                      <w:lang w:eastAsia="lt-LT"/>
                    </w:rPr>
                  </w:pPr>
                  <w:r>
                    <w:rPr>
                      <w:bCs/>
                      <w:szCs w:val="24"/>
                      <w:lang w:eastAsia="lt-LT"/>
                    </w:rPr>
                    <w:t>T</w:t>
                  </w:r>
                  <w:r>
                    <w:rPr>
                      <w:bCs/>
                      <w:szCs w:val="24"/>
                      <w:vertAlign w:val="subscript"/>
                      <w:lang w:eastAsia="lt-LT"/>
                    </w:rPr>
                    <w:t>g,t-2</w:t>
                  </w:r>
                  <w:r>
                    <w:rPr>
                      <w:bCs/>
                      <w:szCs w:val="24"/>
                      <w:lang w:eastAsia="lt-LT"/>
                    </w:rPr>
                    <w:t xml:space="preserve"> – </w:t>
                  </w:r>
                  <w:r>
                    <w:rPr>
                      <w:bCs/>
                      <w:i/>
                      <w:szCs w:val="24"/>
                      <w:lang w:eastAsia="lt-LT"/>
                    </w:rPr>
                    <w:t>t-2</w:t>
                  </w:r>
                  <w:r>
                    <w:rPr>
                      <w:bCs/>
                      <w:szCs w:val="24"/>
                      <w:lang w:eastAsia="lt-LT"/>
                    </w:rPr>
                    <w:t xml:space="preserve"> metams nustatyta elektros energijos įsigijimo kaina, EUR/kWh;</w:t>
                  </w:r>
                </w:p>
                <w:p>
                  <w:pPr>
                    <w:tabs>
                      <w:tab w:val="left" w:pos="1134"/>
                      <w:tab w:val="left" w:pos="1843"/>
                      <w:tab w:val="left" w:pos="2268"/>
                    </w:tabs>
                    <w:jc w:val="both"/>
                    <w:rPr>
                      <w:szCs w:val="24"/>
                    </w:rPr>
                  </w:pPr>
                  <w:r>
                    <w:rPr>
                      <w:iCs/>
                      <w:szCs w:val="24"/>
                    </w:rPr>
                    <w:t>T</w:t>
                  </w:r>
                  <w:r>
                    <w:rPr>
                      <w:iCs/>
                      <w:szCs w:val="24"/>
                      <w:vertAlign w:val="subscript"/>
                    </w:rPr>
                    <w:t>g,t</w:t>
                  </w:r>
                  <w:r>
                    <w:rPr>
                      <w:szCs w:val="24"/>
                      <w:vertAlign w:val="subscript"/>
                    </w:rPr>
                    <w:t xml:space="preserve">-2,f </w:t>
                  </w:r>
                  <w:r>
                    <w:rPr>
                      <w:szCs w:val="24"/>
                    </w:rPr>
                    <w:t>– faktinė elektros energijos įsigijimo kaina nustatyta</w:t>
                  </w:r>
                  <w:r>
                    <w:rPr>
                      <w:i/>
                      <w:iCs/>
                      <w:szCs w:val="24"/>
                    </w:rPr>
                    <w:t xml:space="preserve"> </w:t>
                  </w:r>
                  <w:r>
                    <w:rPr>
                      <w:szCs w:val="24"/>
                    </w:rPr>
                    <w:t>jos galiojimo laikotarpiui</w:t>
                  </w:r>
                  <w:r>
                    <w:rPr>
                      <w:i/>
                      <w:iCs/>
                      <w:szCs w:val="24"/>
                    </w:rPr>
                    <w:t xml:space="preserve"> t</w:t>
                  </w:r>
                  <w:r>
                    <w:rPr>
                      <w:i/>
                      <w:szCs w:val="24"/>
                    </w:rPr>
                    <w:t>-2</w:t>
                  </w:r>
                  <w:r>
                    <w:rPr>
                      <w:szCs w:val="24"/>
                    </w:rPr>
                    <w:t xml:space="preserve">, </w:t>
                  </w:r>
                  <w:r>
                    <w:rPr>
                      <w:szCs w:val="24"/>
                      <w:lang w:eastAsia="lt-LT"/>
                    </w:rPr>
                    <w:t>EUR</w:t>
                  </w:r>
                  <w:r>
                    <w:rPr>
                      <w:szCs w:val="24"/>
                    </w:rPr>
                    <w:t>/kWh;</w:t>
                  </w:r>
                </w:p>
                <w:p>
                  <w:pPr>
                    <w:tabs>
                      <w:tab w:val="left" w:pos="1134"/>
                      <w:tab w:val="left" w:pos="1843"/>
                      <w:tab w:val="left" w:pos="2268"/>
                    </w:tabs>
                    <w:jc w:val="both"/>
                    <w:rPr>
                      <w:szCs w:val="24"/>
                    </w:rPr>
                  </w:pPr>
                  <w:r>
                    <w:rPr>
                      <w:szCs w:val="24"/>
                    </w:rPr>
                    <w:t>E</w:t>
                  </w:r>
                  <w:r>
                    <w:rPr>
                      <w:szCs w:val="24"/>
                      <w:vertAlign w:val="subscript"/>
                    </w:rPr>
                    <w:t>vt,t</w:t>
                  </w:r>
                  <w:r>
                    <w:rPr>
                      <w:szCs w:val="24"/>
                    </w:rPr>
                    <w:t xml:space="preserve"> – visuomeninio tiekėjo prognozuojamas parduoti elektros energijos kiekis </w:t>
                  </w:r>
                  <w:r>
                    <w:rPr>
                      <w:i/>
                      <w:szCs w:val="24"/>
                    </w:rPr>
                    <w:t xml:space="preserve">t </w:t>
                  </w:r>
                  <w:r>
                    <w:rPr>
                      <w:szCs w:val="24"/>
                    </w:rPr>
                    <w:t>metais, kWh;</w:t>
                  </w:r>
                </w:p>
                <w:p>
                  <w:pPr>
                    <w:tabs>
                      <w:tab w:val="left" w:pos="1134"/>
                      <w:tab w:val="left" w:pos="1843"/>
                      <w:tab w:val="left" w:pos="2268"/>
                    </w:tabs>
                    <w:jc w:val="both"/>
                    <w:rPr>
                      <w:szCs w:val="24"/>
                    </w:rPr>
                  </w:pPr>
                  <w:r>
                    <w:rPr>
                      <w:szCs w:val="24"/>
                    </w:rPr>
                    <w:t>E</w:t>
                  </w:r>
                  <w:r>
                    <w:rPr>
                      <w:szCs w:val="24"/>
                      <w:vertAlign w:val="subscript"/>
                    </w:rPr>
                    <w:t>vt,t-2</w:t>
                  </w:r>
                  <w:r>
                    <w:rPr>
                      <w:szCs w:val="24"/>
                    </w:rPr>
                    <w:t xml:space="preserve"> – </w:t>
                  </w:r>
                  <w:r>
                    <w:rPr>
                      <w:i/>
                      <w:szCs w:val="24"/>
                    </w:rPr>
                    <w:t>t-2</w:t>
                  </w:r>
                  <w:r>
                    <w:rPr>
                      <w:szCs w:val="24"/>
                    </w:rPr>
                    <w:t xml:space="preserve"> metams visuomeninio tiekėjo prognozuotas parduoti elektros energijos kiekis , kWh.</w:t>
                  </w:r>
                </w:p>
              </w:sdtContent>
            </w:sdt>
            <w:sdt>
              <w:sdtPr>
                <w:alias w:val="109-1 p."/>
                <w:tag w:val="part_338c307b26604048b1681951571d924d"/>
                <w:lock w:val="sdtLocked"/>
                <w:richText/>
              </w:sdtPr>
              <w:sdtContent>
                <w:p>
                  <w:pPr>
                    <w:ind w:firstLine="709"/>
                    <w:jc w:val="both"/>
                  </w:pPr>
                  <w:sdt>
                    <w:sdtPr>
                      <w:alias w:val="Numeris"/>
                      <w:tag w:val="nr_338c307b26604048b1681951571d924d"/>
                      <w:lock w:val="sdtLocked"/>
                      <w:richText/>
                    </w:sdtPr>
                    <w:sdtContent>
                      <w:r>
                        <w:rPr>
                          <w:bCs/>
                          <w:szCs w:val="24"/>
                          <w:lang w:eastAsia="lt-LT"/>
                        </w:rPr>
                        <w:t>109</w:t>
                      </w:r>
                      <w:r>
                        <w:rPr>
                          <w:bCs/>
                          <w:szCs w:val="24"/>
                          <w:vertAlign w:val="superscript"/>
                          <w:lang w:eastAsia="lt-LT"/>
                        </w:rPr>
                        <w:t>1</w:t>
                      </w:r>
                    </w:sdtContent>
                  </w:sdt>
                  <w:r>
                    <w:rPr>
                      <w:bCs/>
                      <w:szCs w:val="24"/>
                      <w:lang w:eastAsia="lt-LT"/>
                    </w:rPr>
                    <w:t xml:space="preserve">. Kai pagal Metodikos 109 punktą apskaičiuotas </w:t>
                  </w:r>
                  <w:r>
                    <w:rPr>
                      <w:bCs/>
                      <w:color w:val="000000"/>
                      <w:szCs w:val="24"/>
                      <w:lang w:eastAsia="lt-LT"/>
                    </w:rPr>
                    <w:t>prognozuotos elektros energijos įsigijimo kainos ir faktinės elektros energijos įsigijimo kainos</w:t>
                  </w:r>
                  <w:r>
                    <w:rPr>
                      <w:bCs/>
                      <w:szCs w:val="24"/>
                      <w:lang w:eastAsia="lt-LT"/>
                    </w:rPr>
                    <w:t xml:space="preserve">, kurią faktiškai mokėjo visuomeninis tiekėjas, </w:t>
                  </w:r>
                  <w:r>
                    <w:rPr>
                      <w:bCs/>
                      <w:color w:val="000000"/>
                      <w:szCs w:val="24"/>
                      <w:lang w:eastAsia="lt-LT"/>
                    </w:rPr>
                    <w:t xml:space="preserve">skirtumas sudaro daugiau nei 10 proc. prognozuotos elektros energijos įsigijimo kainos, įvertinusi visuomeninio tiekėjo teikimą </w:t>
                  </w:r>
                  <w:r>
                    <w:rPr>
                      <w:bCs/>
                      <w:szCs w:val="24"/>
                      <w:lang w:eastAsia="lt-LT"/>
                    </w:rPr>
                    <w:t>Reguliuojančiosios institucijos motyvuotu sprendimu šį skirtumą gali išdėstyti per ilgesnį nei vienerių metų laikotarpį, bet ne ilgesnį, kaip 3 metai arba kitą pagrįstą laikotarpį.</w:t>
                  </w:r>
                  <w:r>
                    <w:t xml:space="preserve"> </w:t>
                  </w:r>
                </w:p>
                <w:p>
                  <w:pPr>
                    <w:jc w:val="both"/>
                    <w:rPr>
                      <w:i/>
                      <w:sz w:val="20"/>
                    </w:rPr>
                  </w:pPr>
                  <w:r>
                    <w:rPr>
                      <w:b/>
                      <w:i/>
                      <w:sz w:val="20"/>
                    </w:rPr>
                    <w:t>TAR pastaba.</w:t>
                  </w:r>
                  <w:r>
                    <w:rPr>
                      <w:i/>
                      <w:sz w:val="20"/>
                    </w:rPr>
                    <w:t xml:space="preserve"> 109</w:t>
                  </w:r>
                  <w:r>
                    <w:rPr>
                      <w:i/>
                      <w:sz w:val="20"/>
                      <w:vertAlign w:val="superscript"/>
                    </w:rPr>
                    <w:t>1</w:t>
                  </w:r>
                  <w:r>
                    <w:rPr>
                      <w:i/>
                      <w:sz w:val="20"/>
                    </w:rPr>
                    <w:t xml:space="preserve"> punkto nuostatos taikomos </w:t>
                  </w:r>
                  <w:r>
                    <w:rPr>
                      <w:bCs/>
                      <w:i/>
                      <w:sz w:val="20"/>
                    </w:rPr>
                    <w:t>nustatant arba koreguojant 2020 metų ir vėlesnių laikotarpių elektros energijos perdavimo, skirstymo ir visuomeninio tiekimo paslaugų bei visuomeninės kainos viršutines ribas.</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2bc050eb6011e99681cd81dcdca52c">
                    <w:r w:rsidRPr="00532B9F">
                      <w:rPr>
                        <w:rFonts w:ascii="Times New Roman" w:eastAsia="MS Mincho" w:hAnsi="Times New Roman"/>
                        <w:sz w:val="20"/>
                        <w:i/>
                        <w:iCs/>
                        <w:color w:val="0000FF" w:themeColor="hyperlink"/>
                        <w:u w:val="single"/>
                      </w:rPr>
                      <w:t>O3E-548</w:t>
                    </w:r>
                  </w:fldSimple>
                  <w:r>
                    <w:rPr>
                      <w:rFonts w:ascii="Times New Roman" w:eastAsia="MS Mincho" w:hAnsi="Times New Roman"/>
                      <w:sz w:val="20"/>
                      <w:i/>
                      <w:iCs/>
                    </w:rPr>
                    <w:t>,
2019-10-10,
paskelbta TAR 2019-10-10, i. k. 2019-16169        </w:t>
                  </w:r>
                </w:p>
                <w:p/>
              </w:sdtContent>
            </w:sdt>
            <w:sdt>
              <w:sdtPr>
                <w:alias w:val="109-2 p."/>
                <w:tag w:val="part_2e980fff904c4e129d4495dee559233a"/>
                <w:lock w:val="sdtLocked"/>
                <w:richText/>
              </w:sdtPr>
              <w:sdtContent>
                <w:p>
                  <w:pPr>
                    <w:ind w:firstLine="709"/>
                    <w:jc w:val="both"/>
                  </w:pPr>
                  <w:sdt>
                    <w:sdtPr>
                      <w:alias w:val="Numeris"/>
                      <w:tag w:val="nr_2e980fff904c4e129d4495dee559233a"/>
                      <w:lock w:val="sdtLocked"/>
                      <w:richText/>
                    </w:sdtPr>
                    <w:sdtContent>
                      <w:r>
                        <w:rPr>
                          <w:bCs/>
                          <w:szCs w:val="24"/>
                          <w:lang w:eastAsia="lt-LT"/>
                        </w:rPr>
                        <w:t>109</w:t>
                      </w:r>
                      <w:r>
                        <w:rPr>
                          <w:bCs/>
                          <w:szCs w:val="24"/>
                          <w:vertAlign w:val="superscript"/>
                          <w:lang w:eastAsia="lt-LT"/>
                        </w:rPr>
                        <w:t>2</w:t>
                      </w:r>
                    </w:sdtContent>
                  </w:sdt>
                  <w:r>
                    <w:rPr>
                      <w:bCs/>
                      <w:szCs w:val="24"/>
                      <w:lang w:eastAsia="lt-LT"/>
                    </w:rPr>
                    <w:t xml:space="preserve">. </w:t>
                  </w:r>
                  <w:r>
                    <w:rPr>
                      <w:szCs w:val="24"/>
                      <w:lang w:eastAsia="lt-LT"/>
                    </w:rPr>
                    <w:t>Kai dėl prognozuotos elektros energijos įsigijimo kainos ir faktinės elektros energijos įsigijimo kainos, kurią faktiškai mokėjo visuomeninis tiekėjas, skirtumo, apskaičiuoto pagal Metodikos 109 punktą, visuomeninis tiekėjas gavo papildomas pajamas ir šių pajamų grąžinimas išdėstomas per ilgesnį nei vienerių metų laikotarpį, įvertinama pinigų kaina. Pinigų kainos nustatymui taikoma Lietuvos banko pinigų finansų įstaigų paskolų euro zonos ne finansų bendrovėms likučių palūkanų normos svertinis vidurkis už paskutinius paskelbtus 12 mėnesių iki Metodikos 115 punkte nurodyto termino.</w:t>
                  </w:r>
                  <w:r>
                    <w:t xml:space="preserve"> </w:t>
                  </w:r>
                </w:p>
                <w:p>
                  <w:pPr>
                    <w:jc w:val="both"/>
                    <w:rPr>
                      <w:i/>
                      <w:sz w:val="20"/>
                    </w:rPr>
                  </w:pPr>
                  <w:r>
                    <w:rPr>
                      <w:b/>
                      <w:i/>
                      <w:sz w:val="20"/>
                    </w:rPr>
                    <w:t>TAR pastaba</w:t>
                  </w:r>
                  <w:r>
                    <w:rPr>
                      <w:i/>
                      <w:sz w:val="20"/>
                    </w:rPr>
                    <w:t>. 109</w:t>
                  </w:r>
                  <w:r>
                    <w:rPr>
                      <w:i/>
                      <w:sz w:val="20"/>
                      <w:vertAlign w:val="superscript"/>
                    </w:rPr>
                    <w:t xml:space="preserve">2 </w:t>
                  </w:r>
                  <w:r>
                    <w:rPr>
                      <w:i/>
                      <w:sz w:val="20"/>
                    </w:rPr>
                    <w:t xml:space="preserve">punkto nuostatos taikomos </w:t>
                  </w:r>
                  <w:r>
                    <w:rPr>
                      <w:bCs/>
                      <w:i/>
                      <w:sz w:val="20"/>
                    </w:rPr>
                    <w:t>nustatant arba koreguojant 2020 metų ir vėlesnių laikotarpių elektros energijos perdavimo, skirstymo ir visuomeninio tiekimo paslaugų bei visuomeninės kainos viršutines ribas.</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2bc050eb6011e99681cd81dcdca52c">
                    <w:r w:rsidRPr="00532B9F">
                      <w:rPr>
                        <w:rFonts w:ascii="Times New Roman" w:eastAsia="MS Mincho" w:hAnsi="Times New Roman"/>
                        <w:sz w:val="20"/>
                        <w:i/>
                        <w:iCs/>
                        <w:color w:val="0000FF" w:themeColor="hyperlink"/>
                        <w:u w:val="single"/>
                      </w:rPr>
                      <w:t>O3E-548</w:t>
                    </w:r>
                  </w:fldSimple>
                  <w:r>
                    <w:rPr>
                      <w:rFonts w:ascii="Times New Roman" w:eastAsia="MS Mincho" w:hAnsi="Times New Roman"/>
                      <w:sz w:val="20"/>
                      <w:i/>
                      <w:iCs/>
                    </w:rPr>
                    <w:t>,
2019-10-10,
paskelbta TAR 2019-10-10, i. k. 2019-16169        </w:t>
                  </w:r>
                </w:p>
                <w:p/>
              </w:sdtContent>
            </w:sdt>
            <w:sdt>
              <w:sdtPr>
                <w:alias w:val="110 p."/>
                <w:tag w:val="part_dc233177956d47df8fee2c653947e98b"/>
                <w:lock w:val="sdtLocked"/>
                <w:richText/>
              </w:sdtPr>
              <w:sdtContent>
                <w:p>
                  <w:pPr>
                    <w:tabs>
                      <w:tab w:val="left" w:pos="1134"/>
                    </w:tabs>
                    <w:ind w:firstLine="709"/>
                    <w:jc w:val="both"/>
                    <w:rPr>
                      <w:szCs w:val="24"/>
                    </w:rPr>
                  </w:pPr>
                  <w:sdt>
                    <w:sdtPr>
                      <w:alias w:val="Numeris"/>
                      <w:tag w:val="nr_dc233177956d47df8fee2c653947e98b"/>
                      <w:lock w:val="sdtLocked"/>
                      <w:richText/>
                    </w:sdtPr>
                    <w:sdtContent>
                      <w:r>
                        <w:rPr>
                          <w:szCs w:val="24"/>
                        </w:rPr>
                        <w:t>110</w:t>
                      </w:r>
                    </w:sdtContent>
                  </w:sdt>
                  <w:r>
                    <w:rPr>
                      <w:szCs w:val="24"/>
                    </w:rPr>
                    <w:t>. Komisijos motyvuotu sprendimu dalis elektros energijos įsigijimo kaštų, numatytų sutartyse, neįtraukiami, jei jie didesni nei galimi rinkoje, įvertinus objektyvias aplinkybes. Rinkos sąlygomis, susiformavusiomis elektros energijos įsigijimo sąnaudomis laikomos sąnaudos, kurios būtų patirtos elektros energiją įsigyjant elektros energijos biržoje, įskaitant visus mokesčius, kurie yra būtini perkant elektros energiją biržoje.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111 p."/>
                <w:tag w:val="part_181b683834ab401ba49ee548aa434e27"/>
                <w:lock w:val="sdtLocked"/>
                <w:richText/>
              </w:sdtPr>
              <w:sdtContent>
                <w:p>
                  <w:pPr>
                    <w:tabs>
                      <w:tab w:val="left" w:pos="1260"/>
                      <w:tab w:val="left" w:pos="1843"/>
                      <w:tab w:val="left" w:pos="2268"/>
                    </w:tabs>
                    <w:ind w:firstLine="720"/>
                    <w:jc w:val="both"/>
                  </w:pPr>
                  <w:sdt>
                    <w:sdtPr>
                      <w:alias w:val="Numeris"/>
                      <w:tag w:val="nr_181b683834ab401ba49ee548aa434e27"/>
                      <w:lock w:val="sdtLocked"/>
                      <w:richText/>
                    </w:sdtPr>
                    <w:sdtContent>
                      <w:r>
                        <w:rPr>
                          <w:szCs w:val="24"/>
                        </w:rPr>
                        <w:t>111</w:t>
                      </w:r>
                    </w:sdtContent>
                  </w:sdt>
                  <w:r>
                    <w:rPr>
                      <w:szCs w:val="24"/>
                    </w:rPr>
                    <w:t xml:space="preserve">. </w:t>
                  </w:r>
                  <w:r>
                    <w:rPr>
                      <w:i/>
                      <w:sz w:val="20"/>
                    </w:rPr>
                    <w:t>Neteko galios nuo 2019-10-11</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2bc050eb6011e99681cd81dcdca52c">
                    <w:r w:rsidRPr="00532B9F">
                      <w:rPr>
                        <w:rFonts w:ascii="Times New Roman" w:eastAsia="MS Mincho" w:hAnsi="Times New Roman"/>
                        <w:sz w:val="20"/>
                        <w:i/>
                        <w:iCs/>
                        <w:color w:val="0000FF" w:themeColor="hyperlink"/>
                        <w:u w:val="single"/>
                      </w:rPr>
                      <w:t>O3E-548</w:t>
                    </w:r>
                  </w:fldSimple>
                  <w:r>
                    <w:rPr>
                      <w:rFonts w:ascii="Times New Roman" w:eastAsia="MS Mincho" w:hAnsi="Times New Roman"/>
                      <w:sz w:val="20"/>
                      <w:i/>
                      <w:iCs/>
                    </w:rPr>
                    <w:t>,
2019-10-10,
paskelbta TAR 2019-10-10, i. k. 2019-16169            </w:t>
                  </w:r>
                </w:p>
                <w:p/>
              </w:sdtContent>
            </w:sdt>
            <w:sdt>
              <w:sdtPr>
                <w:alias w:val="111-1 p."/>
                <w:tag w:val="part_8affc7e6c50c46268cdeebea479eccaa"/>
                <w:lock w:val="sdtLocked"/>
                <w:richText/>
              </w:sdtPr>
              <w:sdtContent>
                <w:p>
                  <w:pPr>
                    <w:tabs>
                      <w:tab w:val="left" w:pos="1134"/>
                    </w:tabs>
                    <w:ind w:firstLine="709"/>
                    <w:jc w:val="both"/>
                    <w:rPr>
                      <w:szCs w:val="24"/>
                    </w:rPr>
                  </w:pPr>
                  <w:sdt>
                    <w:sdtPr>
                      <w:alias w:val="Numeris"/>
                      <w:tag w:val="nr_8affc7e6c50c46268cdeebea479eccaa"/>
                      <w:lock w:val="sdtLocked"/>
                      <w:richText/>
                    </w:sdtPr>
                    <w:sdtContent>
                      <w:r>
                        <w:rPr>
                          <w:szCs w:val="24"/>
                        </w:rPr>
                        <w:t>111</w:t>
                      </w:r>
                      <w:r>
                        <w:rPr>
                          <w:szCs w:val="24"/>
                          <w:vertAlign w:val="superscript"/>
                        </w:rPr>
                        <w:t>1</w:t>
                      </w:r>
                    </w:sdtContent>
                  </w:sdt>
                  <w:r>
                    <w:rPr>
                      <w:szCs w:val="24"/>
                    </w:rPr>
                    <w:t>. Prognozuojama elektros energijos įsigijimo kaina nustatoma kaip prognozuojamos įsigyti elektros energijos kiekio ir kainos sandauga, įskaitant balansavimo energijos sąnaudas, kurios negali būti didesnės nei 4 proc. nuo visų elektros energijos įsigijimo sąnaudų.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111-2 p."/>
                <w:tag w:val="part_f0a2e220852948e3880dfa071c52d82a"/>
                <w:lock w:val="sdtLocked"/>
                <w:richText/>
              </w:sdtPr>
              <w:sdtContent>
                <w:p>
                  <w:pPr>
                    <w:ind w:firstLine="709"/>
                    <w:jc w:val="both"/>
                    <w:rPr>
                      <w:bCs/>
                      <w:szCs w:val="24"/>
                      <w:lang w:val="en-US" w:eastAsia="lt-LT"/>
                    </w:rPr>
                  </w:pPr>
                  <w:sdt>
                    <w:sdtPr>
                      <w:alias w:val="Numeris"/>
                      <w:tag w:val="nr_f0a2e220852948e3880dfa071c52d82a"/>
                      <w:lock w:val="sdtLocked"/>
                      <w:richText/>
                    </w:sdtPr>
                    <w:sdtContent>
                      <w:r>
                        <w:rPr>
                          <w:bCs/>
                          <w:szCs w:val="24"/>
                          <w:lang w:val="en-US" w:eastAsia="lt-LT"/>
                        </w:rPr>
                        <w:t>111</w:t>
                      </w:r>
                      <w:r>
                        <w:rPr>
                          <w:bCs/>
                          <w:szCs w:val="24"/>
                          <w:vertAlign w:val="superscript"/>
                          <w:lang w:val="en-US" w:eastAsia="lt-LT"/>
                        </w:rPr>
                        <w:t>2</w:t>
                      </w:r>
                    </w:sdtContent>
                  </w:sdt>
                  <w:r>
                    <w:rPr>
                      <w:bCs/>
                      <w:szCs w:val="24"/>
                      <w:lang w:val="en-US" w:eastAsia="lt-LT"/>
                    </w:rPr>
                    <w:t>.</w:t>
                  </w:r>
                  <w:r>
                    <w:rPr>
                      <w:szCs w:val="24"/>
                      <w:lang w:val="en-US" w:eastAsia="lt-LT"/>
                    </w:rPr>
                    <w:t xml:space="preserve"> </w:t>
                  </w:r>
                  <w:r>
                    <w:rPr>
                      <w:color w:val="000000"/>
                      <w:szCs w:val="24"/>
                      <w:lang w:eastAsia="lt-LT"/>
                    </w:rPr>
                    <w:t>Visuomeninio tiekėjo visuomeninės elektros energijos kainos viršutinėje riboje taikytų ir faktinių elektros energijos skirstymo paslaugų VĮ ir ŽĮ tinkluose kainų viršutinių ribų skirtumas</w:t>
                  </w:r>
                  <w:r>
                    <w:rPr>
                      <w:bCs/>
                      <w:color w:val="000000"/>
                      <w:szCs w:val="24"/>
                      <w:lang w:eastAsia="lt-LT"/>
                    </w:rPr>
                    <w:t xml:space="preserve">, </w:t>
                  </w:r>
                  <w:r>
                    <w:rPr>
                      <w:bCs/>
                      <w:szCs w:val="24"/>
                      <w:lang w:eastAsia="lt-LT"/>
                    </w:rPr>
                    <w:t xml:space="preserve">vienam visuomeniniam tiekėjui veikiant kelių skirstomųjų tinklų operatorių licencijuojamos veiklos teritorijose, kainos galiojimo laikotarpiui </w:t>
                  </w:r>
                  <w:r>
                    <w:rPr>
                      <w:bCs/>
                      <w:i/>
                      <w:iCs/>
                      <w:szCs w:val="24"/>
                      <w:lang w:eastAsia="lt-LT"/>
                    </w:rPr>
                    <w:t>t</w:t>
                  </w:r>
                  <w:r>
                    <w:rPr>
                      <w:bCs/>
                      <w:szCs w:val="24"/>
                      <w:lang w:eastAsia="lt-LT"/>
                    </w:rPr>
                    <w:t>-2, yra apskaičiuojamas pagal formulę:</w:t>
                  </w:r>
                </w:p>
                <w:p>
                  <w:pPr>
                    <w:jc w:val="both"/>
                    <w:rPr>
                      <w:szCs w:val="24"/>
                    </w:rPr>
                  </w:pPr>
                </w:p>
                <w:p>
                  <w:pPr>
                    <w:ind w:firstLine="372"/>
                    <w:jc w:val="both"/>
                    <w:rPr>
                      <w:szCs w:val="24"/>
                    </w:rPr>
                  </w:pPr>
                  <m:oMath>
                    <m:r>
                      <w:rPr>
                        <w:rFonts w:ascii="Cambria Math" w:hAnsi="Cambria Math"/>
                        <w:szCs w:val="24"/>
                      </w:rPr>
                      <m:t>∆</m:t>
                    </m:r>
                    <m:sSub>
                      <m:sSubPr>
                        <m:ctrlPr>
                          <w:rPr>
                            <w:rFonts w:ascii="Cambria Math" w:hAnsi="Cambria Math"/>
                            <w:i/>
                            <w:szCs w:val="24"/>
                          </w:rPr>
                        </m:ctrlPr>
                      </m:sSubPr>
                      <m:e>
                        <m:r>
                          <w:rPr>
                            <w:rFonts w:ascii="Cambria Math" w:hAnsi="Cambria Math"/>
                            <w:szCs w:val="24"/>
                          </w:rPr>
                          <m:t>T</m:t>
                        </m:r>
                      </m:e>
                      <m:sub>
                        <m:r>
                          <w:rPr>
                            <w:rFonts w:ascii="Cambria Math" w:hAnsi="Cambria Math"/>
                            <w:szCs w:val="24"/>
                          </w:rPr>
                          <m:t>STO</m:t>
                        </m:r>
                        <m:d>
                          <m:dPr>
                            <m:ctrlPr>
                              <w:rPr>
                                <w:rFonts w:ascii="Cambria Math" w:hAnsi="Cambria Math"/>
                                <w:i/>
                                <w:szCs w:val="24"/>
                                <w:lang w:val="en-US"/>
                              </w:rPr>
                            </m:ctrlPr>
                          </m:dPr>
                          <m:e>
                            <m:r>
                              <w:rPr>
                                <w:rFonts w:ascii="Cambria Math" w:hAnsi="Cambria Math"/>
                                <w:szCs w:val="24"/>
                                <w:lang w:val="en-US"/>
                              </w:rPr>
                              <m:t>10,04</m:t>
                            </m:r>
                          </m:e>
                        </m:d>
                        <m:r>
                          <w:rPr>
                            <w:rFonts w:ascii="Cambria Math" w:hAnsi="Cambria Math"/>
                            <w:szCs w:val="24"/>
                            <w:lang w:val="en-US"/>
                          </w:rPr>
                          <m:t>,</m:t>
                        </m:r>
                        <m:r>
                          <w:rPr>
                            <w:rFonts w:ascii="Cambria Math" w:hAnsi="Cambria Math"/>
                            <w:szCs w:val="24"/>
                            <w:lang w:val="en-US"/>
                          </w:rPr>
                          <m:t>t</m:t>
                        </m:r>
                        <m:r>
                          <w:rPr>
                            <w:rFonts w:ascii="Cambria Math" w:hAnsi="Cambria Math"/>
                            <w:szCs w:val="24"/>
                            <w:lang w:val="en-US"/>
                          </w:rPr>
                          <m:t>-2</m:t>
                        </m:r>
                      </m:sub>
                    </m:sSub>
                    <m:r>
                      <w:rPr>
                        <w:rFonts w:ascii="Cambria Math" w:hAnsi="Cambria Math"/>
                        <w:szCs w:val="24"/>
                      </w:rPr>
                      <m:t>=</m:t>
                    </m:r>
                    <m:f>
                      <m:fPr>
                        <m:ctrlPr>
                          <w:rPr>
                            <w:rFonts w:ascii="Cambria Math" w:hAnsi="Cambria Math"/>
                            <w:i/>
                            <w:szCs w:val="24"/>
                          </w:rPr>
                        </m:ctrlPr>
                      </m:fPr>
                      <m:num>
                        <m:nary>
                          <m:naryPr>
                            <m:chr m:val="∑"/>
                            <m:limLoc m:val="undOvr"/>
                            <m:ctrlPr>
                              <w:rPr>
                                <w:rFonts w:ascii="Cambria Math" w:hAnsi="Cambria Math"/>
                                <w:i/>
                                <w:szCs w:val="24"/>
                              </w:rPr>
                            </m:ctrlPr>
                          </m:naryPr>
                          <m:sub>
                            <m:r>
                              <w:rPr>
                                <w:rFonts w:ascii="Cambria Math" w:hAnsi="Cambria Math"/>
                                <w:szCs w:val="24"/>
                              </w:rPr>
                              <m:t>i</m:t>
                            </m:r>
                            <m:r>
                              <w:rPr>
                                <w:rFonts w:ascii="Cambria Math" w:hAnsi="Cambria Math"/>
                                <w:szCs w:val="24"/>
                              </w:rPr>
                              <m:t>=1</m:t>
                            </m:r>
                          </m:sub>
                          <m:sup>
                            <m:r>
                              <w:rPr>
                                <w:rFonts w:ascii="Cambria Math" w:hAnsi="Cambria Math"/>
                                <w:szCs w:val="24"/>
                              </w:rPr>
                              <m:t>n</m:t>
                            </m:r>
                          </m:sup>
                          <m:e>
                            <m:d>
                              <m:dPr>
                                <m:ctrlPr>
                                  <w:rPr>
                                    <w:rFonts w:ascii="Cambria Math" w:hAnsi="Cambria Math"/>
                                    <w:i/>
                                    <w:szCs w:val="24"/>
                                  </w:rPr>
                                </m:ctrlPr>
                              </m:dPr>
                              <m:e>
                                <m:d>
                                  <m:dPr>
                                    <m:ctrlPr>
                                      <w:rPr>
                                        <w:rFonts w:ascii="Cambria Math" w:hAnsi="Cambria Math"/>
                                        <w:i/>
                                        <w:szCs w:val="24"/>
                                      </w:rPr>
                                    </m:ctrlPr>
                                  </m:dPr>
                                  <m:e>
                                    <m:sSubSup>
                                      <m:sSubSupPr>
                                        <m:ctrlPr>
                                          <w:rPr>
                                            <w:rFonts w:ascii="Cambria Math" w:hAnsi="Cambria Math"/>
                                            <w:i/>
                                            <w:szCs w:val="24"/>
                                          </w:rPr>
                                        </m:ctrlPr>
                                      </m:sSubSupPr>
                                      <m:e>
                                        <m:r>
                                          <w:rPr>
                                            <w:rFonts w:ascii="Cambria Math" w:hAnsi="Cambria Math"/>
                                            <w:szCs w:val="24"/>
                                          </w:rPr>
                                          <m:t>T</m:t>
                                        </m:r>
                                      </m:e>
                                      <m:sub>
                                        <m:r>
                                          <w:rPr>
                                            <w:rFonts w:ascii="Cambria Math" w:hAnsi="Cambria Math"/>
                                            <w:szCs w:val="24"/>
                                          </w:rPr>
                                          <m:t>10,</m:t>
                                        </m:r>
                                        <m:r>
                                          <w:rPr>
                                            <w:rFonts w:ascii="Cambria Math" w:hAnsi="Cambria Math"/>
                                            <w:szCs w:val="24"/>
                                          </w:rPr>
                                          <m:t>t</m:t>
                                        </m:r>
                                        <m:r>
                                          <w:rPr>
                                            <w:rFonts w:ascii="Cambria Math" w:hAnsi="Cambria Math"/>
                                            <w:szCs w:val="24"/>
                                          </w:rPr>
                                          <m:t>-</m:t>
                                        </m:r>
                                        <m:r>
                                          <w:rPr>
                                            <w:rFonts w:ascii="Cambria Math" w:hAnsi="Cambria Math"/>
                                            <w:szCs w:val="24"/>
                                          </w:rPr>
                                          <m:t>2,</m:t>
                                        </m:r>
                                        <m:r>
                                          <w:rPr>
                                            <w:rFonts w:ascii="Cambria Math" w:hAnsi="Cambria Math"/>
                                            <w:szCs w:val="24"/>
                                          </w:rPr>
                                          <m:t>i</m:t>
                                        </m:r>
                                      </m:sub>
                                      <m:sup>
                                        <m:r>
                                          <w:rPr>
                                            <w:rFonts w:ascii="Cambria Math" w:hAnsi="Cambria Math"/>
                                            <w:szCs w:val="24"/>
                                          </w:rPr>
                                          <m:t>'</m:t>
                                        </m:r>
                                      </m:sup>
                                    </m:sSubSup>
                                    <m:r>
                                      <w:rPr>
                                        <w:rFonts w:ascii="Cambria Math" w:hAnsi="Cambria Math"/>
                                        <w:szCs w:val="24"/>
                                      </w:rPr>
                                      <m:t>-</m:t>
                                    </m:r>
                                    <m:sSubSup>
                                      <m:sSubSupPr>
                                        <m:ctrlPr>
                                          <w:rPr>
                                            <w:rFonts w:ascii="Cambria Math" w:hAnsi="Cambria Math"/>
                                            <w:i/>
                                            <w:szCs w:val="24"/>
                                          </w:rPr>
                                        </m:ctrlPr>
                                      </m:sSubSupPr>
                                      <m:e>
                                        <m:r>
                                          <w:rPr>
                                            <w:rFonts w:ascii="Cambria Math" w:hAnsi="Cambria Math"/>
                                            <w:szCs w:val="24"/>
                                          </w:rPr>
                                          <m:t>T</m:t>
                                        </m:r>
                                      </m:e>
                                      <m:sub>
                                        <m:r>
                                          <w:rPr>
                                            <w:rFonts w:ascii="Cambria Math" w:hAnsi="Cambria Math"/>
                                            <w:szCs w:val="24"/>
                                          </w:rPr>
                                          <m:t>10,</m:t>
                                        </m:r>
                                        <m:r>
                                          <w:rPr>
                                            <w:rFonts w:ascii="Cambria Math" w:hAnsi="Cambria Math"/>
                                            <w:szCs w:val="24"/>
                                          </w:rPr>
                                          <m:t>t</m:t>
                                        </m:r>
                                        <m:r>
                                          <w:rPr>
                                            <w:rFonts w:ascii="Cambria Math" w:hAnsi="Cambria Math"/>
                                            <w:szCs w:val="24"/>
                                          </w:rPr>
                                          <m:t>-2</m:t>
                                        </m:r>
                                      </m:sub>
                                      <m:sup>
                                        <m:r>
                                          <w:rPr>
                                            <w:rFonts w:ascii="Cambria Math" w:hAnsi="Cambria Math"/>
                                            <w:szCs w:val="24"/>
                                          </w:rPr>
                                          <m:t>'</m:t>
                                        </m:r>
                                      </m:sup>
                                    </m:sSubSup>
                                  </m:e>
                                </m:d>
                                <m:r>
                                  <w:rPr>
                                    <w:rFonts w:ascii="Cambria Math" w:hAnsi="Cambria Math"/>
                                    <w:szCs w:val="24"/>
                                  </w:rPr>
                                  <m:t>×</m:t>
                                </m:r>
                                <m:sSub>
                                  <m:sSubPr>
                                    <m:ctrlPr>
                                      <w:rPr>
                                        <w:rFonts w:ascii="Cambria Math" w:hAnsi="Cambria Math"/>
                                        <w:i/>
                                        <w:szCs w:val="24"/>
                                      </w:rPr>
                                    </m:ctrlPr>
                                  </m:sSubPr>
                                  <m:e>
                                    <m:r>
                                      <w:rPr>
                                        <w:rFonts w:ascii="Cambria Math" w:hAnsi="Cambria Math"/>
                                        <w:szCs w:val="24"/>
                                      </w:rPr>
                                      <m:t>E</m:t>
                                    </m:r>
                                  </m:e>
                                  <m:sub>
                                    <m:r>
                                      <w:rPr>
                                        <w:rFonts w:ascii="Cambria Math" w:hAnsi="Cambria Math"/>
                                        <w:szCs w:val="24"/>
                                      </w:rPr>
                                      <m:t>vt</m:t>
                                    </m:r>
                                    <m:d>
                                      <m:dPr>
                                        <m:ctrlPr>
                                          <w:rPr>
                                            <w:rFonts w:ascii="Cambria Math" w:hAnsi="Cambria Math"/>
                                            <w:i/>
                                            <w:szCs w:val="24"/>
                                          </w:rPr>
                                        </m:ctrlPr>
                                      </m:dPr>
                                      <m:e>
                                        <m:r>
                                          <w:rPr>
                                            <w:rFonts w:ascii="Cambria Math" w:hAnsi="Cambria Math"/>
                                            <w:szCs w:val="24"/>
                                          </w:rPr>
                                          <m:t>10</m:t>
                                        </m:r>
                                      </m:e>
                                    </m:d>
                                    <m:r>
                                      <w:rPr>
                                        <w:rFonts w:ascii="Cambria Math" w:hAnsi="Cambria Math"/>
                                        <w:szCs w:val="24"/>
                                      </w:rPr>
                                      <m:t>,</m:t>
                                    </m:r>
                                    <m:r>
                                      <w:rPr>
                                        <w:rFonts w:ascii="Cambria Math" w:hAnsi="Cambria Math"/>
                                        <w:szCs w:val="24"/>
                                      </w:rPr>
                                      <m:t>t</m:t>
                                    </m:r>
                                    <m:r>
                                      <w:rPr>
                                        <w:rFonts w:ascii="Cambria Math" w:hAnsi="Cambria Math"/>
                                        <w:szCs w:val="24"/>
                                      </w:rPr>
                                      <m:t>-</m:t>
                                    </m:r>
                                    <m:r>
                                      <w:rPr>
                                        <w:rFonts w:ascii="Cambria Math" w:hAnsi="Cambria Math"/>
                                        <w:szCs w:val="24"/>
                                      </w:rPr>
                                      <m:t>2,</m:t>
                                    </m:r>
                                    <m:r>
                                      <w:rPr>
                                        <w:rFonts w:ascii="Cambria Math" w:hAnsi="Cambria Math"/>
                                        <w:szCs w:val="24"/>
                                      </w:rPr>
                                      <m:t>i</m:t>
                                    </m:r>
                                  </m:sub>
                                </m:sSub>
                                <m:r>
                                  <w:rPr>
                                    <w:rFonts w:ascii="Cambria Math" w:hAnsi="Cambria Math"/>
                                    <w:szCs w:val="24"/>
                                  </w:rPr>
                                  <m:t>+</m:t>
                                </m:r>
                                <m:d>
                                  <m:dPr>
                                    <m:ctrlPr>
                                      <w:rPr>
                                        <w:rFonts w:ascii="Cambria Math" w:hAnsi="Cambria Math"/>
                                        <w:i/>
                                        <w:szCs w:val="24"/>
                                      </w:rPr>
                                    </m:ctrlPr>
                                  </m:dPr>
                                  <m:e>
                                    <m:sSubSup>
                                      <m:sSubSupPr>
                                        <m:ctrlPr>
                                          <w:rPr>
                                            <w:rFonts w:ascii="Cambria Math" w:hAnsi="Cambria Math"/>
                                            <w:i/>
                                            <w:szCs w:val="24"/>
                                          </w:rPr>
                                        </m:ctrlPr>
                                      </m:sSubSupPr>
                                      <m:e>
                                        <m:r>
                                          <w:rPr>
                                            <w:rFonts w:ascii="Cambria Math" w:hAnsi="Cambria Math"/>
                                            <w:szCs w:val="24"/>
                                          </w:rPr>
                                          <m:t>T</m:t>
                                        </m:r>
                                      </m:e>
                                      <m:sub>
                                        <m:r>
                                          <w:rPr>
                                            <w:rFonts w:ascii="Cambria Math" w:hAnsi="Cambria Math"/>
                                            <w:szCs w:val="24"/>
                                          </w:rPr>
                                          <m:t>10,</m:t>
                                        </m:r>
                                        <m:r>
                                          <w:rPr>
                                            <w:rFonts w:ascii="Cambria Math" w:hAnsi="Cambria Math"/>
                                            <w:szCs w:val="24"/>
                                          </w:rPr>
                                          <m:t>t</m:t>
                                        </m:r>
                                        <m:r>
                                          <w:rPr>
                                            <w:rFonts w:ascii="Cambria Math" w:hAnsi="Cambria Math"/>
                                            <w:szCs w:val="24"/>
                                          </w:rPr>
                                          <m:t>-</m:t>
                                        </m:r>
                                        <m:r>
                                          <w:rPr>
                                            <w:rFonts w:ascii="Cambria Math" w:hAnsi="Cambria Math"/>
                                            <w:szCs w:val="24"/>
                                          </w:rPr>
                                          <m:t>2,</m:t>
                                        </m:r>
                                        <m:r>
                                          <w:rPr>
                                            <w:rFonts w:ascii="Cambria Math" w:hAnsi="Cambria Math"/>
                                            <w:szCs w:val="24"/>
                                          </w:rPr>
                                          <m:t>i</m:t>
                                        </m:r>
                                      </m:sub>
                                      <m:sup>
                                        <m:r>
                                          <w:rPr>
                                            <w:rFonts w:ascii="Cambria Math" w:hAnsi="Cambria Math"/>
                                            <w:szCs w:val="24"/>
                                          </w:rPr>
                                          <m:t>'</m:t>
                                        </m:r>
                                      </m:sup>
                                    </m:sSubSup>
                                    <m:r>
                                      <w:rPr>
                                        <w:rFonts w:ascii="Cambria Math" w:hAnsi="Cambria Math"/>
                                        <w:szCs w:val="24"/>
                                      </w:rPr>
                                      <m:t>-</m:t>
                                    </m:r>
                                    <m:sSubSup>
                                      <m:sSubSupPr>
                                        <m:ctrlPr>
                                          <w:rPr>
                                            <w:rFonts w:ascii="Cambria Math" w:hAnsi="Cambria Math"/>
                                            <w:i/>
                                            <w:szCs w:val="24"/>
                                          </w:rPr>
                                        </m:ctrlPr>
                                      </m:sSubSupPr>
                                      <m:e>
                                        <m:r>
                                          <w:rPr>
                                            <w:rFonts w:ascii="Cambria Math" w:hAnsi="Cambria Math"/>
                                            <w:szCs w:val="24"/>
                                          </w:rPr>
                                          <m:t>T</m:t>
                                        </m:r>
                                      </m:e>
                                      <m:sub>
                                        <m:r>
                                          <w:rPr>
                                            <w:rFonts w:ascii="Cambria Math" w:hAnsi="Cambria Math"/>
                                            <w:szCs w:val="24"/>
                                          </w:rPr>
                                          <m:t>10,</m:t>
                                        </m:r>
                                        <m:r>
                                          <w:rPr>
                                            <w:rFonts w:ascii="Cambria Math" w:hAnsi="Cambria Math"/>
                                            <w:szCs w:val="24"/>
                                          </w:rPr>
                                          <m:t>t</m:t>
                                        </m:r>
                                        <m:r>
                                          <w:rPr>
                                            <w:rFonts w:ascii="Cambria Math" w:hAnsi="Cambria Math"/>
                                            <w:szCs w:val="24"/>
                                          </w:rPr>
                                          <m:t>-2</m:t>
                                        </m:r>
                                      </m:sub>
                                      <m:sup>
                                        <m:r>
                                          <w:rPr>
                                            <w:rFonts w:ascii="Cambria Math" w:hAnsi="Cambria Math"/>
                                            <w:szCs w:val="24"/>
                                          </w:rPr>
                                          <m:t>'</m:t>
                                        </m:r>
                                      </m:sup>
                                    </m:sSubSup>
                                    <m:r>
                                      <w:rPr>
                                        <w:rFonts w:ascii="Cambria Math" w:hAnsi="Cambria Math"/>
                                        <w:szCs w:val="24"/>
                                      </w:rPr>
                                      <m:t>+</m:t>
                                    </m:r>
                                    <m:sSubSup>
                                      <m:sSubSupPr>
                                        <m:ctrlPr>
                                          <w:rPr>
                                            <w:rFonts w:ascii="Cambria Math" w:hAnsi="Cambria Math"/>
                                            <w:i/>
                                            <w:szCs w:val="24"/>
                                          </w:rPr>
                                        </m:ctrlPr>
                                      </m:sSubSupPr>
                                      <m:e>
                                        <m:r>
                                          <w:rPr>
                                            <w:rFonts w:ascii="Cambria Math" w:hAnsi="Cambria Math"/>
                                            <w:szCs w:val="24"/>
                                          </w:rPr>
                                          <m:t>T</m:t>
                                        </m:r>
                                      </m:e>
                                      <m:sub>
                                        <m:r>
                                          <w:rPr>
                                            <w:rFonts w:ascii="Cambria Math" w:hAnsi="Cambria Math"/>
                                            <w:szCs w:val="24"/>
                                          </w:rPr>
                                          <m:t>04,</m:t>
                                        </m:r>
                                        <m:r>
                                          <w:rPr>
                                            <w:rFonts w:ascii="Cambria Math" w:hAnsi="Cambria Math"/>
                                            <w:szCs w:val="24"/>
                                          </w:rPr>
                                          <m:t>t</m:t>
                                        </m:r>
                                        <m:r>
                                          <w:rPr>
                                            <w:rFonts w:ascii="Cambria Math" w:hAnsi="Cambria Math"/>
                                            <w:szCs w:val="24"/>
                                          </w:rPr>
                                          <m:t>-</m:t>
                                        </m:r>
                                        <m:r>
                                          <w:rPr>
                                            <w:rFonts w:ascii="Cambria Math" w:hAnsi="Cambria Math"/>
                                            <w:szCs w:val="24"/>
                                          </w:rPr>
                                          <m:t>2,</m:t>
                                        </m:r>
                                        <m:r>
                                          <w:rPr>
                                            <w:rFonts w:ascii="Cambria Math" w:hAnsi="Cambria Math"/>
                                            <w:szCs w:val="24"/>
                                          </w:rPr>
                                          <m:t>i</m:t>
                                        </m:r>
                                      </m:sub>
                                      <m:sup>
                                        <m:r>
                                          <w:rPr>
                                            <w:rFonts w:ascii="Cambria Math" w:hAnsi="Cambria Math"/>
                                            <w:szCs w:val="24"/>
                                          </w:rPr>
                                          <m:t>'</m:t>
                                        </m:r>
                                      </m:sup>
                                    </m:sSubSup>
                                    <m:r>
                                      <w:rPr>
                                        <w:rFonts w:ascii="Cambria Math" w:hAnsi="Cambria Math"/>
                                        <w:szCs w:val="24"/>
                                      </w:rPr>
                                      <m:t>-</m:t>
                                    </m:r>
                                    <m:sSubSup>
                                      <m:sSubSupPr>
                                        <m:ctrlPr>
                                          <w:rPr>
                                            <w:rFonts w:ascii="Cambria Math" w:hAnsi="Cambria Math"/>
                                            <w:i/>
                                            <w:szCs w:val="24"/>
                                          </w:rPr>
                                        </m:ctrlPr>
                                      </m:sSubSupPr>
                                      <m:e>
                                        <m:r>
                                          <w:rPr>
                                            <w:rFonts w:ascii="Cambria Math" w:hAnsi="Cambria Math"/>
                                            <w:szCs w:val="24"/>
                                          </w:rPr>
                                          <m:t>T</m:t>
                                        </m:r>
                                      </m:e>
                                      <m:sub>
                                        <m:r>
                                          <w:rPr>
                                            <w:rFonts w:ascii="Cambria Math" w:hAnsi="Cambria Math"/>
                                            <w:szCs w:val="24"/>
                                          </w:rPr>
                                          <m:t>04,</m:t>
                                        </m:r>
                                        <m:r>
                                          <w:rPr>
                                            <w:rFonts w:ascii="Cambria Math" w:hAnsi="Cambria Math"/>
                                            <w:szCs w:val="24"/>
                                          </w:rPr>
                                          <m:t>t</m:t>
                                        </m:r>
                                        <m:r>
                                          <w:rPr>
                                            <w:rFonts w:ascii="Cambria Math" w:hAnsi="Cambria Math"/>
                                            <w:szCs w:val="24"/>
                                          </w:rPr>
                                          <m:t>-2</m:t>
                                        </m:r>
                                      </m:sub>
                                      <m:sup>
                                        <m:r>
                                          <w:rPr>
                                            <w:rFonts w:ascii="Cambria Math" w:hAnsi="Cambria Math"/>
                                            <w:szCs w:val="24"/>
                                          </w:rPr>
                                          <m:t>'</m:t>
                                        </m:r>
                                      </m:sup>
                                    </m:sSubSup>
                                  </m:e>
                                </m:d>
                                <m:r>
                                  <w:rPr>
                                    <w:rFonts w:ascii="Cambria Math" w:hAnsi="Cambria Math"/>
                                    <w:szCs w:val="24"/>
                                  </w:rPr>
                                  <m:t>×</m:t>
                                </m:r>
                                <m:sSub>
                                  <m:sSubPr>
                                    <m:ctrlPr>
                                      <w:rPr>
                                        <w:rFonts w:ascii="Cambria Math" w:hAnsi="Cambria Math"/>
                                        <w:i/>
                                        <w:szCs w:val="24"/>
                                      </w:rPr>
                                    </m:ctrlPr>
                                  </m:sSubPr>
                                  <m:e>
                                    <m:r>
                                      <w:rPr>
                                        <w:rFonts w:ascii="Cambria Math" w:hAnsi="Cambria Math"/>
                                        <w:szCs w:val="24"/>
                                      </w:rPr>
                                      <m:t>E</m:t>
                                    </m:r>
                                  </m:e>
                                  <m:sub>
                                    <m:r>
                                      <w:rPr>
                                        <w:rFonts w:ascii="Cambria Math" w:hAnsi="Cambria Math"/>
                                        <w:szCs w:val="24"/>
                                      </w:rPr>
                                      <m:t>vt</m:t>
                                    </m:r>
                                    <m:d>
                                      <m:dPr>
                                        <m:ctrlPr>
                                          <w:rPr>
                                            <w:rFonts w:ascii="Cambria Math" w:hAnsi="Cambria Math"/>
                                            <w:i/>
                                            <w:szCs w:val="24"/>
                                          </w:rPr>
                                        </m:ctrlPr>
                                      </m:dPr>
                                      <m:e>
                                        <m:r>
                                          <w:rPr>
                                            <w:rFonts w:ascii="Cambria Math" w:hAnsi="Cambria Math"/>
                                            <w:szCs w:val="24"/>
                                          </w:rPr>
                                          <m:t>04</m:t>
                                        </m:r>
                                      </m:e>
                                    </m:d>
                                    <m:r>
                                      <w:rPr>
                                        <w:rFonts w:ascii="Cambria Math" w:hAnsi="Cambria Math"/>
                                        <w:szCs w:val="24"/>
                                      </w:rPr>
                                      <m:t xml:space="preserve">, </m:t>
                                    </m:r>
                                    <m:r>
                                      <w:rPr>
                                        <w:rFonts w:ascii="Cambria Math" w:hAnsi="Cambria Math"/>
                                        <w:szCs w:val="24"/>
                                      </w:rPr>
                                      <m:t>t</m:t>
                                    </m:r>
                                    <m:r>
                                      <w:rPr>
                                        <w:rFonts w:ascii="Cambria Math" w:hAnsi="Cambria Math"/>
                                        <w:szCs w:val="24"/>
                                      </w:rPr>
                                      <m:t>-</m:t>
                                    </m:r>
                                    <m:r>
                                      <w:rPr>
                                        <w:rFonts w:ascii="Cambria Math" w:hAnsi="Cambria Math"/>
                                        <w:szCs w:val="24"/>
                                      </w:rPr>
                                      <m:t>2,</m:t>
                                    </m:r>
                                    <m:r>
                                      <w:rPr>
                                        <w:rFonts w:ascii="Cambria Math" w:hAnsi="Cambria Math"/>
                                        <w:szCs w:val="24"/>
                                      </w:rPr>
                                      <m:t>i</m:t>
                                    </m:r>
                                  </m:sub>
                                </m:sSub>
                              </m:e>
                            </m:d>
                          </m:e>
                        </m:nary>
                      </m:num>
                      <m:den>
                        <m:sSub>
                          <m:sSubPr>
                            <m:ctrlPr>
                              <w:rPr>
                                <w:rFonts w:ascii="Cambria Math" w:hAnsi="Cambria Math"/>
                                <w:i/>
                                <w:szCs w:val="24"/>
                              </w:rPr>
                            </m:ctrlPr>
                          </m:sSubPr>
                          <m:e>
                            <m:r>
                              <w:rPr>
                                <w:rFonts w:ascii="Cambria Math" w:hAnsi="Cambria Math"/>
                                <w:szCs w:val="24"/>
                              </w:rPr>
                              <m:t>E</m:t>
                            </m:r>
                          </m:e>
                          <m:sub>
                            <m:r>
                              <w:rPr>
                                <w:rFonts w:ascii="Cambria Math" w:hAnsi="Cambria Math"/>
                                <w:szCs w:val="24"/>
                              </w:rPr>
                              <m:t>vt</m:t>
                            </m:r>
                            <m:r>
                              <w:rPr>
                                <w:rFonts w:ascii="Cambria Math" w:hAnsi="Cambria Math"/>
                                <w:szCs w:val="24"/>
                              </w:rPr>
                              <m:t>,</m:t>
                            </m:r>
                            <m:r>
                              <w:rPr>
                                <w:rFonts w:ascii="Cambria Math" w:hAnsi="Cambria Math"/>
                                <w:szCs w:val="24"/>
                              </w:rPr>
                              <m:t>t</m:t>
                            </m:r>
                          </m:sub>
                        </m:sSub>
                      </m:den>
                    </m:f>
                  </m:oMath>
                  <w:r>
                    <w:rPr>
                      <w:bCs/>
                      <w:color w:val="000000"/>
                      <w:szCs w:val="24"/>
                      <w:lang w:eastAsia="lt-LT"/>
                    </w:rPr>
                    <w:t>(67)</w:t>
                  </w:r>
                </w:p>
                <w:p>
                  <w:pPr>
                    <w:jc w:val="both"/>
                    <w:rPr>
                      <w:szCs w:val="24"/>
                    </w:rPr>
                  </w:pPr>
                </w:p>
                <w:p>
                  <w:pPr>
                    <w:ind w:firstLine="709"/>
                    <w:jc w:val="both"/>
                    <w:rPr>
                      <w:bCs/>
                      <w:i/>
                      <w:iCs/>
                      <w:szCs w:val="24"/>
                    </w:rPr>
                  </w:pPr>
                  <w:r>
                    <w:rPr>
                      <w:bCs/>
                      <w:i/>
                      <w:iCs/>
                      <w:szCs w:val="24"/>
                    </w:rPr>
                    <w:t>čia:</w:t>
                  </w:r>
                </w:p>
                <w:p>
                  <w:pPr>
                    <w:ind w:firstLine="720"/>
                    <w:jc w:val="both"/>
                    <w:rPr>
                      <w:bCs/>
                      <w:color w:val="000000"/>
                      <w:szCs w:val="24"/>
                      <w:lang w:eastAsia="lt-LT"/>
                    </w:rPr>
                  </w:pPr>
                  <w:r>
                    <w:rPr>
                      <w:bCs/>
                      <w:color w:val="000000"/>
                      <w:szCs w:val="24"/>
                      <w:lang w:eastAsia="lt-LT"/>
                    </w:rPr>
                    <w:t>ΔT</w:t>
                  </w:r>
                  <w:r>
                    <w:rPr>
                      <w:bCs/>
                      <w:color w:val="000000"/>
                      <w:szCs w:val="24"/>
                      <w:vertAlign w:val="subscript"/>
                      <w:lang w:eastAsia="lt-LT"/>
                    </w:rPr>
                    <w:t>STO(10,04), t-2</w:t>
                  </w:r>
                  <w:r>
                    <w:rPr>
                      <w:bCs/>
                      <w:color w:val="000000"/>
                      <w:szCs w:val="24"/>
                      <w:lang w:eastAsia="lt-LT"/>
                    </w:rPr>
                    <w:t xml:space="preserve"> – </w:t>
                  </w:r>
                  <w:r>
                    <w:rPr>
                      <w:color w:val="000000"/>
                      <w:szCs w:val="24"/>
                      <w:lang w:eastAsia="lt-LT"/>
                    </w:rPr>
                    <w:t>visuomeninės elektros energijos kainos viršutinėje riboje taikytų ir faktinių elektros energijos skirstymo paslaugų VĮ ir ŽĮ tinkluose kainų viršutinių ribų skirtumas</w:t>
                  </w:r>
                  <w:r>
                    <w:rPr>
                      <w:bCs/>
                      <w:color w:val="000000"/>
                      <w:szCs w:val="24"/>
                      <w:lang w:eastAsia="lt-LT"/>
                    </w:rPr>
                    <w:t>, vienam visuomeniniam tiekėjui veikiant kelių skirstomųjų tinklų operatorių licencijuojamos veiklos teritorijose,</w:t>
                  </w:r>
                  <w:r>
                    <w:rPr>
                      <w:sz w:val="22"/>
                      <w:szCs w:val="22"/>
                    </w:rPr>
                    <w:t xml:space="preserve"> </w:t>
                  </w:r>
                  <w:r>
                    <w:rPr>
                      <w:bCs/>
                      <w:color w:val="000000"/>
                      <w:szCs w:val="24"/>
                      <w:lang w:eastAsia="lt-LT"/>
                    </w:rPr>
                    <w:t>EUR/kWh;</w:t>
                  </w:r>
                </w:p>
                <w:p>
                  <w:pPr>
                    <w:ind w:firstLine="720"/>
                    <w:jc w:val="both"/>
                    <w:rPr>
                      <w:bCs/>
                      <w:color w:val="000000"/>
                      <w:szCs w:val="24"/>
                      <w:lang w:eastAsia="lt-LT"/>
                    </w:rPr>
                  </w:pPr>
                  <w:r>
                    <w:rPr>
                      <w:bCs/>
                      <w:color w:val="000000"/>
                      <w:szCs w:val="24"/>
                      <w:lang w:eastAsia="lt-LT"/>
                    </w:rPr>
                    <w:t>T’</w:t>
                  </w:r>
                  <w:r>
                    <w:rPr>
                      <w:bCs/>
                      <w:color w:val="000000"/>
                      <w:szCs w:val="24"/>
                      <w:vertAlign w:val="subscript"/>
                      <w:lang w:eastAsia="lt-LT"/>
                    </w:rPr>
                    <w:t>10, t-2</w:t>
                  </w:r>
                  <w:r>
                    <w:rPr>
                      <w:bCs/>
                      <w:color w:val="000000"/>
                      <w:szCs w:val="24"/>
                      <w:lang w:eastAsia="lt-LT"/>
                    </w:rPr>
                    <w:t xml:space="preserve"> – elektros energijos skirstymo paslaugos VĮ tinklais kainos viršutinė riba </w:t>
                  </w:r>
                  <w:r>
                    <w:rPr>
                      <w:bCs/>
                      <w:i/>
                      <w:iCs/>
                      <w:color w:val="000000"/>
                      <w:szCs w:val="24"/>
                      <w:lang w:eastAsia="lt-LT"/>
                    </w:rPr>
                    <w:t xml:space="preserve">t-2 </w:t>
                  </w:r>
                  <w:r>
                    <w:rPr>
                      <w:bCs/>
                      <w:color w:val="000000"/>
                      <w:szCs w:val="24"/>
                      <w:lang w:eastAsia="lt-LT"/>
                    </w:rPr>
                    <w:t xml:space="preserve">metais, skirstymo sistemos operatoriaus, kurio elektros energijos skirstymo paslaugos VĮ tinklais kainos viršutinė riba </w:t>
                  </w:r>
                  <w:r>
                    <w:rPr>
                      <w:bCs/>
                      <w:i/>
                      <w:iCs/>
                      <w:color w:val="000000"/>
                      <w:szCs w:val="24"/>
                      <w:lang w:eastAsia="lt-LT"/>
                    </w:rPr>
                    <w:t>t</w:t>
                  </w:r>
                  <w:r>
                    <w:rPr>
                      <w:bCs/>
                      <w:color w:val="000000"/>
                      <w:szCs w:val="24"/>
                      <w:lang w:eastAsia="lt-LT"/>
                    </w:rPr>
                    <w:t>-2</w:t>
                  </w:r>
                  <w:r>
                    <w:rPr>
                      <w:bCs/>
                      <w:i/>
                      <w:iCs/>
                      <w:color w:val="000000"/>
                      <w:szCs w:val="24"/>
                      <w:lang w:eastAsia="lt-LT"/>
                    </w:rPr>
                    <w:t xml:space="preserve"> </w:t>
                  </w:r>
                  <w:r>
                    <w:rPr>
                      <w:bCs/>
                      <w:color w:val="000000"/>
                      <w:szCs w:val="24"/>
                      <w:lang w:eastAsia="lt-LT"/>
                    </w:rPr>
                    <w:t xml:space="preserve">metais buvo taikyta visiems visuomeninio tiekėjo licencijuojamos veiklos teritorijoje esantiems buitiniams vartotojams, </w:t>
                  </w:r>
                  <w:r>
                    <w:rPr>
                      <w:bCs/>
                      <w:szCs w:val="24"/>
                      <w:lang w:eastAsia="lt-LT"/>
                    </w:rPr>
                    <w:t>įvertinant elektros energijos skirstymo paslaugos teikimo sąnaudų priskyrimo buitiniams vartotojams koeficientą pagal Metodikos 107</w:t>
                  </w:r>
                  <w:r>
                    <w:rPr>
                      <w:bCs/>
                      <w:szCs w:val="24"/>
                      <w:vertAlign w:val="superscript"/>
                      <w:lang w:eastAsia="lt-LT"/>
                    </w:rPr>
                    <w:t>1</w:t>
                  </w:r>
                  <w:r>
                    <w:rPr>
                      <w:bCs/>
                      <w:szCs w:val="24"/>
                      <w:lang w:eastAsia="lt-LT"/>
                    </w:rPr>
                    <w:t xml:space="preserve"> punktą,</w:t>
                  </w:r>
                  <w:r>
                    <w:rPr>
                      <w:bCs/>
                      <w:color w:val="000000"/>
                      <w:szCs w:val="24"/>
                      <w:lang w:eastAsia="lt-LT"/>
                    </w:rPr>
                    <w:t xml:space="preserve"> EUR/kWh;</w:t>
                  </w:r>
                </w:p>
                <w:p>
                  <w:pPr>
                    <w:ind w:firstLine="720"/>
                    <w:jc w:val="both"/>
                    <w:rPr>
                      <w:b/>
                      <w:bCs/>
                      <w:szCs w:val="24"/>
                      <w:lang w:eastAsia="lt-LT"/>
                    </w:rPr>
                  </w:pPr>
                  <w:r>
                    <w:rPr>
                      <w:bCs/>
                      <w:color w:val="000000"/>
                      <w:szCs w:val="24"/>
                      <w:lang w:eastAsia="lt-LT"/>
                    </w:rPr>
                    <w:t>T’</w:t>
                  </w:r>
                  <w:r>
                    <w:rPr>
                      <w:bCs/>
                      <w:color w:val="000000"/>
                      <w:szCs w:val="24"/>
                      <w:vertAlign w:val="subscript"/>
                      <w:lang w:eastAsia="lt-LT"/>
                    </w:rPr>
                    <w:t>04, t-2</w:t>
                  </w:r>
                  <w:r>
                    <w:rPr>
                      <w:bCs/>
                      <w:color w:val="000000"/>
                      <w:szCs w:val="24"/>
                      <w:lang w:eastAsia="lt-LT"/>
                    </w:rPr>
                    <w:t xml:space="preserve"> – </w:t>
                  </w:r>
                  <w:r>
                    <w:rPr>
                      <w:bCs/>
                      <w:szCs w:val="24"/>
                      <w:lang w:eastAsia="lt-LT"/>
                    </w:rPr>
                    <w:t xml:space="preserve">elektros energijos skirstymo paslaugos ŽĮ tinklais kainos viršutinė riba, </w:t>
                  </w:r>
                  <w:r>
                    <w:rPr>
                      <w:bCs/>
                      <w:i/>
                      <w:iCs/>
                      <w:szCs w:val="24"/>
                      <w:lang w:eastAsia="lt-LT"/>
                    </w:rPr>
                    <w:t>t</w:t>
                  </w:r>
                  <w:r>
                    <w:rPr>
                      <w:bCs/>
                      <w:szCs w:val="24"/>
                      <w:lang w:eastAsia="lt-LT"/>
                    </w:rPr>
                    <w:t xml:space="preserve">-2 metais, </w:t>
                  </w:r>
                  <w:r>
                    <w:rPr>
                      <w:bCs/>
                      <w:color w:val="000000"/>
                      <w:szCs w:val="24"/>
                      <w:lang w:eastAsia="lt-LT"/>
                    </w:rPr>
                    <w:t xml:space="preserve">skirstymo sistemos operatoriaus, kurio elektros energijos </w:t>
                  </w:r>
                  <w:r>
                    <w:rPr>
                      <w:bCs/>
                      <w:szCs w:val="24"/>
                      <w:lang w:eastAsia="lt-LT"/>
                    </w:rPr>
                    <w:t xml:space="preserve">skirstymo paslaugos ŽĮ tinklais kainos viršutinė riba </w:t>
                  </w:r>
                  <w:r>
                    <w:rPr>
                      <w:bCs/>
                      <w:i/>
                      <w:iCs/>
                      <w:szCs w:val="24"/>
                      <w:lang w:eastAsia="lt-LT"/>
                    </w:rPr>
                    <w:t>t</w:t>
                  </w:r>
                  <w:r>
                    <w:rPr>
                      <w:bCs/>
                      <w:szCs w:val="24"/>
                      <w:lang w:eastAsia="lt-LT"/>
                    </w:rPr>
                    <w:t>-2</w:t>
                  </w:r>
                  <w:r>
                    <w:rPr>
                      <w:bCs/>
                      <w:color w:val="000000"/>
                      <w:szCs w:val="24"/>
                      <w:lang w:eastAsia="lt-LT"/>
                    </w:rPr>
                    <w:t xml:space="preserve"> buvo taikyta visiems visuomeninio tiekėjo licencijuojamos veiklos teritorijoje esantiems buitiniams vartotojams,</w:t>
                  </w:r>
                  <w:r>
                    <w:rPr>
                      <w:bCs/>
                      <w:szCs w:val="24"/>
                      <w:lang w:eastAsia="lt-LT"/>
                    </w:rPr>
                    <w:t xml:space="preserve"> EUR/kWh, </w:t>
                  </w:r>
                  <w:r>
                    <w:rPr>
                      <w:color w:val="000000"/>
                      <w:szCs w:val="24"/>
                      <w:lang w:eastAsia="lt-LT"/>
                    </w:rPr>
                    <w:t>įvertinant skirstymo paslaugos teikimo sąnaudų priskyrimo buitiniams vartotojams koeficientą, kurio reikšmė lygi 1,3. Skirstomųjų tinklų operatoriui diferencijuojant persiuntimo paslaugos kainas vartotojams reikšmė nuosekliai didinama iki 2020 m., tačiau negali viršyti 1,3. Reguliuojančiajai institucijai nustačius naują skirstymo veiklos reguliavimo periodą, skirstomųjų tinklų operatoriui diferencijuojant persiuntimo paslaugos kainas vartotojams reikšmė reguliavimo periodu nuosekliai didinama iki reikšmės, ne didesnės kaip 1,4.</w:t>
                  </w:r>
                </w:p>
                <w:p>
                  <w:pPr>
                    <w:ind w:firstLine="720"/>
                    <w:jc w:val="both"/>
                    <w:rPr>
                      <w:bCs/>
                      <w:color w:val="000000"/>
                      <w:szCs w:val="24"/>
                      <w:lang w:eastAsia="lt-LT"/>
                    </w:rPr>
                  </w:pPr>
                  <w:r>
                    <w:rPr>
                      <w:bCs/>
                      <w:color w:val="000000"/>
                      <w:szCs w:val="24"/>
                      <w:lang w:eastAsia="lt-LT"/>
                    </w:rPr>
                    <w:t>T’</w:t>
                  </w:r>
                  <w:r>
                    <w:rPr>
                      <w:bCs/>
                      <w:color w:val="000000"/>
                      <w:szCs w:val="24"/>
                      <w:vertAlign w:val="subscript"/>
                      <w:lang w:eastAsia="lt-LT"/>
                    </w:rPr>
                    <w:t>10, t-2,i</w:t>
                  </w:r>
                  <w:r>
                    <w:rPr>
                      <w:bCs/>
                      <w:color w:val="000000"/>
                      <w:szCs w:val="24"/>
                      <w:lang w:eastAsia="lt-LT"/>
                    </w:rPr>
                    <w:t> – elektros energijos skirstymo paslaugos VĮ tinklais kainos viršutinė riba </w:t>
                  </w:r>
                  <w:r>
                    <w:rPr>
                      <w:bCs/>
                      <w:i/>
                      <w:iCs/>
                      <w:color w:val="000000"/>
                      <w:szCs w:val="24"/>
                      <w:lang w:eastAsia="lt-LT"/>
                    </w:rPr>
                    <w:t>t</w:t>
                  </w:r>
                  <w:r>
                    <w:rPr>
                      <w:bCs/>
                      <w:color w:val="000000"/>
                      <w:szCs w:val="24"/>
                      <w:lang w:eastAsia="lt-LT"/>
                    </w:rPr>
                    <w:t>-2</w:t>
                  </w:r>
                  <w:r>
                    <w:rPr>
                      <w:bCs/>
                      <w:i/>
                      <w:iCs/>
                      <w:color w:val="000000"/>
                      <w:szCs w:val="24"/>
                      <w:lang w:eastAsia="lt-LT"/>
                    </w:rPr>
                    <w:t xml:space="preserve"> </w:t>
                  </w:r>
                  <w:r>
                    <w:rPr>
                      <w:bCs/>
                      <w:color w:val="000000"/>
                      <w:szCs w:val="24"/>
                      <w:lang w:eastAsia="lt-LT"/>
                    </w:rPr>
                    <w:t xml:space="preserve">metais, </w:t>
                  </w:r>
                  <w:r>
                    <w:rPr>
                      <w:bCs/>
                      <w:i/>
                      <w:iCs/>
                      <w:color w:val="000000"/>
                      <w:szCs w:val="24"/>
                      <w:lang w:eastAsia="lt-LT"/>
                    </w:rPr>
                    <w:t>i</w:t>
                  </w:r>
                  <w:r>
                    <w:rPr>
                      <w:bCs/>
                      <w:color w:val="000000"/>
                      <w:szCs w:val="24"/>
                      <w:lang w:eastAsia="lt-LT"/>
                    </w:rPr>
                    <w:t xml:space="preserve">-tojo skirstymo sistemos operatoriaus, kurio elektros energijos skirstymo paslaugos VĮ tinklais kainos viršutinė riba </w:t>
                  </w:r>
                  <w:r>
                    <w:rPr>
                      <w:bCs/>
                      <w:i/>
                      <w:iCs/>
                      <w:color w:val="000000"/>
                      <w:szCs w:val="24"/>
                      <w:lang w:eastAsia="lt-LT"/>
                    </w:rPr>
                    <w:t>t</w:t>
                  </w:r>
                  <w:r>
                    <w:rPr>
                      <w:bCs/>
                      <w:color w:val="000000"/>
                      <w:szCs w:val="24"/>
                      <w:lang w:eastAsia="lt-LT"/>
                    </w:rPr>
                    <w:t>-2 metais nebuvo taikyta jo licencijuojamoje veiklos teritorijoje esantiems buitiniams vartotojams,</w:t>
                  </w:r>
                  <w:r>
                    <w:rPr>
                      <w:bCs/>
                      <w:szCs w:val="24"/>
                      <w:lang w:eastAsia="lt-LT"/>
                    </w:rPr>
                    <w:t xml:space="preserve"> įvertinant elektros energijos skirstymo paslaugos teikimo sąnaudų priskyrimo buitiniams vartotojams koeficientą</w:t>
                  </w:r>
                  <w:r>
                    <w:rPr>
                      <w:sz w:val="22"/>
                      <w:szCs w:val="22"/>
                    </w:rPr>
                    <w:t xml:space="preserve"> </w:t>
                  </w:r>
                  <w:r>
                    <w:rPr>
                      <w:bCs/>
                      <w:szCs w:val="24"/>
                      <w:lang w:eastAsia="lt-LT"/>
                    </w:rPr>
                    <w:t>pagal Metodikos 107</w:t>
                  </w:r>
                  <w:r>
                    <w:rPr>
                      <w:bCs/>
                      <w:szCs w:val="24"/>
                      <w:vertAlign w:val="superscript"/>
                      <w:lang w:eastAsia="lt-LT"/>
                    </w:rPr>
                    <w:t>1</w:t>
                  </w:r>
                  <w:r>
                    <w:rPr>
                      <w:bCs/>
                      <w:szCs w:val="24"/>
                      <w:lang w:eastAsia="lt-LT"/>
                    </w:rPr>
                    <w:t xml:space="preserve"> punktą,</w:t>
                  </w:r>
                  <w:r>
                    <w:rPr>
                      <w:bCs/>
                      <w:color w:val="000000"/>
                      <w:szCs w:val="24"/>
                      <w:lang w:eastAsia="lt-LT"/>
                    </w:rPr>
                    <w:t xml:space="preserve"> EUR/kWh;</w:t>
                  </w:r>
                </w:p>
                <w:p>
                  <w:pPr>
                    <w:ind w:firstLine="720"/>
                    <w:jc w:val="both"/>
                    <w:rPr>
                      <w:bCs/>
                      <w:szCs w:val="24"/>
                      <w:lang w:eastAsia="lt-LT"/>
                    </w:rPr>
                  </w:pPr>
                  <w:r>
                    <w:rPr>
                      <w:bCs/>
                      <w:color w:val="000000"/>
                      <w:szCs w:val="24"/>
                      <w:lang w:eastAsia="lt-LT"/>
                    </w:rPr>
                    <w:t>T’</w:t>
                  </w:r>
                  <w:r>
                    <w:rPr>
                      <w:bCs/>
                      <w:color w:val="000000"/>
                      <w:szCs w:val="24"/>
                      <w:vertAlign w:val="subscript"/>
                      <w:lang w:eastAsia="lt-LT"/>
                    </w:rPr>
                    <w:t>04, t-2,i</w:t>
                  </w:r>
                  <w:r>
                    <w:rPr>
                      <w:bCs/>
                      <w:color w:val="000000"/>
                      <w:szCs w:val="24"/>
                      <w:lang w:eastAsia="lt-LT"/>
                    </w:rPr>
                    <w:t xml:space="preserve"> – </w:t>
                  </w:r>
                  <w:r>
                    <w:rPr>
                      <w:bCs/>
                      <w:szCs w:val="24"/>
                      <w:lang w:eastAsia="lt-LT"/>
                    </w:rPr>
                    <w:t xml:space="preserve">elektros energijos skirstymo paslaugos ŽĮ tinklais kainos viršutinė riba, </w:t>
                  </w:r>
                  <w:r>
                    <w:rPr>
                      <w:bCs/>
                      <w:i/>
                      <w:iCs/>
                      <w:szCs w:val="24"/>
                      <w:lang w:eastAsia="lt-LT"/>
                    </w:rPr>
                    <w:t>t</w:t>
                  </w:r>
                  <w:r>
                    <w:rPr>
                      <w:bCs/>
                      <w:szCs w:val="24"/>
                      <w:lang w:eastAsia="lt-LT"/>
                    </w:rPr>
                    <w:t xml:space="preserve">-2 metais, </w:t>
                  </w:r>
                  <w:r>
                    <w:rPr>
                      <w:bCs/>
                      <w:i/>
                      <w:iCs/>
                      <w:szCs w:val="24"/>
                      <w:lang w:eastAsia="lt-LT"/>
                    </w:rPr>
                    <w:t>i</w:t>
                  </w:r>
                  <w:r>
                    <w:rPr>
                      <w:bCs/>
                      <w:szCs w:val="24"/>
                      <w:lang w:eastAsia="lt-LT"/>
                    </w:rPr>
                    <w:t xml:space="preserve">-tojo </w:t>
                  </w:r>
                  <w:r>
                    <w:rPr>
                      <w:bCs/>
                      <w:color w:val="000000"/>
                      <w:szCs w:val="24"/>
                      <w:lang w:eastAsia="lt-LT"/>
                    </w:rPr>
                    <w:t xml:space="preserve">skirstymo sistemos operatoriaus, kurio </w:t>
                  </w:r>
                  <w:r>
                    <w:rPr>
                      <w:bCs/>
                      <w:szCs w:val="24"/>
                      <w:lang w:eastAsia="lt-LT"/>
                    </w:rPr>
                    <w:t>elektros energijos skirstymo paslaugos ŽĮ tinklais kainos viršutinė riba</w:t>
                  </w:r>
                  <w:r>
                    <w:rPr>
                      <w:bCs/>
                      <w:color w:val="000000"/>
                      <w:szCs w:val="24"/>
                      <w:lang w:eastAsia="lt-LT"/>
                    </w:rPr>
                    <w:t xml:space="preserve"> </w:t>
                  </w:r>
                  <w:r>
                    <w:rPr>
                      <w:bCs/>
                      <w:i/>
                      <w:iCs/>
                      <w:color w:val="000000"/>
                      <w:szCs w:val="24"/>
                      <w:lang w:eastAsia="lt-LT"/>
                    </w:rPr>
                    <w:t>t</w:t>
                  </w:r>
                  <w:r>
                    <w:rPr>
                      <w:bCs/>
                      <w:color w:val="000000"/>
                      <w:szCs w:val="24"/>
                      <w:lang w:eastAsia="lt-LT"/>
                    </w:rPr>
                    <w:t>-2 metais nebuvo taikyta jo licencijuojamos veiklos teritorijoje esantiems buitiniams vartotojams,</w:t>
                  </w:r>
                  <w:r>
                    <w:rPr>
                      <w:bCs/>
                      <w:szCs w:val="24"/>
                      <w:lang w:eastAsia="lt-LT"/>
                    </w:rPr>
                    <w:t xml:space="preserve"> EUR/kWh, </w:t>
                  </w:r>
                  <w:r>
                    <w:rPr>
                      <w:color w:val="000000"/>
                      <w:szCs w:val="24"/>
                      <w:lang w:eastAsia="lt-LT"/>
                    </w:rPr>
                    <w:t>įvertinant skirstymo paslaugos teikimo sąnaudų priskyrimo buitiniams vartotojams koeficientą, kurio reikšmė lygi 1,3. Skirstomųjų tinklų operatoriui diferencijuojant persiuntimo paslaugos kainas vartotojams reikšmė nuosekliai didinama iki 2020 m., tačiau negali viršyti 1,3. Reguliuojančiajai institucijai nustačius naują skirstymo veiklos reguliavimo periodą, skirstomųjų tinklų operatoriui diferencijuojant persiuntimo paslaugos kainas vartotojams reikšmė reguliavimo periodu nuosekliai didinama iki reikšmės, ne didesnės kaip 1,4.</w:t>
                  </w:r>
                </w:p>
                <w:p>
                  <w:pPr>
                    <w:ind w:firstLine="720"/>
                    <w:jc w:val="both"/>
                    <w:rPr>
                      <w:bCs/>
                      <w:color w:val="000000"/>
                      <w:szCs w:val="24"/>
                      <w:lang w:eastAsia="lt-LT"/>
                    </w:rPr>
                  </w:pPr>
                  <w:r>
                    <w:rPr>
                      <w:bCs/>
                      <w:color w:val="000000"/>
                      <w:szCs w:val="24"/>
                      <w:lang w:eastAsia="lt-LT"/>
                    </w:rPr>
                    <w:t>E</w:t>
                  </w:r>
                  <w:r>
                    <w:rPr>
                      <w:bCs/>
                      <w:color w:val="000000"/>
                      <w:szCs w:val="24"/>
                      <w:vertAlign w:val="subscript"/>
                      <w:lang w:eastAsia="lt-LT"/>
                    </w:rPr>
                    <w:t xml:space="preserve">vt, t </w:t>
                  </w:r>
                  <w:r>
                    <w:rPr>
                      <w:bCs/>
                      <w:color w:val="000000"/>
                      <w:szCs w:val="24"/>
                      <w:lang w:eastAsia="lt-LT"/>
                    </w:rPr>
                    <w:t xml:space="preserve">– visuomeninio tiekėjo prognozuojamas parduoti elektros energijos kiekis </w:t>
                  </w:r>
                  <w:r>
                    <w:rPr>
                      <w:bCs/>
                      <w:i/>
                      <w:iCs/>
                      <w:color w:val="000000"/>
                      <w:szCs w:val="24"/>
                      <w:lang w:eastAsia="lt-LT"/>
                    </w:rPr>
                    <w:t>t</w:t>
                  </w:r>
                  <w:r>
                    <w:rPr>
                      <w:bCs/>
                      <w:color w:val="000000"/>
                      <w:szCs w:val="24"/>
                      <w:lang w:eastAsia="lt-LT"/>
                    </w:rPr>
                    <w:t xml:space="preserve"> metais, kWh;</w:t>
                  </w:r>
                </w:p>
                <w:p>
                  <w:pPr>
                    <w:ind w:firstLine="720"/>
                    <w:jc w:val="both"/>
                    <w:rPr>
                      <w:bCs/>
                      <w:color w:val="000000"/>
                      <w:szCs w:val="24"/>
                      <w:lang w:eastAsia="lt-LT"/>
                    </w:rPr>
                  </w:pPr>
                  <w:r>
                    <w:rPr>
                      <w:bCs/>
                      <w:color w:val="000000"/>
                      <w:szCs w:val="24"/>
                      <w:lang w:eastAsia="lt-LT"/>
                    </w:rPr>
                    <w:t>E</w:t>
                  </w:r>
                  <w:r>
                    <w:rPr>
                      <w:bCs/>
                      <w:color w:val="000000"/>
                      <w:szCs w:val="24"/>
                      <w:vertAlign w:val="subscript"/>
                      <w:lang w:eastAsia="lt-LT"/>
                    </w:rPr>
                    <w:t xml:space="preserve">vt(10),t-2,i </w:t>
                  </w:r>
                  <w:r>
                    <w:rPr>
                      <w:bCs/>
                      <w:color w:val="000000"/>
                      <w:szCs w:val="24"/>
                      <w:lang w:eastAsia="lt-LT"/>
                    </w:rPr>
                    <w:t xml:space="preserve">– </w:t>
                  </w:r>
                  <w:r>
                    <w:rPr>
                      <w:bCs/>
                      <w:i/>
                      <w:iCs/>
                      <w:color w:val="000000"/>
                      <w:szCs w:val="24"/>
                      <w:lang w:eastAsia="lt-LT"/>
                    </w:rPr>
                    <w:t>t</w:t>
                  </w:r>
                  <w:r>
                    <w:rPr>
                      <w:bCs/>
                      <w:color w:val="000000"/>
                      <w:szCs w:val="24"/>
                      <w:lang w:eastAsia="lt-LT"/>
                    </w:rPr>
                    <w:t xml:space="preserve">-2 metais visuomeninio tiekėjo </w:t>
                  </w:r>
                  <w:r>
                    <w:rPr>
                      <w:bCs/>
                      <w:i/>
                      <w:iCs/>
                      <w:color w:val="000000"/>
                      <w:szCs w:val="24"/>
                      <w:lang w:eastAsia="lt-LT"/>
                    </w:rPr>
                    <w:t>i</w:t>
                  </w:r>
                  <w:r>
                    <w:rPr>
                      <w:bCs/>
                      <w:color w:val="000000"/>
                      <w:szCs w:val="24"/>
                      <w:lang w:eastAsia="lt-LT"/>
                    </w:rPr>
                    <w:t>-tojo skirstymo tinklų operatoriaus licencijuojamoje veiklos teritorijoje esantiems buitiniams vartotojams, prisijungusiems prie VĮ tinklų, faktiškai parduotas elektros energijos kiekis, kWh;</w:t>
                  </w:r>
                </w:p>
                <w:p>
                  <w:pPr>
                    <w:ind w:firstLine="720"/>
                    <w:jc w:val="both"/>
                    <w:rPr>
                      <w:bCs/>
                      <w:color w:val="000000"/>
                      <w:szCs w:val="24"/>
                      <w:lang w:eastAsia="lt-LT"/>
                    </w:rPr>
                  </w:pPr>
                  <w:r>
                    <w:rPr>
                      <w:bCs/>
                      <w:color w:val="000000"/>
                      <w:szCs w:val="24"/>
                      <w:lang w:eastAsia="lt-LT"/>
                    </w:rPr>
                    <w:t>E</w:t>
                  </w:r>
                  <w:r>
                    <w:rPr>
                      <w:bCs/>
                      <w:color w:val="000000"/>
                      <w:szCs w:val="24"/>
                      <w:vertAlign w:val="subscript"/>
                      <w:lang w:eastAsia="lt-LT"/>
                    </w:rPr>
                    <w:t xml:space="preserve">vt(04),t-2,i </w:t>
                  </w:r>
                  <w:r>
                    <w:rPr>
                      <w:bCs/>
                      <w:color w:val="000000"/>
                      <w:szCs w:val="24"/>
                      <w:lang w:eastAsia="lt-LT"/>
                    </w:rPr>
                    <w:t xml:space="preserve">– </w:t>
                  </w:r>
                  <w:r>
                    <w:rPr>
                      <w:bCs/>
                      <w:i/>
                      <w:iCs/>
                      <w:color w:val="000000"/>
                      <w:szCs w:val="24"/>
                      <w:lang w:eastAsia="lt-LT"/>
                    </w:rPr>
                    <w:t>t</w:t>
                  </w:r>
                  <w:r>
                    <w:rPr>
                      <w:bCs/>
                      <w:color w:val="000000"/>
                      <w:szCs w:val="24"/>
                      <w:lang w:eastAsia="lt-LT"/>
                    </w:rPr>
                    <w:t xml:space="preserve">-2 metais visuomeninio tiekėjo </w:t>
                  </w:r>
                  <w:r>
                    <w:rPr>
                      <w:bCs/>
                      <w:i/>
                      <w:iCs/>
                      <w:color w:val="000000"/>
                      <w:szCs w:val="24"/>
                      <w:lang w:eastAsia="lt-LT"/>
                    </w:rPr>
                    <w:t>i</w:t>
                  </w:r>
                  <w:r>
                    <w:rPr>
                      <w:bCs/>
                      <w:color w:val="000000"/>
                      <w:szCs w:val="24"/>
                      <w:lang w:eastAsia="lt-LT"/>
                    </w:rPr>
                    <w:t>-tojo skirstymo tinklų operatoriaus licencijuojamoje veiklos teritorijoje esantiems buitiniams vartotojams, prisijungusiems prie ŽĮ tinklų, faktiškai parduotas elektros energijos kiekis, kWh;</w:t>
                  </w:r>
                </w:p>
                <w:p>
                  <w:pPr>
                    <w:ind w:firstLine="720"/>
                    <w:jc w:val="both"/>
                  </w:pPr>
                  <w:r>
                    <w:rPr>
                      <w:bCs/>
                      <w:color w:val="000000"/>
                      <w:szCs w:val="24"/>
                      <w:lang w:eastAsia="lt-LT"/>
                    </w:rPr>
                    <w:t xml:space="preserve">n – skirstymo tinklų operatorių, kurių licencijuojamos veiklos teritorijoje esantiems buitiniams vartotojams visuomeninės elektros energijos kainos viršutinėje riboje buvo taikytos kito skirstymo tinklų operatoriaus </w:t>
                  </w:r>
                  <w:r>
                    <w:rPr>
                      <w:bCs/>
                      <w:szCs w:val="24"/>
                      <w:lang w:eastAsia="lt-LT"/>
                    </w:rPr>
                    <w:t>elektros energijos skirstymo paslaugos VĮ ir ŽĮ tinklais kainų viršutinės ribos,</w:t>
                  </w:r>
                  <w:r>
                    <w:rPr>
                      <w:bCs/>
                      <w:color w:val="000000"/>
                      <w:szCs w:val="24"/>
                      <w:lang w:eastAsia="lt-LT"/>
                    </w:rPr>
                    <w:t xml:space="preserve"> skaičius.</w:t>
                  </w:r>
                  <w:r>
                    <w:t xml:space="preserve"> </w:t>
                  </w:r>
                </w:p>
                <w:p>
                  <w:pPr>
                    <w:jc w:val="both"/>
                    <w:rPr>
                      <w:szCs w:val="24"/>
                    </w:rPr>
                  </w:pPr>
                  <w:r>
                    <w:rPr>
                      <w:b/>
                      <w:i/>
                      <w:sz w:val="20"/>
                    </w:rPr>
                    <w:t>TAR pastaba.</w:t>
                  </w:r>
                  <w:r>
                    <w:rPr>
                      <w:i/>
                      <w:sz w:val="20"/>
                    </w:rPr>
                    <w:t xml:space="preserve"> 111</w:t>
                  </w:r>
                  <w:r>
                    <w:rPr>
                      <w:i/>
                      <w:sz w:val="20"/>
                      <w:vertAlign w:val="superscript"/>
                    </w:rPr>
                    <w:t>2</w:t>
                  </w:r>
                  <w:r>
                    <w:rPr>
                      <w:i/>
                      <w:sz w:val="20"/>
                    </w:rPr>
                    <w:t xml:space="preserve"> punkto nuostatos taikomos </w:t>
                  </w:r>
                  <w:r>
                    <w:rPr>
                      <w:bCs/>
                      <w:i/>
                      <w:sz w:val="20"/>
                    </w:rPr>
                    <w:t>nustatant arba koreguojant 2020 metų ir vėlesnių laikotarpių elektros energijos perdavimo, skirstymo ir visuomeninio tiekimo paslaugų bei visuomeninės kainos viršutines ribas</w:t>
                  </w:r>
                  <w:r>
                    <w:rPr>
                      <w:bCs/>
                      <w:i/>
                    </w:rPr>
                    <w:t>.</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2bc050eb6011e99681cd81dcdca52c">
                    <w:r w:rsidRPr="00532B9F">
                      <w:rPr>
                        <w:rFonts w:ascii="Times New Roman" w:eastAsia="MS Mincho" w:hAnsi="Times New Roman"/>
                        <w:sz w:val="20"/>
                        <w:i/>
                        <w:iCs/>
                        <w:color w:val="0000FF" w:themeColor="hyperlink"/>
                        <w:u w:val="single"/>
                      </w:rPr>
                      <w:t>O3E-548</w:t>
                    </w:r>
                  </w:fldSimple>
                  <w:r>
                    <w:rPr>
                      <w:rFonts w:ascii="Times New Roman" w:eastAsia="MS Mincho" w:hAnsi="Times New Roman"/>
                      <w:sz w:val="20"/>
                      <w:i/>
                      <w:iCs/>
                    </w:rPr>
                    <w:t>,
2019-10-10,
paskelbta TAR 2019-10-10, i. k. 2019-16169        </w:t>
                  </w:r>
                </w:p>
                <w:p/>
              </w:sdtContent>
            </w:sdt>
          </w:sdtContent>
        </w:sdt>
        <w:sdt>
          <w:sdtPr>
            <w:alias w:val="skyrius"/>
            <w:tag w:val="part_91062acbbca44a6d933028739b86585d"/>
            <w:lock w:val="sdtLocked"/>
            <w:richText/>
          </w:sdtPr>
          <w:sdtContent>
            <w:p>
              <w:pPr>
                <w:tabs>
                  <w:tab w:val="left" w:pos="1134"/>
                  <w:tab w:val="left" w:pos="1843"/>
                  <w:tab w:val="left" w:pos="2268"/>
                </w:tabs>
                <w:suppressAutoHyphens/>
                <w:jc w:val="center"/>
                <w:textAlignment w:val="center"/>
                <w:rPr>
                  <w:b/>
                  <w:szCs w:val="24"/>
                </w:rPr>
              </w:pPr>
              <w:sdt>
                <w:sdtPr>
                  <w:alias w:val="Numeris"/>
                  <w:tag w:val="nr_91062acbbca44a6d933028739b86585d"/>
                  <w:lock w:val="sdtLocked"/>
                  <w:richText/>
                </w:sdtPr>
                <w:sdtContent>
                  <w:r>
                    <w:rPr>
                      <w:b/>
                      <w:szCs w:val="24"/>
                    </w:rPr>
                    <w:t>VII</w:t>
                  </w:r>
                </w:sdtContent>
              </w:sdt>
              <w:r>
                <w:rPr>
                  <w:b/>
                  <w:szCs w:val="24"/>
                </w:rPr>
                <w:t xml:space="preserve"> SKYRIUS</w:t>
              </w:r>
            </w:p>
            <w:p>
              <w:pPr>
                <w:tabs>
                  <w:tab w:val="left" w:pos="1134"/>
                  <w:tab w:val="left" w:pos="1843"/>
                  <w:tab w:val="left" w:pos="2268"/>
                </w:tabs>
                <w:suppressAutoHyphens/>
                <w:jc w:val="center"/>
                <w:textAlignment w:val="center"/>
                <w:rPr>
                  <w:b/>
                  <w:szCs w:val="24"/>
                </w:rPr>
              </w:pPr>
              <w:sdt>
                <w:sdtPr>
                  <w:alias w:val="Pavadinimas"/>
                  <w:tag w:val="title_91062acbbca44a6d933028739b86585d"/>
                  <w:lock w:val="sdtLocked"/>
                  <w:richText/>
                </w:sdtPr>
                <w:sdtContent>
                  <w:r>
                    <w:rPr>
                      <w:b/>
                      <w:szCs w:val="24"/>
                    </w:rPr>
                    <w:t>REIKALAVIMAI, SUSIJĘ SU ĮMONIŲ REGULIUOJAMŲ VEIKLŲ KAINŲ IR KAINŲ VIRŠUTINIŲ RIBŲ NUSTATYMU</w:t>
                  </w:r>
                </w:sdtContent>
              </w:sdt>
            </w:p>
            <w:p>
              <w:pPr>
                <w:tabs>
                  <w:tab w:val="left" w:pos="1134"/>
                  <w:tab w:val="left" w:pos="1843"/>
                  <w:tab w:val="left" w:pos="2268"/>
                </w:tabs>
                <w:ind w:firstLine="567"/>
                <w:jc w:val="both"/>
                <w:rPr>
                  <w:szCs w:val="24"/>
                </w:rPr>
              </w:pPr>
            </w:p>
            <w:p>
              <w:pPr>
                <w:tabs>
                  <w:tab w:val="left" w:pos="1134"/>
                  <w:tab w:val="left" w:pos="1843"/>
                  <w:tab w:val="left" w:pos="2268"/>
                </w:tabs>
                <w:ind w:firstLine="567"/>
                <w:jc w:val="both"/>
                <w:rPr>
                  <w:szCs w:val="24"/>
                </w:rPr>
              </w:pPr>
            </w:p>
            <w:sdt>
              <w:sdtPr>
                <w:alias w:val="112 p."/>
                <w:tag w:val="part_5322b193481a4986a9e46d15c530740a"/>
                <w:lock w:val="sdtLocked"/>
                <w:richText/>
              </w:sdtPr>
              <w:sdtContent>
                <w:p>
                  <w:pPr>
                    <w:tabs>
                      <w:tab w:val="left" w:pos="1260"/>
                      <w:tab w:val="left" w:pos="1843"/>
                      <w:tab w:val="left" w:pos="2268"/>
                    </w:tabs>
                    <w:ind w:firstLine="720"/>
                    <w:jc w:val="both"/>
                    <w:rPr>
                      <w:szCs w:val="24"/>
                    </w:rPr>
                  </w:pPr>
                  <w:sdt>
                    <w:sdtPr>
                      <w:alias w:val="Numeris"/>
                      <w:tag w:val="nr_5322b193481a4986a9e46d15c530740a"/>
                      <w:lock w:val="sdtLocked"/>
                      <w:richText/>
                    </w:sdtPr>
                    <w:sdtContent>
                      <w:r>
                        <w:rPr>
                          <w:szCs w:val="24"/>
                        </w:rPr>
                        <w:t>112</w:t>
                      </w:r>
                    </w:sdtContent>
                  </w:sdt>
                  <w:r>
                    <w:rPr>
                      <w:szCs w:val="24"/>
                    </w:rPr>
                    <w:t>. Elektros energijos visuomeninis tiekėjas nustato elektros energijos visuomeninio tiekimo paslaugos kainą (tarifų svertinį vidurkį), lygią arba nedidesnę nei elektros energijos visuomeninio tiekimo paslaugos kainos viršutinė riba.</w:t>
                  </w:r>
                </w:p>
              </w:sdtContent>
            </w:sdt>
            <w:sdt>
              <w:sdtPr>
                <w:alias w:val="113 p."/>
                <w:tag w:val="part_1c3f88dd24c04aa3bd490abd485f5f4c"/>
                <w:lock w:val="sdtLocked"/>
                <w:richText/>
              </w:sdtPr>
              <w:sdtContent>
                <w:p>
                  <w:pPr>
                    <w:tabs>
                      <w:tab w:val="left" w:pos="1260"/>
                      <w:tab w:val="left" w:pos="1843"/>
                      <w:tab w:val="left" w:pos="2268"/>
                    </w:tabs>
                    <w:ind w:firstLine="720"/>
                    <w:jc w:val="both"/>
                    <w:rPr>
                      <w:szCs w:val="24"/>
                    </w:rPr>
                  </w:pPr>
                  <w:sdt>
                    <w:sdtPr>
                      <w:alias w:val="Numeris"/>
                      <w:tag w:val="nr_1c3f88dd24c04aa3bd490abd485f5f4c"/>
                      <w:lock w:val="sdtLocked"/>
                      <w:richText/>
                    </w:sdtPr>
                    <w:sdtContent>
                      <w:r>
                        <w:rPr>
                          <w:szCs w:val="24"/>
                        </w:rPr>
                        <w:t>113</w:t>
                      </w:r>
                    </w:sdtContent>
                  </w:sdt>
                  <w:r>
                    <w:rPr>
                      <w:szCs w:val="24"/>
                    </w:rPr>
                    <w:t>. PSO ir STO nustato elektros energijos perdavimo ir skirstymo kainas, neviršijančias jiems nustatytų kainų viršutinių ribų.</w:t>
                  </w:r>
                </w:p>
              </w:sdtContent>
            </w:sdt>
            <w:sdt>
              <w:sdtPr>
                <w:alias w:val="114 p."/>
                <w:tag w:val="part_b13e241518164bea8498fcf9fb9aca8e"/>
                <w:lock w:val="sdtLocked"/>
                <w:richText/>
              </w:sdtPr>
              <w:sdtContent>
                <w:p>
                  <w:pPr>
                    <w:tabs>
                      <w:tab w:val="left" w:pos="1260"/>
                      <w:tab w:val="left" w:pos="1843"/>
                      <w:tab w:val="left" w:pos="2268"/>
                    </w:tabs>
                    <w:ind w:firstLine="720"/>
                    <w:jc w:val="both"/>
                    <w:rPr>
                      <w:szCs w:val="24"/>
                    </w:rPr>
                  </w:pPr>
                  <w:sdt>
                    <w:sdtPr>
                      <w:alias w:val="Numeris"/>
                      <w:tag w:val="nr_b13e241518164bea8498fcf9fb9aca8e"/>
                      <w:lock w:val="sdtLocked"/>
                      <w:richText/>
                    </w:sdtPr>
                    <w:sdtContent>
                      <w:r>
                        <w:rPr>
                          <w:szCs w:val="24"/>
                        </w:rPr>
                        <w:t>114</w:t>
                      </w:r>
                    </w:sdtContent>
                  </w:sdt>
                  <w:r>
                    <w:rPr>
                      <w:szCs w:val="24"/>
                    </w:rPr>
                    <w:t>. Visuomeninę elektros energijos kainą ir tarifus apskaičiuoja ir nustato visuomeninis tiekėjas 6 kalendoriniams mėnesiams.</w:t>
                  </w:r>
                </w:p>
              </w:sdtContent>
            </w:sdt>
            <w:sdt>
              <w:sdtPr>
                <w:alias w:val="115 p."/>
                <w:tag w:val="part_0678709eeb3f48e686d3bccedd01e5b0"/>
                <w:lock w:val="sdtLocked"/>
                <w:richText/>
              </w:sdtPr>
              <w:sdtContent>
                <w:p>
                  <w:pPr>
                    <w:tabs>
                      <w:tab w:val="left" w:pos="1260"/>
                      <w:tab w:val="left" w:pos="1843"/>
                      <w:tab w:val="left" w:pos="2268"/>
                    </w:tabs>
                    <w:ind w:firstLine="720"/>
                    <w:jc w:val="both"/>
                    <w:rPr>
                      <w:szCs w:val="24"/>
                    </w:rPr>
                  </w:pPr>
                  <w:sdt>
                    <w:sdtPr>
                      <w:alias w:val="Numeris"/>
                      <w:tag w:val="nr_0678709eeb3f48e686d3bccedd01e5b0"/>
                      <w:lock w:val="sdtLocked"/>
                      <w:richText/>
                    </w:sdtPr>
                    <w:sdtContent>
                      <w:r>
                        <w:rPr>
                          <w:szCs w:val="24"/>
                        </w:rPr>
                        <w:t>115</w:t>
                      </w:r>
                    </w:sdtContent>
                  </w:sdt>
                  <w:r>
                    <w:rPr>
                      <w:szCs w:val="24"/>
                    </w:rPr>
                    <w:t xml:space="preserve">. Reguliuojamų paslaugų kainų viršutinėms riboms nustatyti Įmonė  iki rugsėjo 1 d. pateikia:</w:t>
                  </w:r>
                </w:p>
                <w:sdt>
                  <w:sdtPr>
                    <w:alias w:val="115.1 p."/>
                    <w:tag w:val="part_6d70b55309224d9dbc24c463cb9d622e"/>
                    <w:lock w:val="sdtLocked"/>
                    <w:richText/>
                  </w:sdtPr>
                  <w:sdtContent>
                    <w:p>
                      <w:pPr>
                        <w:tabs>
                          <w:tab w:val="left" w:pos="1440"/>
                          <w:tab w:val="left" w:pos="1843"/>
                          <w:tab w:val="left" w:pos="2268"/>
                        </w:tabs>
                        <w:ind w:firstLine="720"/>
                        <w:jc w:val="both"/>
                        <w:rPr>
                          <w:szCs w:val="24"/>
                        </w:rPr>
                      </w:pPr>
                      <w:sdt>
                        <w:sdtPr>
                          <w:alias w:val="Numeris"/>
                          <w:tag w:val="nr_6d70b55309224d9dbc24c463cb9d622e"/>
                          <w:lock w:val="sdtLocked"/>
                          <w:richText/>
                        </w:sdtPr>
                        <w:sdtContent>
                          <w:r>
                            <w:rPr>
                              <w:szCs w:val="24"/>
                            </w:rPr>
                            <w:t>115.1</w:t>
                          </w:r>
                        </w:sdtContent>
                      </w:sdt>
                      <w:r>
                        <w:rPr>
                          <w:szCs w:val="24"/>
                        </w:rPr>
                        <w:t>. PSO:</w:t>
                      </w:r>
                    </w:p>
                    <w:sdt>
                      <w:sdtPr>
                        <w:alias w:val="115.1.1 p."/>
                        <w:tag w:val="part_45293bc5d230476eb21f497949885b35"/>
                        <w:lock w:val="sdtLocked"/>
                        <w:richText/>
                      </w:sdtPr>
                      <w:sdtContent>
                        <w:p>
                          <w:pPr>
                            <w:tabs>
                              <w:tab w:val="left" w:pos="1620"/>
                              <w:tab w:val="left" w:pos="1843"/>
                              <w:tab w:val="left" w:pos="2268"/>
                            </w:tabs>
                            <w:ind w:firstLine="720"/>
                            <w:jc w:val="both"/>
                            <w:rPr>
                              <w:szCs w:val="24"/>
                            </w:rPr>
                          </w:pPr>
                          <w:sdt>
                            <w:sdtPr>
                              <w:alias w:val="Numeris"/>
                              <w:tag w:val="nr_45293bc5d230476eb21f497949885b35"/>
                              <w:lock w:val="sdtLocked"/>
                              <w:richText/>
                            </w:sdtPr>
                            <w:sdtContent>
                              <w:r>
                                <w:rPr>
                                  <w:szCs w:val="24"/>
                                </w:rPr>
                                <w:t>115.1.1</w:t>
                              </w:r>
                            </w:sdtContent>
                          </w:sdt>
                          <w:r>
                            <w:rPr>
                              <w:szCs w:val="24"/>
                            </w:rPr>
                            <w:t>. PSO Modelio techninių duomenų įvesties lenteles (Metodikos 11 priedas);</w:t>
                          </w:r>
                        </w:p>
                      </w:sdtContent>
                    </w:sdt>
                    <w:sdt>
                      <w:sdtPr>
                        <w:alias w:val="115.1.2 p."/>
                        <w:tag w:val="part_fbfe2e7503674615a3ecb3166b708ebd"/>
                        <w:lock w:val="sdtLocked"/>
                        <w:richText/>
                      </w:sdtPr>
                      <w:sdtContent>
                        <w:p>
                          <w:pPr>
                            <w:tabs>
                              <w:tab w:val="left" w:pos="1620"/>
                              <w:tab w:val="left" w:pos="1843"/>
                              <w:tab w:val="left" w:pos="2268"/>
                            </w:tabs>
                            <w:ind w:firstLine="720"/>
                            <w:jc w:val="both"/>
                            <w:rPr>
                              <w:szCs w:val="24"/>
                            </w:rPr>
                          </w:pPr>
                          <w:sdt>
                            <w:sdtPr>
                              <w:alias w:val="Numeris"/>
                              <w:tag w:val="nr_fbfe2e7503674615a3ecb3166b708ebd"/>
                              <w:lock w:val="sdtLocked"/>
                              <w:richText/>
                            </w:sdtPr>
                            <w:sdtContent>
                              <w:r>
                                <w:rPr>
                                  <w:szCs w:val="24"/>
                                </w:rPr>
                                <w:t>115.1.2</w:t>
                              </w:r>
                            </w:sdtContent>
                          </w:sdt>
                          <w:r>
                            <w:rPr>
                              <w:szCs w:val="24"/>
                            </w:rPr>
                            <w:t>. naujų investicijų ir naujų prijungimų duomenis (Metodikos 12 priedas);</w:t>
                          </w:r>
                        </w:p>
                      </w:sdtContent>
                    </w:sdt>
                    <w:sdt>
                      <w:sdtPr>
                        <w:alias w:val="115.1.3 p."/>
                        <w:tag w:val="part_b15e41bd5ef04da4b57420fedc5880a6"/>
                        <w:lock w:val="sdtLocked"/>
                        <w:richText/>
                      </w:sdtPr>
                      <w:sdtContent>
                        <w:p>
                          <w:pPr>
                            <w:tabs>
                              <w:tab w:val="left" w:pos="1620"/>
                              <w:tab w:val="left" w:pos="1843"/>
                              <w:tab w:val="left" w:pos="2268"/>
                            </w:tabs>
                            <w:ind w:firstLine="720"/>
                            <w:jc w:val="both"/>
                            <w:rPr>
                              <w:szCs w:val="24"/>
                            </w:rPr>
                          </w:pPr>
                          <w:sdt>
                            <w:sdtPr>
                              <w:alias w:val="Numeris"/>
                              <w:tag w:val="nr_b15e41bd5ef04da4b57420fedc5880a6"/>
                              <w:lock w:val="sdtLocked"/>
                              <w:richText/>
                            </w:sdtPr>
                            <w:sdtContent>
                              <w:r>
                                <w:rPr>
                                  <w:szCs w:val="24"/>
                                </w:rPr>
                                <w:t>115.1.3</w:t>
                              </w:r>
                            </w:sdtContent>
                          </w:sdt>
                          <w:r>
                            <w:rPr>
                              <w:szCs w:val="24"/>
                            </w:rPr>
                            <w:t>. duomenų suvestinę kainos viršutinei ribai nustatyti (Metodikos 1 priedas);</w:t>
                          </w:r>
                        </w:p>
                      </w:sdtContent>
                    </w:sdt>
                    <w:sdt>
                      <w:sdtPr>
                        <w:alias w:val="115.1.4 p."/>
                        <w:tag w:val="part_b66df574d0ed42ceaa65ea78b6359534"/>
                        <w:lock w:val="sdtLocked"/>
                        <w:richText/>
                      </w:sdtPr>
                      <w:sdtContent>
                        <w:p>
                          <w:pPr>
                            <w:tabs>
                              <w:tab w:val="left" w:pos="1620"/>
                              <w:tab w:val="left" w:pos="1843"/>
                              <w:tab w:val="left" w:pos="2268"/>
                            </w:tabs>
                            <w:ind w:firstLine="720"/>
                            <w:jc w:val="both"/>
                            <w:rPr>
                              <w:szCs w:val="24"/>
                            </w:rPr>
                          </w:pPr>
                          <w:sdt>
                            <w:sdtPr>
                              <w:alias w:val="Numeris"/>
                              <w:tag w:val="nr_b66df574d0ed42ceaa65ea78b6359534"/>
                              <w:lock w:val="sdtLocked"/>
                              <w:richText/>
                            </w:sdtPr>
                            <w:sdtContent>
                              <w:r>
                                <w:rPr>
                                  <w:szCs w:val="24"/>
                                </w:rPr>
                                <w:t>115.1.4</w:t>
                              </w:r>
                            </w:sdtContent>
                          </w:sdt>
                          <w:r>
                            <w:rPr>
                              <w:szCs w:val="24"/>
                            </w:rPr>
                            <w:t>. duomenis perdavimo AĮ tinklais bei tinklo valdymo paslaugos kainos viršutinei ribai nustatyti (Metodikos 5 priedas);</w:t>
                          </w:r>
                        </w:p>
                      </w:sdtContent>
                    </w:sdt>
                    <w:sdt>
                      <w:sdtPr>
                        <w:alias w:val="115.1.5 p."/>
                        <w:tag w:val="part_70135212cd724622bb715fd93c3091e7"/>
                        <w:lock w:val="sdtLocked"/>
                        <w:richText/>
                      </w:sdtPr>
                      <w:sdtContent>
                        <w:p>
                          <w:pPr>
                            <w:tabs>
                              <w:tab w:val="left" w:pos="1620"/>
                              <w:tab w:val="left" w:pos="1843"/>
                              <w:tab w:val="left" w:pos="2268"/>
                            </w:tabs>
                            <w:ind w:firstLine="720"/>
                            <w:jc w:val="both"/>
                            <w:rPr>
                              <w:szCs w:val="24"/>
                            </w:rPr>
                          </w:pPr>
                          <w:sdt>
                            <w:sdtPr>
                              <w:alias w:val="Numeris"/>
                              <w:tag w:val="nr_70135212cd724622bb715fd93c3091e7"/>
                              <w:lock w:val="sdtLocked"/>
                              <w:richText/>
                            </w:sdtPr>
                            <w:sdtContent>
                              <w:r>
                                <w:rPr>
                                  <w:szCs w:val="24"/>
                                </w:rPr>
                                <w:t>115.1.5</w:t>
                              </w:r>
                            </w:sdtContent>
                          </w:sdt>
                          <w:r>
                            <w:rPr>
                              <w:szCs w:val="24"/>
                            </w:rPr>
                            <w:t>. veiklai naudojamo turto vertės skaičiavimo lentelę, atskirai nurodant visų teikiamų paslaugų duomenis (Metodikos 2 priedas);</w:t>
                          </w:r>
                        </w:p>
                      </w:sdtContent>
                    </w:sdt>
                    <w:sdt>
                      <w:sdtPr>
                        <w:alias w:val="115.1.6 p."/>
                        <w:tag w:val="part_43f980be17a54bb994601993c9c6e7f8"/>
                        <w:lock w:val="sdtLocked"/>
                        <w:richText/>
                      </w:sdtPr>
                      <w:sdtContent>
                        <w:p>
                          <w:pPr>
                            <w:tabs>
                              <w:tab w:val="left" w:pos="1620"/>
                              <w:tab w:val="left" w:pos="1843"/>
                              <w:tab w:val="left" w:pos="2268"/>
                            </w:tabs>
                            <w:ind w:firstLine="720"/>
                            <w:jc w:val="both"/>
                            <w:rPr>
                              <w:szCs w:val="24"/>
                            </w:rPr>
                          </w:pPr>
                          <w:sdt>
                            <w:sdtPr>
                              <w:alias w:val="Numeris"/>
                              <w:tag w:val="nr_43f980be17a54bb994601993c9c6e7f8"/>
                              <w:lock w:val="sdtLocked"/>
                              <w:richText/>
                            </w:sdtPr>
                            <w:sdtContent>
                              <w:r>
                                <w:rPr>
                                  <w:szCs w:val="24"/>
                                </w:rPr>
                                <w:t>115.1.6</w:t>
                              </w:r>
                            </w:sdtContent>
                          </w:sdt>
                          <w:r>
                            <w:rPr>
                              <w:szCs w:val="24"/>
                            </w:rPr>
                            <w:t>. ilgalaikės reguliuojamos veiklos programos lentelę (Metodikos 3 priedas);</w:t>
                          </w:r>
                        </w:p>
                      </w:sdtContent>
                    </w:sdt>
                    <w:sdt>
                      <w:sdtPr>
                        <w:alias w:val="115.1.7 p."/>
                        <w:tag w:val="part_b58fe547825947eeaf96cc522bf9da33"/>
                        <w:lock w:val="sdtLocked"/>
                        <w:richText/>
                      </w:sdtPr>
                      <w:sdtContent>
                        <w:p>
                          <w:pPr>
                            <w:tabs>
                              <w:tab w:val="left" w:pos="1620"/>
                              <w:tab w:val="left" w:pos="1843"/>
                              <w:tab w:val="left" w:pos="2268"/>
                            </w:tabs>
                            <w:ind w:firstLine="720"/>
                            <w:jc w:val="both"/>
                            <w:rPr>
                              <w:szCs w:val="24"/>
                            </w:rPr>
                          </w:pPr>
                          <w:sdt>
                            <w:sdtPr>
                              <w:alias w:val="Numeris"/>
                              <w:tag w:val="nr_b58fe547825947eeaf96cc522bf9da33"/>
                              <w:lock w:val="sdtLocked"/>
                              <w:richText/>
                            </w:sdtPr>
                            <w:sdtContent>
                              <w:r>
                                <w:rPr>
                                  <w:szCs w:val="24"/>
                                </w:rPr>
                                <w:t>115.1.7</w:t>
                              </w:r>
                            </w:sdtContent>
                          </w:sdt>
                          <w:r>
                            <w:rPr>
                              <w:szCs w:val="24"/>
                            </w:rPr>
                            <w:t>. valdomo turto priežiūros ir eksploatavimo planą (Metodikos 4 priedas);</w:t>
                          </w:r>
                        </w:p>
                      </w:sdtContent>
                    </w:sdt>
                    <w:sdt>
                      <w:sdtPr>
                        <w:alias w:val="115.1.8 p."/>
                        <w:tag w:val="part_7b6b186262c1430f9bf6680fc591d69f"/>
                        <w:lock w:val="sdtLocked"/>
                        <w:richText/>
                      </w:sdtPr>
                      <w:sdtContent>
                        <w:p>
                          <w:pPr>
                            <w:tabs>
                              <w:tab w:val="left" w:pos="1134"/>
                            </w:tabs>
                            <w:ind w:firstLine="709"/>
                            <w:jc w:val="both"/>
                            <w:rPr>
                              <w:szCs w:val="24"/>
                            </w:rPr>
                          </w:pPr>
                          <w:sdt>
                            <w:sdtPr>
                              <w:alias w:val="Numeris"/>
                              <w:tag w:val="nr_7b6b186262c1430f9bf6680fc591d69f"/>
                              <w:lock w:val="sdtLocked"/>
                              <w:richText/>
                            </w:sdtPr>
                            <w:sdtContent>
                              <w:r>
                                <w:rPr>
                                  <w:szCs w:val="24"/>
                                </w:rPr>
                                <w:t>115.1.8</w:t>
                              </w:r>
                            </w:sdtContent>
                          </w:sdt>
                          <w:r>
                            <w:rPr>
                              <w:szCs w:val="24"/>
                            </w:rPr>
                            <w:t>. aiškinamąjį raštą, kuriame nurodomas detalus pateiktų duomenų pagrindimas ir įrodymai dėl veiklos efektyvumo gautų sutaupymų;</w:t>
                          </w:r>
                          <w:r>
                            <w:t xml:space="preserve"> </w:t>
                          </w:r>
                        </w:p>
                      </w:sdtContent>
                    </w:sdt>
                    <w:sdt>
                      <w:sdtPr>
                        <w:alias w:val="115.1.9 p."/>
                        <w:tag w:val="part_78d0069b13164726a2bb0a2c69440811"/>
                        <w:lock w:val="sdtLocked"/>
                        <w:richText/>
                      </w:sdtPr>
                      <w:sdtContent>
                        <w:p>
                          <w:pPr>
                            <w:tabs>
                              <w:tab w:val="left" w:pos="1620"/>
                              <w:tab w:val="left" w:pos="1843"/>
                              <w:tab w:val="left" w:pos="2268"/>
                            </w:tabs>
                            <w:ind w:firstLine="720"/>
                            <w:jc w:val="both"/>
                            <w:rPr>
                              <w:szCs w:val="24"/>
                            </w:rPr>
                          </w:pPr>
                          <w:sdt>
                            <w:sdtPr>
                              <w:alias w:val="Numeris"/>
                              <w:tag w:val="nr_78d0069b13164726a2bb0a2c69440811"/>
                              <w:lock w:val="sdtLocked"/>
                              <w:richText/>
                            </w:sdtPr>
                            <w:sdtContent>
                              <w:r>
                                <w:rPr>
                                  <w:szCs w:val="24"/>
                                </w:rPr>
                                <w:t>115.1.9</w:t>
                              </w:r>
                            </w:sdtContent>
                          </w:sdt>
                          <w:r>
                            <w:rPr>
                              <w:szCs w:val="24"/>
                            </w:rPr>
                            <w:t>. efektyvumo rodiklius (Metodikos 8 priedas);</w:t>
                          </w:r>
                        </w:p>
                      </w:sdtContent>
                    </w:sdt>
                    <w:sdt>
                      <w:sdtPr>
                        <w:alias w:val="115.1.10 p."/>
                        <w:tag w:val="part_e213aec5d55e4aeea6944b59b607b416"/>
                        <w:lock w:val="sdtLocked"/>
                        <w:richText/>
                      </w:sdtPr>
                      <w:sdtContent>
                        <w:p>
                          <w:pPr>
                            <w:pStyle w:val="PlainText"/>
                            <w:ind w:firstLine="567"/>
                            <w:jc w:val="both"/>
                            <w:rPr>
                              <w:rFonts w:ascii="Times New Roman" w:hAnsi="Times New Roman"/>
                              <w:b/>
                              <w:bCs/>
                              <w:sz w:val="22"/>
                            </w:rPr>
                          </w:pPr>
                          <w:r>
                            <w:rPr>
                              <w:rFonts w:ascii="Times New Roman" w:hAnsi="Times New Roman"/>
                              <w:sz w:val="22"/>
                            </w:rPr>
                            <w:t>115.1.10</w:t>
                          </w:r>
                          <w:r>
                            <w:rPr>
                              <w:rFonts w:ascii="Times New Roman" w:hAnsi="Times New Roman"/>
                              <w:sz w:val="22"/>
                            </w:rPr>
                            <w:t>.</w:t>
                          </w:r>
                          <w:r>
                            <w:rPr>
                              <w:rFonts w:ascii="Times New Roman" w:eastAsia="MS Mincho" w:hAnsi="Times New Roman"/>
                              <w:sz w:val="20"/>
                              <w:i/>
                              <w:iCs/>
                            </w:rPr>
                            <w:t xml:space="preserve"> Neteko galios nuo 2017-09-16</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Content>
                </w:sdt>
                <w:sdt>
                  <w:sdtPr>
                    <w:alias w:val="115.2 p."/>
                    <w:tag w:val="part_8f9d2451a8994638989b74f2b850c557"/>
                    <w:lock w:val="sdtLocked"/>
                    <w:richText/>
                  </w:sdtPr>
                  <w:sdtContent>
                    <w:p>
                      <w:pPr>
                        <w:tabs>
                          <w:tab w:val="left" w:pos="426"/>
                          <w:tab w:val="left" w:pos="1440"/>
                          <w:tab w:val="left" w:pos="1843"/>
                          <w:tab w:val="left" w:pos="2268"/>
                        </w:tabs>
                        <w:ind w:firstLine="720"/>
                        <w:jc w:val="both"/>
                        <w:rPr>
                          <w:szCs w:val="24"/>
                        </w:rPr>
                      </w:pPr>
                      <w:sdt>
                        <w:sdtPr>
                          <w:alias w:val="Numeris"/>
                          <w:tag w:val="nr_8f9d2451a8994638989b74f2b850c557"/>
                          <w:lock w:val="sdtLocked"/>
                          <w:richText/>
                        </w:sdtPr>
                        <w:sdtContent>
                          <w:r>
                            <w:rPr>
                              <w:szCs w:val="24"/>
                            </w:rPr>
                            <w:t>115.2</w:t>
                          </w:r>
                        </w:sdtContent>
                      </w:sdt>
                      <w:r>
                        <w:rPr>
                          <w:szCs w:val="24"/>
                        </w:rPr>
                        <w:t>. STO:</w:t>
                      </w:r>
                    </w:p>
                    <w:sdt>
                      <w:sdtPr>
                        <w:alias w:val="115.2.1 p."/>
                        <w:tag w:val="part_bf5b0278e4ec4a2280e3c652ea3174fb"/>
                        <w:lock w:val="sdtLocked"/>
                        <w:richText/>
                      </w:sdtPr>
                      <w:sdtContent>
                        <w:p>
                          <w:pPr>
                            <w:tabs>
                              <w:tab w:val="left" w:pos="1620"/>
                              <w:tab w:val="left" w:pos="1843"/>
                              <w:tab w:val="left" w:pos="2268"/>
                            </w:tabs>
                            <w:ind w:firstLine="720"/>
                            <w:jc w:val="both"/>
                            <w:rPr>
                              <w:szCs w:val="24"/>
                            </w:rPr>
                          </w:pPr>
                          <w:sdt>
                            <w:sdtPr>
                              <w:alias w:val="Numeris"/>
                              <w:tag w:val="nr_bf5b0278e4ec4a2280e3c652ea3174fb"/>
                              <w:lock w:val="sdtLocked"/>
                              <w:richText/>
                            </w:sdtPr>
                            <w:sdtContent>
                              <w:r>
                                <w:rPr>
                                  <w:szCs w:val="24"/>
                                </w:rPr>
                                <w:t>115.2.1</w:t>
                              </w:r>
                            </w:sdtContent>
                          </w:sdt>
                          <w:r>
                            <w:rPr>
                              <w:szCs w:val="24"/>
                            </w:rPr>
                            <w:t>. STO Modelio techninių duomenų įvesties lenteles (Metodikos 10 priedas);</w:t>
                          </w:r>
                        </w:p>
                      </w:sdtContent>
                    </w:sdt>
                    <w:sdt>
                      <w:sdtPr>
                        <w:alias w:val="115.2.2 p."/>
                        <w:tag w:val="part_c4e5039e95d746bb9a014f2410d939cb"/>
                        <w:lock w:val="sdtLocked"/>
                        <w:richText/>
                      </w:sdtPr>
                      <w:sdtContent>
                        <w:p>
                          <w:pPr>
                            <w:tabs>
                              <w:tab w:val="left" w:pos="1620"/>
                              <w:tab w:val="left" w:pos="1843"/>
                              <w:tab w:val="left" w:pos="2268"/>
                            </w:tabs>
                            <w:ind w:firstLine="720"/>
                            <w:jc w:val="both"/>
                            <w:rPr>
                              <w:szCs w:val="24"/>
                            </w:rPr>
                          </w:pPr>
                          <w:sdt>
                            <w:sdtPr>
                              <w:alias w:val="Numeris"/>
                              <w:tag w:val="nr_c4e5039e95d746bb9a014f2410d939cb"/>
                              <w:lock w:val="sdtLocked"/>
                              <w:richText/>
                            </w:sdtPr>
                            <w:sdtContent>
                              <w:r>
                                <w:rPr>
                                  <w:szCs w:val="24"/>
                                </w:rPr>
                                <w:t>115.2.2</w:t>
                              </w:r>
                            </w:sdtContent>
                          </w:sdt>
                          <w:r>
                            <w:rPr>
                              <w:szCs w:val="24"/>
                            </w:rPr>
                            <w:t>. naujų investicijų ir naujų prijungimų duomenis (Metodikos 12 priedas);</w:t>
                          </w:r>
                        </w:p>
                      </w:sdtContent>
                    </w:sdt>
                    <w:sdt>
                      <w:sdtPr>
                        <w:alias w:val="115.2.3 p."/>
                        <w:tag w:val="part_017c5bc2cebb44659362ba541125a19f"/>
                        <w:lock w:val="sdtLocked"/>
                        <w:richText/>
                      </w:sdtPr>
                      <w:sdtContent>
                        <w:p>
                          <w:pPr>
                            <w:tabs>
                              <w:tab w:val="left" w:pos="1620"/>
                              <w:tab w:val="left" w:pos="1843"/>
                              <w:tab w:val="left" w:pos="2268"/>
                            </w:tabs>
                            <w:ind w:firstLine="720"/>
                            <w:jc w:val="both"/>
                            <w:rPr>
                              <w:szCs w:val="24"/>
                            </w:rPr>
                          </w:pPr>
                          <w:sdt>
                            <w:sdtPr>
                              <w:alias w:val="Numeris"/>
                              <w:tag w:val="nr_017c5bc2cebb44659362ba541125a19f"/>
                              <w:lock w:val="sdtLocked"/>
                              <w:richText/>
                            </w:sdtPr>
                            <w:sdtContent>
                              <w:r>
                                <w:rPr>
                                  <w:szCs w:val="24"/>
                                </w:rPr>
                                <w:t>115.2.3</w:t>
                              </w:r>
                            </w:sdtContent>
                          </w:sdt>
                          <w:r>
                            <w:rPr>
                              <w:szCs w:val="24"/>
                            </w:rPr>
                            <w:t>. duomenų suvestinę kainos viršutinei ribai nustatyti (Metodikos 1 priedas);</w:t>
                          </w:r>
                        </w:p>
                      </w:sdtContent>
                    </w:sdt>
                    <w:sdt>
                      <w:sdtPr>
                        <w:alias w:val="115.2.4 p."/>
                        <w:tag w:val="part_cb9dcdd314fd41b2b1afe7866036d8d7"/>
                        <w:lock w:val="sdtLocked"/>
                        <w:richText/>
                      </w:sdtPr>
                      <w:sdtContent>
                        <w:p>
                          <w:pPr>
                            <w:tabs>
                              <w:tab w:val="left" w:pos="1620"/>
                              <w:tab w:val="left" w:pos="1843"/>
                              <w:tab w:val="left" w:pos="2268"/>
                            </w:tabs>
                            <w:ind w:firstLine="720"/>
                            <w:jc w:val="both"/>
                            <w:rPr>
                              <w:szCs w:val="24"/>
                            </w:rPr>
                          </w:pPr>
                          <w:sdt>
                            <w:sdtPr>
                              <w:alias w:val="Numeris"/>
                              <w:tag w:val="nr_cb9dcdd314fd41b2b1afe7866036d8d7"/>
                              <w:lock w:val="sdtLocked"/>
                              <w:richText/>
                            </w:sdtPr>
                            <w:sdtContent>
                              <w:r>
                                <w:rPr>
                                  <w:szCs w:val="24"/>
                                </w:rPr>
                                <w:t>115.2.4</w:t>
                              </w:r>
                            </w:sdtContent>
                          </w:sdt>
                          <w:r>
                            <w:rPr>
                              <w:szCs w:val="24"/>
                            </w:rPr>
                            <w:t xml:space="preserve">. duomenis skirstymo ŽĮ ir VĮ tinklais viršutinei ribai nustatyti (Metodikos </w:t>
                            <w:br/>
                            <w:t>6 priedas);</w:t>
                          </w:r>
                        </w:p>
                      </w:sdtContent>
                    </w:sdt>
                    <w:sdt>
                      <w:sdtPr>
                        <w:alias w:val="115.2.5 p."/>
                        <w:tag w:val="part_43ca4a1251d94038a6d5fa9afb1f4cb1"/>
                        <w:lock w:val="sdtLocked"/>
                        <w:richText/>
                      </w:sdtPr>
                      <w:sdtContent>
                        <w:p>
                          <w:pPr>
                            <w:tabs>
                              <w:tab w:val="left" w:pos="1620"/>
                              <w:tab w:val="left" w:pos="1843"/>
                              <w:tab w:val="left" w:pos="2268"/>
                            </w:tabs>
                            <w:ind w:firstLine="720"/>
                            <w:jc w:val="both"/>
                            <w:rPr>
                              <w:szCs w:val="24"/>
                            </w:rPr>
                          </w:pPr>
                          <w:sdt>
                            <w:sdtPr>
                              <w:alias w:val="Numeris"/>
                              <w:tag w:val="nr_43ca4a1251d94038a6d5fa9afb1f4cb1"/>
                              <w:lock w:val="sdtLocked"/>
                              <w:richText/>
                            </w:sdtPr>
                            <w:sdtContent>
                              <w:r>
                                <w:rPr>
                                  <w:szCs w:val="24"/>
                                </w:rPr>
                                <w:t>115.2.5</w:t>
                              </w:r>
                            </w:sdtContent>
                          </w:sdt>
                          <w:r>
                            <w:rPr>
                              <w:szCs w:val="24"/>
                            </w:rPr>
                            <w:t>. veiklai naudojamo turto vertės skaičiavimo lentelę, atskirai nurodant visų teikiamų paslaugų duomenis (Metodikos 2 priedas);</w:t>
                          </w:r>
                        </w:p>
                      </w:sdtContent>
                    </w:sdt>
                    <w:sdt>
                      <w:sdtPr>
                        <w:alias w:val="115.2.6 p."/>
                        <w:tag w:val="part_73c0b00113e24595ac4651175612a11b"/>
                        <w:lock w:val="sdtLocked"/>
                        <w:richText/>
                      </w:sdtPr>
                      <w:sdtContent>
                        <w:p>
                          <w:pPr>
                            <w:tabs>
                              <w:tab w:val="left" w:pos="1620"/>
                              <w:tab w:val="left" w:pos="1843"/>
                              <w:tab w:val="left" w:pos="2268"/>
                            </w:tabs>
                            <w:ind w:firstLine="720"/>
                            <w:jc w:val="both"/>
                            <w:rPr>
                              <w:szCs w:val="24"/>
                            </w:rPr>
                          </w:pPr>
                          <w:sdt>
                            <w:sdtPr>
                              <w:alias w:val="Numeris"/>
                              <w:tag w:val="nr_73c0b00113e24595ac4651175612a11b"/>
                              <w:lock w:val="sdtLocked"/>
                              <w:richText/>
                            </w:sdtPr>
                            <w:sdtContent>
                              <w:r>
                                <w:rPr>
                                  <w:szCs w:val="24"/>
                                </w:rPr>
                                <w:t>115.2.6</w:t>
                              </w:r>
                            </w:sdtContent>
                          </w:sdt>
                          <w:r>
                            <w:rPr>
                              <w:szCs w:val="24"/>
                            </w:rPr>
                            <w:t>. ilgalaikės reguliuojamos veiklos programos lentelę (Metodikos 3 priedas);</w:t>
                          </w:r>
                        </w:p>
                      </w:sdtContent>
                    </w:sdt>
                    <w:sdt>
                      <w:sdtPr>
                        <w:alias w:val="115.2.7 p."/>
                        <w:tag w:val="part_8be74bfa1ab040a99cf740dafcefb6b9"/>
                        <w:lock w:val="sdtLocked"/>
                        <w:richText/>
                      </w:sdtPr>
                      <w:sdtContent>
                        <w:p>
                          <w:pPr>
                            <w:tabs>
                              <w:tab w:val="left" w:pos="1620"/>
                              <w:tab w:val="left" w:pos="1843"/>
                              <w:tab w:val="left" w:pos="2268"/>
                            </w:tabs>
                            <w:ind w:firstLine="720"/>
                            <w:jc w:val="both"/>
                            <w:rPr>
                              <w:szCs w:val="24"/>
                            </w:rPr>
                          </w:pPr>
                          <w:sdt>
                            <w:sdtPr>
                              <w:alias w:val="Numeris"/>
                              <w:tag w:val="nr_8be74bfa1ab040a99cf740dafcefb6b9"/>
                              <w:lock w:val="sdtLocked"/>
                              <w:richText/>
                            </w:sdtPr>
                            <w:sdtContent>
                              <w:r>
                                <w:rPr>
                                  <w:szCs w:val="24"/>
                                </w:rPr>
                                <w:t>115.2.7</w:t>
                              </w:r>
                            </w:sdtContent>
                          </w:sdt>
                          <w:r>
                            <w:rPr>
                              <w:szCs w:val="24"/>
                            </w:rPr>
                            <w:t>. valdomo turto priežiūros ir eksploatavimo planą (Metodikos 4 priedas);</w:t>
                          </w:r>
                        </w:p>
                      </w:sdtContent>
                    </w:sdt>
                    <w:sdt>
                      <w:sdtPr>
                        <w:alias w:val="115.2.8 p."/>
                        <w:tag w:val="part_636bf087b7f740f399a58fae0bb6b7d6"/>
                        <w:lock w:val="sdtLocked"/>
                        <w:richText/>
                      </w:sdtPr>
                      <w:sdtContent>
                        <w:p>
                          <w:pPr>
                            <w:tabs>
                              <w:tab w:val="left" w:pos="1134"/>
                            </w:tabs>
                            <w:ind w:firstLine="709"/>
                            <w:jc w:val="both"/>
                            <w:rPr>
                              <w:szCs w:val="24"/>
                            </w:rPr>
                          </w:pPr>
                          <w:sdt>
                            <w:sdtPr>
                              <w:alias w:val="Numeris"/>
                              <w:tag w:val="nr_636bf087b7f740f399a58fae0bb6b7d6"/>
                              <w:lock w:val="sdtLocked"/>
                              <w:richText/>
                            </w:sdtPr>
                            <w:sdtContent>
                              <w:r>
                                <w:rPr>
                                  <w:szCs w:val="24"/>
                                </w:rPr>
                                <w:t>115.2.8</w:t>
                              </w:r>
                            </w:sdtContent>
                          </w:sdt>
                          <w:r>
                            <w:rPr>
                              <w:szCs w:val="24"/>
                            </w:rPr>
                            <w:t>. aiškinamąjį raštą, kuriame nurodomas detalus pateiktų duomenų pagrindimas ir įrodymai dėl veiklos efektyvumo gautų sutaupymų;</w:t>
                          </w:r>
                          <w:r>
                            <w:t xml:space="preserve"> </w:t>
                          </w:r>
                        </w:p>
                      </w:sdtContent>
                    </w:sdt>
                    <w:sdt>
                      <w:sdtPr>
                        <w:alias w:val="115.2.9 p."/>
                        <w:tag w:val="part_49ab48c3048045afbfd702d9b0404721"/>
                        <w:lock w:val="sdtLocked"/>
                        <w:richText/>
                      </w:sdtPr>
                      <w:sdtContent>
                        <w:p>
                          <w:pPr>
                            <w:tabs>
                              <w:tab w:val="left" w:pos="1620"/>
                              <w:tab w:val="left" w:pos="1843"/>
                              <w:tab w:val="left" w:pos="2268"/>
                            </w:tabs>
                            <w:ind w:firstLine="720"/>
                            <w:jc w:val="both"/>
                            <w:rPr>
                              <w:szCs w:val="24"/>
                            </w:rPr>
                          </w:pPr>
                          <w:sdt>
                            <w:sdtPr>
                              <w:alias w:val="Numeris"/>
                              <w:tag w:val="nr_49ab48c3048045afbfd702d9b0404721"/>
                              <w:lock w:val="sdtLocked"/>
                              <w:richText/>
                            </w:sdtPr>
                            <w:sdtContent>
                              <w:r>
                                <w:rPr>
                                  <w:szCs w:val="24"/>
                                </w:rPr>
                                <w:t>115.2.9</w:t>
                              </w:r>
                            </w:sdtContent>
                          </w:sdt>
                          <w:r>
                            <w:rPr>
                              <w:szCs w:val="24"/>
                            </w:rPr>
                            <w:t>. efektyvumo rodiklius (Metodikos 9 priedas);</w:t>
                          </w:r>
                        </w:p>
                      </w:sdtContent>
                    </w:sdt>
                    <w:sdt>
                      <w:sdtPr>
                        <w:alias w:val="115.2.10 p."/>
                        <w:tag w:val="part_5450d29ae6b24ba780769c22d913b8f0"/>
                        <w:lock w:val="sdtLocked"/>
                        <w:richText/>
                      </w:sdtPr>
                      <w:sdtContent>
                        <w:p>
                          <w:pPr>
                            <w:pStyle w:val="PlainText"/>
                            <w:ind w:firstLine="567"/>
                            <w:jc w:val="both"/>
                            <w:rPr>
                              <w:rFonts w:ascii="Times New Roman" w:hAnsi="Times New Roman"/>
                              <w:b/>
                              <w:bCs/>
                              <w:sz w:val="22"/>
                            </w:rPr>
                          </w:pPr>
                          <w:r>
                            <w:rPr>
                              <w:rFonts w:ascii="Times New Roman" w:hAnsi="Times New Roman"/>
                              <w:sz w:val="22"/>
                            </w:rPr>
                            <w:t>115.2.10</w:t>
                          </w:r>
                          <w:r>
                            <w:rPr>
                              <w:rFonts w:ascii="Times New Roman" w:hAnsi="Times New Roman"/>
                              <w:sz w:val="22"/>
                            </w:rPr>
                            <w:t>.</w:t>
                          </w:r>
                          <w:r>
                            <w:rPr>
                              <w:rFonts w:ascii="Times New Roman" w:eastAsia="MS Mincho" w:hAnsi="Times New Roman"/>
                              <w:sz w:val="20"/>
                              <w:i/>
                              <w:iCs/>
                            </w:rPr>
                            <w:t xml:space="preserve"> Neteko galios nuo 2017-09-16</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Content>
                </w:sdt>
                <w:sdt>
                  <w:sdtPr>
                    <w:alias w:val="115.3 p."/>
                    <w:tag w:val="part_d6a9e2adbfe5409799b422e46b0cf09f"/>
                    <w:lock w:val="sdtLocked"/>
                    <w:richText/>
                  </w:sdtPr>
                  <w:sdtContent>
                    <w:p>
                      <w:pPr>
                        <w:tabs>
                          <w:tab w:val="left" w:pos="1440"/>
                          <w:tab w:val="left" w:pos="1843"/>
                          <w:tab w:val="left" w:pos="2268"/>
                        </w:tabs>
                        <w:ind w:firstLine="720"/>
                        <w:jc w:val="both"/>
                        <w:rPr>
                          <w:szCs w:val="24"/>
                        </w:rPr>
                      </w:pPr>
                      <w:sdt>
                        <w:sdtPr>
                          <w:alias w:val="Numeris"/>
                          <w:tag w:val="nr_d6a9e2adbfe5409799b422e46b0cf09f"/>
                          <w:lock w:val="sdtLocked"/>
                          <w:richText/>
                        </w:sdtPr>
                        <w:sdtContent>
                          <w:r>
                            <w:rPr>
                              <w:szCs w:val="24"/>
                            </w:rPr>
                            <w:t>115.3</w:t>
                          </w:r>
                        </w:sdtContent>
                      </w:sdt>
                      <w:r>
                        <w:rPr>
                          <w:szCs w:val="24"/>
                        </w:rPr>
                        <w:t>. Skirstomojo tinklo įmonės, savo teritorijoje turinčios mažiau nei 100 tūkst. vartotojų:</w:t>
                      </w:r>
                    </w:p>
                    <w:sdt>
                      <w:sdtPr>
                        <w:alias w:val="115.3.1 p."/>
                        <w:tag w:val="part_2814a966f3944157896dc27b2f698d31"/>
                        <w:lock w:val="sdtLocked"/>
                        <w:richText/>
                      </w:sdtPr>
                      <w:sdtContent>
                        <w:p>
                          <w:pPr>
                            <w:tabs>
                              <w:tab w:val="left" w:pos="1418"/>
                              <w:tab w:val="left" w:pos="1620"/>
                              <w:tab w:val="left" w:pos="1843"/>
                              <w:tab w:val="left" w:pos="2268"/>
                            </w:tabs>
                            <w:ind w:firstLine="720"/>
                            <w:jc w:val="both"/>
                            <w:rPr>
                              <w:szCs w:val="24"/>
                            </w:rPr>
                          </w:pPr>
                          <w:sdt>
                            <w:sdtPr>
                              <w:alias w:val="Numeris"/>
                              <w:tag w:val="nr_2814a966f3944157896dc27b2f698d31"/>
                              <w:lock w:val="sdtLocked"/>
                              <w:richText/>
                            </w:sdtPr>
                            <w:sdtContent>
                              <w:r>
                                <w:rPr>
                                  <w:szCs w:val="24"/>
                                </w:rPr>
                                <w:t>115.3.1</w:t>
                              </w:r>
                            </w:sdtContent>
                          </w:sdt>
                          <w:r>
                            <w:rPr>
                              <w:szCs w:val="24"/>
                            </w:rPr>
                            <w:t>. duomenų suvestinę kainos viršutinei ribai nustatyti (Metodikos 1 priedas);</w:t>
                          </w:r>
                        </w:p>
                      </w:sdtContent>
                    </w:sdt>
                    <w:sdt>
                      <w:sdtPr>
                        <w:alias w:val="115.3.2 p."/>
                        <w:tag w:val="part_3ccb9f988e794968adf7c19b245f2ea3"/>
                        <w:lock w:val="sdtLocked"/>
                        <w:richText/>
                      </w:sdtPr>
                      <w:sdtContent>
                        <w:p>
                          <w:pPr>
                            <w:tabs>
                              <w:tab w:val="left" w:pos="1418"/>
                              <w:tab w:val="left" w:pos="1620"/>
                              <w:tab w:val="left" w:pos="1843"/>
                              <w:tab w:val="left" w:pos="2268"/>
                            </w:tabs>
                            <w:ind w:firstLine="720"/>
                            <w:jc w:val="both"/>
                            <w:rPr>
                              <w:szCs w:val="24"/>
                            </w:rPr>
                          </w:pPr>
                          <w:sdt>
                            <w:sdtPr>
                              <w:alias w:val="Numeris"/>
                              <w:tag w:val="nr_3ccb9f988e794968adf7c19b245f2ea3"/>
                              <w:lock w:val="sdtLocked"/>
                              <w:richText/>
                            </w:sdtPr>
                            <w:sdtContent>
                              <w:r>
                                <w:rPr>
                                  <w:szCs w:val="24"/>
                                </w:rPr>
                                <w:t>115.3.2</w:t>
                              </w:r>
                            </w:sdtContent>
                          </w:sdt>
                          <w:r>
                            <w:rPr>
                              <w:szCs w:val="24"/>
                            </w:rPr>
                            <w:t>. veiklai naudojamo turto vertės skaičiavimo lentelę, atskirai nurodant visų teikiamų paslaugų duomenis (Metodikos 2 priedas);</w:t>
                          </w:r>
                        </w:p>
                      </w:sdtContent>
                    </w:sdt>
                    <w:sdt>
                      <w:sdtPr>
                        <w:alias w:val="115.3.3 p."/>
                        <w:tag w:val="part_0206f7a565a6407881f7588b6f6a52fc"/>
                        <w:lock w:val="sdtLocked"/>
                        <w:richText/>
                      </w:sdtPr>
                      <w:sdtContent>
                        <w:p>
                          <w:pPr>
                            <w:tabs>
                              <w:tab w:val="left" w:pos="1418"/>
                              <w:tab w:val="left" w:pos="1620"/>
                              <w:tab w:val="left" w:pos="1843"/>
                              <w:tab w:val="left" w:pos="2268"/>
                            </w:tabs>
                            <w:ind w:firstLine="720"/>
                            <w:jc w:val="both"/>
                            <w:rPr>
                              <w:szCs w:val="24"/>
                            </w:rPr>
                          </w:pPr>
                          <w:sdt>
                            <w:sdtPr>
                              <w:alias w:val="Numeris"/>
                              <w:tag w:val="nr_0206f7a565a6407881f7588b6f6a52fc"/>
                              <w:lock w:val="sdtLocked"/>
                              <w:richText/>
                            </w:sdtPr>
                            <w:sdtContent>
                              <w:r>
                                <w:rPr>
                                  <w:szCs w:val="24"/>
                                </w:rPr>
                                <w:t>115.3.3</w:t>
                              </w:r>
                            </w:sdtContent>
                          </w:sdt>
                          <w:r>
                            <w:rPr>
                              <w:szCs w:val="24"/>
                            </w:rPr>
                            <w:t>. ilgalaikės reguliuojamos veiklos programos lentelę (Metodikos 3 priedas);</w:t>
                          </w:r>
                        </w:p>
                      </w:sdtContent>
                    </w:sdt>
                    <w:sdt>
                      <w:sdtPr>
                        <w:alias w:val="115.3.4 p."/>
                        <w:tag w:val="part_194d17ffbda34fbbbf549816137c39ac"/>
                        <w:lock w:val="sdtLocked"/>
                        <w:richText/>
                      </w:sdtPr>
                      <w:sdtContent>
                        <w:p>
                          <w:pPr>
                            <w:tabs>
                              <w:tab w:val="left" w:pos="1418"/>
                              <w:tab w:val="left" w:pos="1620"/>
                              <w:tab w:val="left" w:pos="1843"/>
                              <w:tab w:val="left" w:pos="2268"/>
                            </w:tabs>
                            <w:ind w:firstLine="720"/>
                            <w:jc w:val="both"/>
                            <w:rPr>
                              <w:szCs w:val="24"/>
                            </w:rPr>
                          </w:pPr>
                          <w:sdt>
                            <w:sdtPr>
                              <w:alias w:val="Numeris"/>
                              <w:tag w:val="nr_194d17ffbda34fbbbf549816137c39ac"/>
                              <w:lock w:val="sdtLocked"/>
                              <w:richText/>
                            </w:sdtPr>
                            <w:sdtContent>
                              <w:r>
                                <w:rPr>
                                  <w:szCs w:val="24"/>
                                </w:rPr>
                                <w:t>115.3.4</w:t>
                              </w:r>
                            </w:sdtContent>
                          </w:sdt>
                          <w:r>
                            <w:rPr>
                              <w:szCs w:val="24"/>
                            </w:rPr>
                            <w:t>. valdomo turto priežiūros ir eksploatavimo planus (Metodikos 4 priedas);</w:t>
                          </w:r>
                        </w:p>
                      </w:sdtContent>
                    </w:sdt>
                    <w:sdt>
                      <w:sdtPr>
                        <w:alias w:val="115.3.5 p."/>
                        <w:tag w:val="part_185209feb6de43b4b5b6e6e8e87e6503"/>
                        <w:lock w:val="sdtLocked"/>
                        <w:richText/>
                      </w:sdtPr>
                      <w:sdtContent>
                        <w:p>
                          <w:pPr>
                            <w:tabs>
                              <w:tab w:val="left" w:pos="1134"/>
                            </w:tabs>
                            <w:ind w:firstLine="709"/>
                            <w:jc w:val="both"/>
                          </w:pPr>
                          <w:sdt>
                            <w:sdtPr>
                              <w:alias w:val="Numeris"/>
                              <w:tag w:val="nr_185209feb6de43b4b5b6e6e8e87e6503"/>
                              <w:lock w:val="sdtLocked"/>
                              <w:richText/>
                            </w:sdtPr>
                            <w:sdtContent>
                              <w:r>
                                <w:rPr>
                                  <w:szCs w:val="24"/>
                                </w:rPr>
                                <w:t>115.3.5</w:t>
                              </w:r>
                            </w:sdtContent>
                          </w:sdt>
                          <w:r>
                            <w:rPr>
                              <w:szCs w:val="24"/>
                            </w:rPr>
                            <w:t>. aiškinamąjį raštą, kuriame nurodomas detalus pateiktų duomenų pagrindimas ir įrodymai dėl veiklos efektyvumo gautų sutaupymų;</w:t>
                          </w:r>
                          <w:r>
                            <w:t xml:space="preserve"> </w:t>
                          </w:r>
                        </w:p>
                      </w:sdtContent>
                    </w:sdt>
                  </w:sdtContent>
                </w:sdt>
                <w:sdt>
                  <w:sdtPr>
                    <w:alias w:val="115.4 p."/>
                    <w:tag w:val="part_05ad810295c145f2a4acd80f8c92490f"/>
                    <w:lock w:val="sdtLocked"/>
                    <w:richText/>
                  </w:sdtPr>
                  <w:sdtContent>
                    <w:p>
                      <w:pPr>
                        <w:tabs>
                          <w:tab w:val="left" w:pos="1276"/>
                          <w:tab w:val="left" w:pos="1418"/>
                          <w:tab w:val="left" w:pos="1843"/>
                          <w:tab w:val="left" w:pos="2268"/>
                        </w:tabs>
                        <w:ind w:firstLine="720"/>
                        <w:jc w:val="both"/>
                        <w:rPr>
                          <w:szCs w:val="24"/>
                        </w:rPr>
                      </w:pPr>
                      <w:sdt>
                        <w:sdtPr>
                          <w:alias w:val="Numeris"/>
                          <w:tag w:val="nr_05ad810295c145f2a4acd80f8c92490f"/>
                          <w:lock w:val="sdtLocked"/>
                          <w:richText/>
                        </w:sdtPr>
                        <w:sdtContent>
                          <w:r>
                            <w:rPr>
                              <w:szCs w:val="24"/>
                            </w:rPr>
                            <w:t>115.4</w:t>
                          </w:r>
                        </w:sdtContent>
                      </w:sdt>
                      <w:r>
                        <w:rPr>
                          <w:szCs w:val="24"/>
                        </w:rPr>
                        <w:t>. Visuomeninis tiekėjas:</w:t>
                      </w:r>
                    </w:p>
                    <w:sdt>
                      <w:sdtPr>
                        <w:alias w:val="115.4.1 p."/>
                        <w:tag w:val="part_02091d801de245a4b137d6b0b64d3334"/>
                        <w:lock w:val="sdtLocked"/>
                        <w:richText/>
                      </w:sdtPr>
                      <w:sdtContent>
                        <w:p>
                          <w:pPr>
                            <w:tabs>
                              <w:tab w:val="left" w:pos="1620"/>
                              <w:tab w:val="left" w:pos="1843"/>
                              <w:tab w:val="left" w:pos="2268"/>
                            </w:tabs>
                            <w:ind w:firstLine="720"/>
                            <w:jc w:val="both"/>
                            <w:rPr>
                              <w:szCs w:val="24"/>
                            </w:rPr>
                          </w:pPr>
                          <w:sdt>
                            <w:sdtPr>
                              <w:alias w:val="Numeris"/>
                              <w:tag w:val="nr_02091d801de245a4b137d6b0b64d3334"/>
                              <w:lock w:val="sdtLocked"/>
                              <w:richText/>
                            </w:sdtPr>
                            <w:sdtContent>
                              <w:r>
                                <w:rPr>
                                  <w:szCs w:val="24"/>
                                </w:rPr>
                                <w:t>115.4.1</w:t>
                              </w:r>
                            </w:sdtContent>
                          </w:sdt>
                          <w:r>
                            <w:rPr>
                              <w:szCs w:val="24"/>
                            </w:rPr>
                            <w:t>. duomenų suvestinę kainos viršutinei ribai nustatyti (Metodikos 1 priedas);</w:t>
                          </w:r>
                        </w:p>
                      </w:sdtContent>
                    </w:sdt>
                    <w:sdt>
                      <w:sdtPr>
                        <w:alias w:val="115.4.2 p."/>
                        <w:tag w:val="part_62fdea721cda4ffeb27cd6f70c0e7cdb"/>
                        <w:lock w:val="sdtLocked"/>
                        <w:richText/>
                      </w:sdtPr>
                      <w:sdtContent>
                        <w:p>
                          <w:pPr>
                            <w:tabs>
                              <w:tab w:val="left" w:pos="1620"/>
                              <w:tab w:val="left" w:pos="1843"/>
                              <w:tab w:val="left" w:pos="2268"/>
                            </w:tabs>
                            <w:ind w:firstLine="720"/>
                            <w:jc w:val="both"/>
                            <w:rPr>
                              <w:szCs w:val="24"/>
                            </w:rPr>
                          </w:pPr>
                          <w:sdt>
                            <w:sdtPr>
                              <w:alias w:val="Numeris"/>
                              <w:tag w:val="nr_62fdea721cda4ffeb27cd6f70c0e7cdb"/>
                              <w:lock w:val="sdtLocked"/>
                              <w:richText/>
                            </w:sdtPr>
                            <w:sdtContent>
                              <w:r>
                                <w:rPr>
                                  <w:szCs w:val="24"/>
                                </w:rPr>
                                <w:t>115.4.2</w:t>
                              </w:r>
                            </w:sdtContent>
                          </w:sdt>
                          <w:r>
                            <w:rPr>
                              <w:szCs w:val="24"/>
                            </w:rPr>
                            <w:t>. visuomeninio tiekėjo įsigijimo kainos apskaičiavimą (Metodikos 7 priedas).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115-1 p."/>
                <w:tag w:val="part_9c6b351539dd46f990c68286285d2e09"/>
                <w:lock w:val="sdtLocked"/>
                <w:richText/>
              </w:sdtPr>
              <w:sdtContent>
                <w:p>
                  <w:pPr>
                    <w:ind w:firstLine="720"/>
                    <w:jc w:val="both"/>
                    <w:rPr>
                      <w:szCs w:val="24"/>
                    </w:rPr>
                  </w:pPr>
                  <w:sdt>
                    <w:sdtPr>
                      <w:alias w:val="Numeris"/>
                      <w:tag w:val="nr_9c6b351539dd46f990c68286285d2e09"/>
                      <w:lock w:val="sdtLocked"/>
                      <w:richText/>
                    </w:sdtPr>
                    <w:sdtContent>
                      <w:r>
                        <w:t>115</w:t>
                      </w:r>
                      <w:r>
                        <w:rPr>
                          <w:vertAlign w:val="superscript"/>
                        </w:rPr>
                        <w:t>1</w:t>
                      </w:r>
                    </w:sdtContent>
                  </w:sdt>
                  <w:r>
                    <w:t>.</w:t>
                  </w:r>
                  <w:r>
                    <w:rPr>
                      <w:szCs w:val="24"/>
                    </w:rPr>
                    <w:t xml:space="preserve"> Reguliuojamų paslaugų kainų viršutinėms riboms koreguoti Įmonė iki rugsėjo 1 d. pateikia:</w:t>
                  </w:r>
                </w:p>
                <w:sdt>
                  <w:sdtPr>
                    <w:alias w:val="115-1.1p."/>
                    <w:tag w:val="part_ddf48069206d449282d47ddaeca4bcf4"/>
                    <w:lock w:val="sdtLocked"/>
                    <w:richText/>
                  </w:sdtPr>
                  <w:sdtContent>
                    <w:p>
                      <w:pPr>
                        <w:tabs>
                          <w:tab w:val="left" w:pos="426"/>
                          <w:tab w:val="left" w:pos="1440"/>
                          <w:tab w:val="left" w:pos="1843"/>
                          <w:tab w:val="left" w:pos="2268"/>
                        </w:tabs>
                        <w:ind w:firstLine="720"/>
                        <w:jc w:val="both"/>
                        <w:rPr>
                          <w:szCs w:val="24"/>
                        </w:rPr>
                      </w:pPr>
                      <w:sdt>
                        <w:sdtPr>
                          <w:alias w:val="Numeris"/>
                          <w:tag w:val="nr_ddf48069206d449282d47ddaeca4bcf4"/>
                          <w:lock w:val="sdtLocked"/>
                          <w:richText/>
                        </w:sdtPr>
                        <w:sdtContent>
                          <w:r>
                            <w:rPr>
                              <w:szCs w:val="24"/>
                            </w:rPr>
                            <w:t>115.</w:t>
                          </w:r>
                          <w:r>
                            <w:rPr>
                              <w:szCs w:val="24"/>
                              <w:vertAlign w:val="superscript"/>
                            </w:rPr>
                            <w:t>1</w:t>
                          </w:r>
                          <w:r>
                            <w:rPr>
                              <w:szCs w:val="24"/>
                            </w:rPr>
                            <w:t>1</w:t>
                          </w:r>
                        </w:sdtContent>
                      </w:sdt>
                      <w:r>
                        <w:rPr>
                          <w:szCs w:val="24"/>
                        </w:rPr>
                        <w:t>. PSO:</w:t>
                      </w:r>
                    </w:p>
                    <w:sdt>
                      <w:sdtPr>
                        <w:alias w:val="115-1.1.1 pp."/>
                        <w:tag w:val="part_55ea59bca6fe48f08144e147f77e853d"/>
                        <w:lock w:val="sdtLocked"/>
                        <w:richText/>
                      </w:sdtPr>
                      <w:sdtContent>
                        <w:p>
                          <w:pPr>
                            <w:ind w:firstLine="720"/>
                            <w:jc w:val="both"/>
                            <w:rPr>
                              <w:szCs w:val="24"/>
                            </w:rPr>
                          </w:pPr>
                          <w:sdt>
                            <w:sdtPr>
                              <w:alias w:val="Numeris"/>
                              <w:tag w:val="nr_55ea59bca6fe48f08144e147f77e853d"/>
                              <w:lock w:val="sdtLocked"/>
                              <w:richText/>
                            </w:sdtPr>
                            <w:sdtContent>
                              <w:r>
                                <w:rPr>
                                  <w:szCs w:val="24"/>
                                </w:rPr>
                                <w:t>115</w:t>
                              </w:r>
                              <w:r>
                                <w:rPr>
                                  <w:szCs w:val="24"/>
                                  <w:vertAlign w:val="superscript"/>
                                </w:rPr>
                                <w:t>1</w:t>
                              </w:r>
                              <w:r>
                                <w:rPr>
                                  <w:szCs w:val="24"/>
                                </w:rPr>
                                <w:t>.1.1</w:t>
                              </w:r>
                            </w:sdtContent>
                          </w:sdt>
                          <w:r>
                            <w:rPr>
                              <w:szCs w:val="24"/>
                            </w:rPr>
                            <w:t>. veiklai naudojamo turto vertės skaičiavimo lentelę (Metodikos 2 priedas);</w:t>
                          </w:r>
                        </w:p>
                      </w:sdtContent>
                    </w:sdt>
                    <w:sdt>
                      <w:sdtPr>
                        <w:alias w:val="115-1.1.2 pp."/>
                        <w:tag w:val="part_e8ded0b4cab74d8896f3cee386ccdd86"/>
                        <w:lock w:val="sdtLocked"/>
                        <w:richText/>
                      </w:sdtPr>
                      <w:sdtContent>
                        <w:p>
                          <w:pPr>
                            <w:ind w:firstLine="720"/>
                            <w:jc w:val="both"/>
                            <w:rPr>
                              <w:szCs w:val="24"/>
                            </w:rPr>
                          </w:pPr>
                          <w:sdt>
                            <w:sdtPr>
                              <w:alias w:val="Numeris"/>
                              <w:tag w:val="nr_e8ded0b4cab74d8896f3cee386ccdd86"/>
                              <w:lock w:val="sdtLocked"/>
                              <w:richText/>
                            </w:sdtPr>
                            <w:sdtContent>
                              <w:r>
                                <w:rPr>
                                  <w:szCs w:val="24"/>
                                </w:rPr>
                                <w:t>115</w:t>
                              </w:r>
                              <w:r>
                                <w:rPr>
                                  <w:szCs w:val="24"/>
                                  <w:vertAlign w:val="superscript"/>
                                </w:rPr>
                                <w:t>1</w:t>
                              </w:r>
                              <w:r>
                                <w:rPr>
                                  <w:szCs w:val="24"/>
                                </w:rPr>
                                <w:t>.1.2</w:t>
                              </w:r>
                            </w:sdtContent>
                          </w:sdt>
                          <w:r>
                            <w:rPr>
                              <w:szCs w:val="24"/>
                            </w:rPr>
                            <w:t>. duomenų suvestinę kainos viršutinei ribai koreguoti (Metodikos 13 priedas);</w:t>
                          </w:r>
                        </w:p>
                      </w:sdtContent>
                    </w:sdt>
                    <w:sdt>
                      <w:sdtPr>
                        <w:alias w:val="115-1.1.3 pp."/>
                        <w:tag w:val="part_454418676fba4ed2baf77b13cd01182d"/>
                        <w:lock w:val="sdtLocked"/>
                        <w:richText/>
                      </w:sdtPr>
                      <w:sdtContent>
                        <w:p>
                          <w:pPr>
                            <w:ind w:firstLine="720"/>
                            <w:jc w:val="both"/>
                            <w:rPr>
                              <w:szCs w:val="24"/>
                            </w:rPr>
                          </w:pPr>
                          <w:sdt>
                            <w:sdtPr>
                              <w:alias w:val="Numeris"/>
                              <w:tag w:val="nr_454418676fba4ed2baf77b13cd01182d"/>
                              <w:lock w:val="sdtLocked"/>
                              <w:richText/>
                            </w:sdtPr>
                            <w:sdtContent>
                              <w:r>
                                <w:rPr>
                                  <w:szCs w:val="24"/>
                                </w:rPr>
                                <w:t>115</w:t>
                              </w:r>
                              <w:r>
                                <w:rPr>
                                  <w:szCs w:val="24"/>
                                  <w:vertAlign w:val="superscript"/>
                                </w:rPr>
                                <w:t>1</w:t>
                              </w:r>
                              <w:r>
                                <w:rPr>
                                  <w:szCs w:val="24"/>
                                </w:rPr>
                                <w:t>.1.3</w:t>
                              </w:r>
                            </w:sdtContent>
                          </w:sdt>
                          <w:r>
                            <w:rPr>
                              <w:szCs w:val="24"/>
                            </w:rPr>
                            <w:t>. aiškinamąjį raštą su pateiktų duomenų pagrindimu.</w:t>
                          </w:r>
                        </w:p>
                      </w:sdtContent>
                    </w:sdt>
                    <w:sdt>
                      <w:sdtPr>
                        <w:alias w:val="115-1.2 pp."/>
                        <w:tag w:val="part_81d9e7c5ecb64bf292b8350b76729fa0"/>
                        <w:lock w:val="sdtLocked"/>
                        <w:richText/>
                      </w:sdtPr>
                      <w:sdtContent>
                        <w:p>
                          <w:pPr>
                            <w:tabs>
                              <w:tab w:val="left" w:pos="426"/>
                              <w:tab w:val="left" w:pos="1440"/>
                              <w:tab w:val="left" w:pos="1843"/>
                              <w:tab w:val="left" w:pos="2268"/>
                            </w:tabs>
                            <w:ind w:firstLine="720"/>
                            <w:jc w:val="both"/>
                            <w:rPr>
                              <w:szCs w:val="24"/>
                            </w:rPr>
                          </w:pPr>
                          <w:sdt>
                            <w:sdtPr>
                              <w:alias w:val="Numeris"/>
                              <w:tag w:val="nr_81d9e7c5ecb64bf292b8350b76729fa0"/>
                              <w:lock w:val="sdtLocked"/>
                              <w:richText/>
                            </w:sdtPr>
                            <w:sdtContent>
                              <w:r>
                                <w:rPr>
                                  <w:szCs w:val="24"/>
                                </w:rPr>
                                <w:t>115</w:t>
                              </w:r>
                              <w:r>
                                <w:rPr>
                                  <w:szCs w:val="24"/>
                                  <w:vertAlign w:val="superscript"/>
                                </w:rPr>
                                <w:t>1</w:t>
                              </w:r>
                              <w:r>
                                <w:rPr>
                                  <w:szCs w:val="24"/>
                                </w:rPr>
                                <w:t>.2</w:t>
                              </w:r>
                            </w:sdtContent>
                          </w:sdt>
                          <w:r>
                            <w:rPr>
                              <w:szCs w:val="24"/>
                            </w:rPr>
                            <w:t>. STO:</w:t>
                          </w:r>
                        </w:p>
                        <w:sdt>
                          <w:sdtPr>
                            <w:alias w:val="115-1.2.1 pp."/>
                            <w:tag w:val="part_7a314ba7f4d942d5b0153280f8ea06ef"/>
                            <w:lock w:val="sdtLocked"/>
                            <w:richText/>
                          </w:sdtPr>
                          <w:sdtContent>
                            <w:p>
                              <w:pPr>
                                <w:ind w:firstLine="720"/>
                                <w:jc w:val="both"/>
                                <w:rPr>
                                  <w:szCs w:val="24"/>
                                </w:rPr>
                              </w:pPr>
                              <w:sdt>
                                <w:sdtPr>
                                  <w:alias w:val="Numeris"/>
                                  <w:tag w:val="nr_7a314ba7f4d942d5b0153280f8ea06ef"/>
                                  <w:lock w:val="sdtLocked"/>
                                  <w:richText/>
                                </w:sdtPr>
                                <w:sdtContent>
                                  <w:r>
                                    <w:rPr>
                                      <w:szCs w:val="24"/>
                                    </w:rPr>
                                    <w:t>115</w:t>
                                  </w:r>
                                  <w:r>
                                    <w:rPr>
                                      <w:szCs w:val="24"/>
                                      <w:vertAlign w:val="superscript"/>
                                    </w:rPr>
                                    <w:t>1</w:t>
                                  </w:r>
                                  <w:r>
                                    <w:rPr>
                                      <w:szCs w:val="24"/>
                                    </w:rPr>
                                    <w:t>.2.1</w:t>
                                  </w:r>
                                </w:sdtContent>
                              </w:sdt>
                              <w:r>
                                <w:rPr>
                                  <w:szCs w:val="24"/>
                                </w:rPr>
                                <w:t>. veiklai naudojamo turto vertės skaičiavimo lentelę (Metodikos 2 priedas);</w:t>
                              </w:r>
                            </w:p>
                          </w:sdtContent>
                        </w:sdt>
                        <w:sdt>
                          <w:sdtPr>
                            <w:alias w:val="115-1.2.2 pp."/>
                            <w:tag w:val="part_dc4d7c754d6a4a7396ed418c1ba62541"/>
                            <w:lock w:val="sdtLocked"/>
                            <w:richText/>
                          </w:sdtPr>
                          <w:sdtContent>
                            <w:p>
                              <w:pPr>
                                <w:ind w:firstLine="720"/>
                                <w:jc w:val="both"/>
                                <w:rPr>
                                  <w:szCs w:val="24"/>
                                </w:rPr>
                              </w:pPr>
                              <w:sdt>
                                <w:sdtPr>
                                  <w:alias w:val="Numeris"/>
                                  <w:tag w:val="nr_dc4d7c754d6a4a7396ed418c1ba62541"/>
                                  <w:lock w:val="sdtLocked"/>
                                  <w:richText/>
                                </w:sdtPr>
                                <w:sdtContent>
                                  <w:r>
                                    <w:rPr>
                                      <w:szCs w:val="24"/>
                                    </w:rPr>
                                    <w:t>115</w:t>
                                  </w:r>
                                  <w:r>
                                    <w:rPr>
                                      <w:szCs w:val="24"/>
                                      <w:vertAlign w:val="superscript"/>
                                    </w:rPr>
                                    <w:t>1</w:t>
                                  </w:r>
                                  <w:r>
                                    <w:rPr>
                                      <w:szCs w:val="24"/>
                                    </w:rPr>
                                    <w:t>.2.2</w:t>
                                  </w:r>
                                </w:sdtContent>
                              </w:sdt>
                              <w:r>
                                <w:rPr>
                                  <w:szCs w:val="24"/>
                                </w:rPr>
                                <w:t>. duomenų suvestinę kainos viršutinei ribai koreguoti (Metodikos 13 priedas);</w:t>
                              </w:r>
                            </w:p>
                          </w:sdtContent>
                        </w:sdt>
                        <w:sdt>
                          <w:sdtPr>
                            <w:alias w:val="115-1.2.3 pp."/>
                            <w:tag w:val="part_3071a88a1f74435fbc729e807daf9a0e"/>
                            <w:lock w:val="sdtLocked"/>
                            <w:richText/>
                          </w:sdtPr>
                          <w:sdtContent>
                            <w:p>
                              <w:pPr>
                                <w:ind w:firstLine="720"/>
                                <w:jc w:val="both"/>
                                <w:rPr>
                                  <w:szCs w:val="24"/>
                                </w:rPr>
                              </w:pPr>
                              <w:sdt>
                                <w:sdtPr>
                                  <w:alias w:val="Numeris"/>
                                  <w:tag w:val="nr_3071a88a1f74435fbc729e807daf9a0e"/>
                                  <w:lock w:val="sdtLocked"/>
                                  <w:richText/>
                                </w:sdtPr>
                                <w:sdtContent>
                                  <w:r>
                                    <w:rPr>
                                      <w:szCs w:val="24"/>
                                    </w:rPr>
                                    <w:t>115</w:t>
                                  </w:r>
                                  <w:r>
                                    <w:rPr>
                                      <w:szCs w:val="24"/>
                                      <w:vertAlign w:val="superscript"/>
                                    </w:rPr>
                                    <w:t>1</w:t>
                                  </w:r>
                                  <w:r>
                                    <w:rPr>
                                      <w:szCs w:val="24"/>
                                    </w:rPr>
                                    <w:t>.2.3</w:t>
                                  </w:r>
                                </w:sdtContent>
                              </w:sdt>
                              <w:r>
                                <w:rPr>
                                  <w:szCs w:val="24"/>
                                </w:rPr>
                                <w:t>. aiškinamąjį raštą su pateiktų duomenų pagrindimu.</w:t>
                              </w:r>
                            </w:p>
                          </w:sdtContent>
                        </w:sdt>
                      </w:sdtContent>
                    </w:sdt>
                    <w:sdt>
                      <w:sdtPr>
                        <w:alias w:val="115-1.3 pp."/>
                        <w:tag w:val="part_ad51456ddd344c56989c24c17aa30070"/>
                        <w:lock w:val="sdtLocked"/>
                        <w:richText/>
                      </w:sdtPr>
                      <w:sdtContent>
                        <w:p>
                          <w:pPr>
                            <w:tabs>
                              <w:tab w:val="left" w:pos="426"/>
                              <w:tab w:val="left" w:pos="1440"/>
                              <w:tab w:val="left" w:pos="1843"/>
                              <w:tab w:val="left" w:pos="2268"/>
                            </w:tabs>
                            <w:ind w:firstLine="720"/>
                            <w:jc w:val="both"/>
                            <w:rPr>
                              <w:szCs w:val="24"/>
                            </w:rPr>
                          </w:pPr>
                          <w:sdt>
                            <w:sdtPr>
                              <w:alias w:val="Numeris"/>
                              <w:tag w:val="nr_ad51456ddd344c56989c24c17aa30070"/>
                              <w:lock w:val="sdtLocked"/>
                              <w:richText/>
                            </w:sdtPr>
                            <w:sdtContent>
                              <w:r>
                                <w:rPr>
                                  <w:szCs w:val="24"/>
                                </w:rPr>
                                <w:t>115</w:t>
                              </w:r>
                              <w:r>
                                <w:rPr>
                                  <w:szCs w:val="24"/>
                                  <w:vertAlign w:val="superscript"/>
                                </w:rPr>
                                <w:t>1</w:t>
                              </w:r>
                              <w:r>
                                <w:rPr>
                                  <w:szCs w:val="24"/>
                                </w:rPr>
                                <w:t>.3</w:t>
                              </w:r>
                            </w:sdtContent>
                          </w:sdt>
                          <w:r>
                            <w:rPr>
                              <w:szCs w:val="24"/>
                            </w:rPr>
                            <w:t>. Skirstomojo tinklo įmonės, savo teritorijoje turinčios mažiau nei 100 tūkst. vartotojų:</w:t>
                          </w:r>
                        </w:p>
                        <w:sdt>
                          <w:sdtPr>
                            <w:alias w:val="115-1.3.1 pp."/>
                            <w:tag w:val="part_bcc4122ac24240ba997e3afd889ee102"/>
                            <w:lock w:val="sdtLocked"/>
                            <w:richText/>
                          </w:sdtPr>
                          <w:sdtContent>
                            <w:p>
                              <w:pPr>
                                <w:ind w:firstLine="720"/>
                                <w:jc w:val="both"/>
                                <w:rPr>
                                  <w:szCs w:val="24"/>
                                </w:rPr>
                              </w:pPr>
                              <w:sdt>
                                <w:sdtPr>
                                  <w:alias w:val="Numeris"/>
                                  <w:tag w:val="nr_bcc4122ac24240ba997e3afd889ee102"/>
                                  <w:lock w:val="sdtLocked"/>
                                  <w:richText/>
                                </w:sdtPr>
                                <w:sdtContent>
                                  <w:r>
                                    <w:rPr>
                                      <w:szCs w:val="24"/>
                                    </w:rPr>
                                    <w:t>115</w:t>
                                  </w:r>
                                  <w:r>
                                    <w:rPr>
                                      <w:szCs w:val="24"/>
                                      <w:vertAlign w:val="superscript"/>
                                    </w:rPr>
                                    <w:t>1</w:t>
                                  </w:r>
                                  <w:r>
                                    <w:rPr>
                                      <w:szCs w:val="24"/>
                                    </w:rPr>
                                    <w:t>.3.1</w:t>
                                  </w:r>
                                </w:sdtContent>
                              </w:sdt>
                              <w:r>
                                <w:rPr>
                                  <w:szCs w:val="24"/>
                                </w:rPr>
                                <w:t>. veiklai naudojamo turto vertės skaičiavimo lentelę (Metodikos 2 priedas);</w:t>
                              </w:r>
                            </w:p>
                          </w:sdtContent>
                        </w:sdt>
                        <w:sdt>
                          <w:sdtPr>
                            <w:alias w:val="115-1.3.2 pp."/>
                            <w:tag w:val="part_7d7c6cff1edd42f48163144b2be74842"/>
                            <w:lock w:val="sdtLocked"/>
                            <w:richText/>
                          </w:sdtPr>
                          <w:sdtContent>
                            <w:p>
                              <w:pPr>
                                <w:ind w:firstLine="720"/>
                                <w:jc w:val="both"/>
                                <w:rPr>
                                  <w:szCs w:val="24"/>
                                </w:rPr>
                              </w:pPr>
                              <w:sdt>
                                <w:sdtPr>
                                  <w:alias w:val="Numeris"/>
                                  <w:tag w:val="nr_7d7c6cff1edd42f48163144b2be74842"/>
                                  <w:lock w:val="sdtLocked"/>
                                  <w:richText/>
                                </w:sdtPr>
                                <w:sdtContent>
                                  <w:r>
                                    <w:rPr>
                                      <w:szCs w:val="24"/>
                                    </w:rPr>
                                    <w:t>115</w:t>
                                  </w:r>
                                  <w:r>
                                    <w:rPr>
                                      <w:szCs w:val="24"/>
                                      <w:vertAlign w:val="superscript"/>
                                    </w:rPr>
                                    <w:t>1</w:t>
                                  </w:r>
                                  <w:r>
                                    <w:rPr>
                                      <w:szCs w:val="24"/>
                                    </w:rPr>
                                    <w:t>.3.2</w:t>
                                  </w:r>
                                </w:sdtContent>
                              </w:sdt>
                              <w:r>
                                <w:rPr>
                                  <w:szCs w:val="24"/>
                                </w:rPr>
                                <w:t>. duomenų suvestinę kainos viršutinei ribai koreguoti (Metodikos 13 priedas);</w:t>
                              </w:r>
                            </w:p>
                          </w:sdtContent>
                        </w:sdt>
                        <w:sdt>
                          <w:sdtPr>
                            <w:alias w:val="115-1.3.3 pp."/>
                            <w:tag w:val="part_9702f181874f4e7e80e1e3ec48897c31"/>
                            <w:lock w:val="sdtLocked"/>
                            <w:richText/>
                          </w:sdtPr>
                          <w:sdtContent>
                            <w:p>
                              <w:pPr>
                                <w:tabs>
                                  <w:tab w:val="left" w:pos="1276"/>
                                  <w:tab w:val="left" w:pos="1418"/>
                                  <w:tab w:val="left" w:pos="1843"/>
                                  <w:tab w:val="left" w:pos="2268"/>
                                </w:tabs>
                                <w:ind w:firstLine="720"/>
                                <w:jc w:val="both"/>
                                <w:rPr>
                                  <w:szCs w:val="24"/>
                                </w:rPr>
                              </w:pPr>
                              <w:sdt>
                                <w:sdtPr>
                                  <w:alias w:val="Numeris"/>
                                  <w:tag w:val="nr_9702f181874f4e7e80e1e3ec48897c31"/>
                                  <w:lock w:val="sdtLocked"/>
                                  <w:richText/>
                                </w:sdtPr>
                                <w:sdtContent>
                                  <w:r>
                                    <w:rPr>
                                      <w:szCs w:val="24"/>
                                    </w:rPr>
                                    <w:t>115</w:t>
                                  </w:r>
                                  <w:r>
                                    <w:rPr>
                                      <w:szCs w:val="24"/>
                                      <w:vertAlign w:val="superscript"/>
                                    </w:rPr>
                                    <w:t>1</w:t>
                                  </w:r>
                                  <w:r>
                                    <w:rPr>
                                      <w:szCs w:val="24"/>
                                    </w:rPr>
                                    <w:t>.3.3</w:t>
                                  </w:r>
                                </w:sdtContent>
                              </w:sdt>
                              <w:r>
                                <w:rPr>
                                  <w:szCs w:val="24"/>
                                </w:rPr>
                                <w:t>. aiškinamąjį raštą su pateiktų duomenų pagrindimu.</w:t>
                              </w:r>
                            </w:p>
                          </w:sdtContent>
                        </w:sdt>
                      </w:sdtContent>
                    </w:sdt>
                    <w:sdt>
                      <w:sdtPr>
                        <w:alias w:val="115-1.4 pp."/>
                        <w:tag w:val="part_bcea2dba80aa4019bd6df038292f12d4"/>
                        <w:lock w:val="sdtLocked"/>
                        <w:richText/>
                      </w:sdtPr>
                      <w:sdtContent>
                        <w:p>
                          <w:pPr>
                            <w:tabs>
                              <w:tab w:val="left" w:pos="1276"/>
                              <w:tab w:val="left" w:pos="1418"/>
                              <w:tab w:val="left" w:pos="1843"/>
                              <w:tab w:val="left" w:pos="2268"/>
                            </w:tabs>
                            <w:ind w:firstLine="720"/>
                            <w:jc w:val="both"/>
                            <w:rPr>
                              <w:szCs w:val="24"/>
                            </w:rPr>
                          </w:pPr>
                          <w:sdt>
                            <w:sdtPr>
                              <w:alias w:val="Numeris"/>
                              <w:tag w:val="nr_bcea2dba80aa4019bd6df038292f12d4"/>
                              <w:lock w:val="sdtLocked"/>
                              <w:richText/>
                            </w:sdtPr>
                            <w:sdtContent>
                              <w:r>
                                <w:rPr>
                                  <w:szCs w:val="24"/>
                                </w:rPr>
                                <w:t>115</w:t>
                              </w:r>
                              <w:r>
                                <w:rPr>
                                  <w:szCs w:val="24"/>
                                  <w:vertAlign w:val="superscript"/>
                                </w:rPr>
                                <w:t>1</w:t>
                              </w:r>
                              <w:r>
                                <w:rPr>
                                  <w:szCs w:val="24"/>
                                </w:rPr>
                                <w:t>.4</w:t>
                              </w:r>
                            </w:sdtContent>
                          </w:sdt>
                          <w:r>
                            <w:rPr>
                              <w:szCs w:val="24"/>
                            </w:rPr>
                            <w:t>. Visuomeninis tiekėjas:</w:t>
                          </w:r>
                        </w:p>
                        <w:sdt>
                          <w:sdtPr>
                            <w:alias w:val="115-1.4.1 pp."/>
                            <w:tag w:val="part_f7acc80af4a246c787fc0efb576a2b87"/>
                            <w:lock w:val="sdtLocked"/>
                            <w:richText/>
                          </w:sdtPr>
                          <w:sdtContent>
                            <w:p>
                              <w:pPr>
                                <w:ind w:firstLine="720"/>
                                <w:jc w:val="both"/>
                                <w:rPr>
                                  <w:szCs w:val="24"/>
                                </w:rPr>
                              </w:pPr>
                              <w:sdt>
                                <w:sdtPr>
                                  <w:alias w:val="Numeris"/>
                                  <w:tag w:val="nr_f7acc80af4a246c787fc0efb576a2b87"/>
                                  <w:lock w:val="sdtLocked"/>
                                  <w:richText/>
                                </w:sdtPr>
                                <w:sdtContent>
                                  <w:r>
                                    <w:rPr>
                                      <w:szCs w:val="24"/>
                                    </w:rPr>
                                    <w:t>115</w:t>
                                  </w:r>
                                  <w:r>
                                    <w:rPr>
                                      <w:szCs w:val="24"/>
                                      <w:vertAlign w:val="superscript"/>
                                    </w:rPr>
                                    <w:t>1</w:t>
                                  </w:r>
                                  <w:r>
                                    <w:rPr>
                                      <w:szCs w:val="24"/>
                                    </w:rPr>
                                    <w:t>.4.1</w:t>
                                  </w:r>
                                </w:sdtContent>
                              </w:sdt>
                              <w:r>
                                <w:rPr>
                                  <w:szCs w:val="24"/>
                                </w:rPr>
                                <w:t>. veiklai naudojamo turto vertės skaičiavimo lentelę (Metodikos 2 priedas);</w:t>
                              </w:r>
                            </w:p>
                          </w:sdtContent>
                        </w:sdt>
                        <w:sdt>
                          <w:sdtPr>
                            <w:alias w:val="115-1.4.2 pp."/>
                            <w:tag w:val="part_cdeb1a61a089411f85c5f25ab6dac1a9"/>
                            <w:lock w:val="sdtLocked"/>
                            <w:richText/>
                          </w:sdtPr>
                          <w:sdtContent>
                            <w:p>
                              <w:pPr>
                                <w:ind w:firstLine="720"/>
                                <w:jc w:val="both"/>
                                <w:rPr>
                                  <w:szCs w:val="24"/>
                                </w:rPr>
                              </w:pPr>
                              <w:sdt>
                                <w:sdtPr>
                                  <w:alias w:val="Numeris"/>
                                  <w:tag w:val="nr_cdeb1a61a089411f85c5f25ab6dac1a9"/>
                                  <w:lock w:val="sdtLocked"/>
                                  <w:richText/>
                                </w:sdtPr>
                                <w:sdtContent>
                                  <w:r>
                                    <w:rPr>
                                      <w:szCs w:val="24"/>
                                    </w:rPr>
                                    <w:t>115</w:t>
                                  </w:r>
                                  <w:r>
                                    <w:rPr>
                                      <w:szCs w:val="24"/>
                                      <w:vertAlign w:val="superscript"/>
                                    </w:rPr>
                                    <w:t>1</w:t>
                                  </w:r>
                                  <w:r>
                                    <w:rPr>
                                      <w:szCs w:val="24"/>
                                    </w:rPr>
                                    <w:t>.4.2</w:t>
                                  </w:r>
                                </w:sdtContent>
                              </w:sdt>
                              <w:r>
                                <w:rPr>
                                  <w:szCs w:val="24"/>
                                </w:rPr>
                                <w:t>. visuomeninio tiekėjo įsigijimo kainos apskaičiavimą (Metodikos 7 priedas);</w:t>
                              </w:r>
                            </w:p>
                          </w:sdtContent>
                        </w:sdt>
                        <w:sdt>
                          <w:sdtPr>
                            <w:alias w:val="115-1.4.3 pp."/>
                            <w:tag w:val="part_6ad310f4406649739fa97bb487e0d75b"/>
                            <w:lock w:val="sdtLocked"/>
                            <w:richText/>
                          </w:sdtPr>
                          <w:sdtContent>
                            <w:p>
                              <w:pPr>
                                <w:ind w:firstLine="720"/>
                                <w:jc w:val="both"/>
                                <w:rPr>
                                  <w:szCs w:val="24"/>
                                </w:rPr>
                              </w:pPr>
                              <w:sdt>
                                <w:sdtPr>
                                  <w:alias w:val="Numeris"/>
                                  <w:tag w:val="nr_6ad310f4406649739fa97bb487e0d75b"/>
                                  <w:lock w:val="sdtLocked"/>
                                  <w:richText/>
                                </w:sdtPr>
                                <w:sdtContent>
                                  <w:r>
                                    <w:rPr>
                                      <w:szCs w:val="24"/>
                                    </w:rPr>
                                    <w:t>115</w:t>
                                  </w:r>
                                  <w:r>
                                    <w:rPr>
                                      <w:szCs w:val="24"/>
                                      <w:vertAlign w:val="superscript"/>
                                    </w:rPr>
                                    <w:t>1</w:t>
                                  </w:r>
                                  <w:r>
                                    <w:rPr>
                                      <w:szCs w:val="24"/>
                                    </w:rPr>
                                    <w:t>.4.3</w:t>
                                  </w:r>
                                </w:sdtContent>
                              </w:sdt>
                              <w:r>
                                <w:rPr>
                                  <w:szCs w:val="24"/>
                                </w:rPr>
                                <w:t>. duomenų suvestinę kainos viršutinei ribai koreguoti (Metodikos 13 priedas);</w:t>
                              </w:r>
                            </w:p>
                          </w:sdtContent>
                        </w:sdt>
                        <w:sdt>
                          <w:sdtPr>
                            <w:alias w:val="115-1.4.4 pp."/>
                            <w:tag w:val="part_1b944bbda59a4c14b0bd49e2c95da3ad"/>
                            <w:lock w:val="sdtLocked"/>
                            <w:richText/>
                          </w:sdtPr>
                          <w:sdtContent>
                            <w:p>
                              <w:pPr>
                                <w:ind w:firstLine="720"/>
                                <w:jc w:val="both"/>
                              </w:pPr>
                              <w:sdt>
                                <w:sdtPr>
                                  <w:alias w:val="Numeris"/>
                                  <w:tag w:val="nr_1b944bbda59a4c14b0bd49e2c95da3ad"/>
                                  <w:lock w:val="sdtLocked"/>
                                  <w:richText/>
                                </w:sdtPr>
                                <w:sdtContent>
                                  <w:r>
                                    <w:rPr>
                                      <w:szCs w:val="24"/>
                                    </w:rPr>
                                    <w:t>115</w:t>
                                  </w:r>
                                  <w:r>
                                    <w:rPr>
                                      <w:szCs w:val="24"/>
                                      <w:vertAlign w:val="superscript"/>
                                    </w:rPr>
                                    <w:t>1</w:t>
                                  </w:r>
                                  <w:r>
                                    <w:rPr>
                                      <w:szCs w:val="24"/>
                                    </w:rPr>
                                    <w:t>.4.4</w:t>
                                  </w:r>
                                </w:sdtContent>
                              </w:sdt>
                              <w:r>
                                <w:rPr>
                                  <w:szCs w:val="24"/>
                                </w:rPr>
                                <w:t>. aiškinamąjį raštą su pateiktų duomenų pagrindimu.</w:t>
                              </w:r>
                              <w:r>
                                <w:t xml:space="preserve"> </w:t>
                              </w:r>
                            </w:p>
                            <w:p>
                              <w:pPr>
                                <w:jc w:val="both"/>
                              </w:pPr>
                              <w:r>
                                <w:rPr>
                                  <w:b/>
                                  <w:i/>
                                  <w:sz w:val="20"/>
                                </w:rPr>
                                <w:t>TAR pastaba.</w:t>
                              </w:r>
                              <w:r>
                                <w:rPr>
                                  <w:i/>
                                  <w:sz w:val="20"/>
                                </w:rPr>
                                <w:t xml:space="preserve"> </w:t>
                              </w:r>
                              <w:r>
                                <w:rPr>
                                  <w:sz w:val="20"/>
                                </w:rPr>
                                <w:t>115</w:t>
                              </w:r>
                              <w:r>
                                <w:rPr>
                                  <w:sz w:val="20"/>
                                  <w:vertAlign w:val="superscript"/>
                                </w:rPr>
                                <w:t>1</w:t>
                              </w:r>
                              <w:r>
                                <w:rPr>
                                  <w:i/>
                                  <w:sz w:val="20"/>
                                </w:rPr>
                                <w:t xml:space="preserve"> punkto nuostatose nurodyti Metodikos pakeitimai įmonėms, besiverčiančioms skirstymo ir visuomeninio tiekimo veiklomis, kurių veiklos teritorijoje esančių vartotojų skaičius mažesnis nei 100 tūkstančių, taikomi nustatant arba koreguojant 2019 m. ir vėlesnių metų kainų viršutines ribas.</w:t>
                              </w:r>
                            </w:p>
                          </w:sdtContent>
                        </w:sdt>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sdtContent>
            </w:sdt>
            <w:sdt>
              <w:sdtPr>
                <w:alias w:val="116 p."/>
                <w:tag w:val="part_dddc3fdf9bdd47fe926df57238e6962d"/>
                <w:lock w:val="sdtLocked"/>
                <w:richText/>
              </w:sdtPr>
              <w:sdtContent>
                <w:p>
                  <w:pPr>
                    <w:widowControl w:val="0"/>
                    <w:tabs>
                      <w:tab w:val="left" w:pos="1260"/>
                      <w:tab w:val="left" w:pos="1843"/>
                      <w:tab w:val="left" w:pos="2268"/>
                    </w:tabs>
                    <w:suppressAutoHyphens/>
                    <w:ind w:firstLine="720"/>
                    <w:jc w:val="both"/>
                    <w:textAlignment w:val="center"/>
                    <w:rPr>
                      <w:szCs w:val="24"/>
                    </w:rPr>
                  </w:pPr>
                  <w:sdt>
                    <w:sdtPr>
                      <w:alias w:val="Numeris"/>
                      <w:tag w:val="nr_dddc3fdf9bdd47fe926df57238e6962d"/>
                      <w:lock w:val="sdtLocked"/>
                      <w:richText/>
                    </w:sdtPr>
                    <w:sdtContent>
                      <w:r>
                        <w:rPr>
                          <w:szCs w:val="24"/>
                        </w:rPr>
                        <w:t>116</w:t>
                      </w:r>
                    </w:sdtContent>
                  </w:sdt>
                  <w:r>
                    <w:rPr>
                      <w:szCs w:val="24"/>
                    </w:rPr>
                    <w:t>. Komisija motyvuotu sprendimu gali pratęsti nustatytų kainų viršutinių ribų galiojimo laikotarpį, įskaitant jei Įmonė laiku nepateikia Komisijai visų reikiamų duomenų.</w:t>
                  </w:r>
                </w:p>
              </w:sdtContent>
            </w:sdt>
            <w:sdt>
              <w:sdtPr>
                <w:alias w:val="117 p."/>
                <w:tag w:val="part_1fffb7d43f7345179ed4e8821652ac9f"/>
                <w:lock w:val="sdtLocked"/>
                <w:richText/>
              </w:sdtPr>
              <w:sdtContent>
                <w:p>
                  <w:pPr>
                    <w:widowControl w:val="0"/>
                    <w:tabs>
                      <w:tab w:val="left" w:pos="1260"/>
                      <w:tab w:val="left" w:pos="1843"/>
                      <w:tab w:val="left" w:pos="2268"/>
                    </w:tabs>
                    <w:suppressAutoHyphens/>
                    <w:ind w:firstLine="720"/>
                    <w:jc w:val="both"/>
                    <w:textAlignment w:val="center"/>
                    <w:rPr>
                      <w:szCs w:val="24"/>
                    </w:rPr>
                  </w:pPr>
                  <w:sdt>
                    <w:sdtPr>
                      <w:alias w:val="Numeris"/>
                      <w:tag w:val="nr_1fffb7d43f7345179ed4e8821652ac9f"/>
                      <w:lock w:val="sdtLocked"/>
                      <w:richText/>
                    </w:sdtPr>
                    <w:sdtContent>
                      <w:r>
                        <w:rPr>
                          <w:szCs w:val="24"/>
                        </w:rPr>
                        <w:t>117</w:t>
                      </w:r>
                    </w:sdtContent>
                  </w:sdt>
                  <w:r>
                    <w:rPr>
                      <w:szCs w:val="24"/>
                    </w:rPr>
                    <w:t>. Perdavimo, skirstymo ir visuomeninio tiekimo paslaugų kainų viršutinės ribos privalo būti nustatytos ne vėliau nei nurodyta Elektros energetikos įstatymo 69 straipsnio 5 dalyje.</w:t>
                  </w:r>
                </w:p>
              </w:sdtContent>
            </w:sdt>
            <w:sdt>
              <w:sdtPr>
                <w:alias w:val="118 p."/>
                <w:tag w:val="part_d74ff154c4924a0cae62fa96240d9c74"/>
                <w:lock w:val="sdtLocked"/>
                <w:richText/>
              </w:sdtPr>
              <w:sdtContent>
                <w:p>
                  <w:pPr>
                    <w:tabs>
                      <w:tab w:val="left" w:pos="1260"/>
                      <w:tab w:val="left" w:pos="1843"/>
                      <w:tab w:val="left" w:pos="2268"/>
                    </w:tabs>
                    <w:ind w:firstLine="720"/>
                    <w:jc w:val="both"/>
                    <w:rPr>
                      <w:szCs w:val="24"/>
                    </w:rPr>
                  </w:pPr>
                  <w:sdt>
                    <w:sdtPr>
                      <w:alias w:val="Numeris"/>
                      <w:tag w:val="nr_d74ff154c4924a0cae62fa96240d9c74"/>
                      <w:lock w:val="sdtLocked"/>
                      <w:richText/>
                    </w:sdtPr>
                    <w:sdtContent>
                      <w:r>
                        <w:rPr>
                          <w:szCs w:val="24"/>
                        </w:rPr>
                        <w:t>118</w:t>
                      </w:r>
                    </w:sdtContent>
                  </w:sdt>
                  <w:r>
                    <w:rPr>
                      <w:szCs w:val="24"/>
                    </w:rPr>
                    <w:t>. Konkrečias reguliuojamų paslaugų kainas ir tarifus, neviršijančius Komisijos nustatytų kainų ribų, apskaičiuoja reguliuojamų paslaugų teikėjai. Paslaugos teikėjo nustatytas kainas ir tarifus per 30 kalendorinių dienų nuo paslaugos teikėjo prašymo gavimo dienos skelbia Komisija, prieš tai patikrinusi, ar nustatant kainas ir tarifus nebuvo pažeisti kainų ir tarifų nustatymo reikalavimai, ar nediskriminuojami vartotojai.</w:t>
                  </w:r>
                </w:p>
              </w:sdtContent>
            </w:sdt>
            <w:sdt>
              <w:sdtPr>
                <w:alias w:val="119 p."/>
                <w:tag w:val="part_c272a4e1a22f4baf9cbcccdc3ff7401b"/>
                <w:lock w:val="sdtLocked"/>
                <w:richText/>
              </w:sdtPr>
              <w:sdtContent>
                <w:p>
                  <w:pPr>
                    <w:tabs>
                      <w:tab w:val="left" w:pos="1260"/>
                      <w:tab w:val="left" w:pos="1843"/>
                      <w:tab w:val="left" w:pos="2268"/>
                    </w:tabs>
                    <w:ind w:firstLine="720"/>
                    <w:jc w:val="both"/>
                    <w:rPr>
                      <w:szCs w:val="24"/>
                    </w:rPr>
                  </w:pPr>
                  <w:sdt>
                    <w:sdtPr>
                      <w:alias w:val="Numeris"/>
                      <w:tag w:val="nr_c272a4e1a22f4baf9cbcccdc3ff7401b"/>
                      <w:lock w:val="sdtLocked"/>
                      <w:richText/>
                    </w:sdtPr>
                    <w:sdtContent>
                      <w:r>
                        <w:rPr>
                          <w:szCs w:val="24"/>
                        </w:rPr>
                        <w:t>119</w:t>
                      </w:r>
                    </w:sdtContent>
                  </w:sdt>
                  <w:r>
                    <w:rPr>
                      <w:szCs w:val="24"/>
                    </w:rPr>
                    <w:t xml:space="preserve">. Skirstymo (persiuntimo) paslaugos kainų viršutines ribas diferencijuoja paslaugų teikėjai pagal jų nustatytas ir su Komisija suderintas paslaugų kainų diferencijavimo tvarkas, kurios parengtos atsižvelgiant į Elektros energijos perdavimo, skirstymo, visuomeninio tiekimo paslaugų ir visuomeninių elektros energijos kainų diferencijavimo tvarkos aprašą, patvirtintą Komisijos </w:t>
                    <w:br/>
                    <w:t>2012 m. rugsėjo 19 d. nutarimu Nr. O3-252 „Dėl Elektros energijos perdavimo, skirstymo, visuomeninio tiekimo paslaugų ir visuomeninių elektros energijos kainų diferencijavimo tvarkos aprašo patvirtinimo“.</w:t>
                  </w:r>
                </w:p>
              </w:sdtContent>
            </w:sdt>
            <w:sdt>
              <w:sdtPr>
                <w:alias w:val="120 p."/>
                <w:tag w:val="part_b96fb1c692ab41778b4bc64e9382c649"/>
                <w:lock w:val="sdtLocked"/>
                <w:richText/>
              </w:sdtPr>
              <w:sdtContent>
                <w:p>
                  <w:pPr>
                    <w:tabs>
                      <w:tab w:val="left" w:pos="1260"/>
                      <w:tab w:val="left" w:pos="1843"/>
                      <w:tab w:val="left" w:pos="2268"/>
                    </w:tabs>
                    <w:ind w:firstLine="720"/>
                    <w:jc w:val="both"/>
                    <w:rPr>
                      <w:szCs w:val="24"/>
                    </w:rPr>
                  </w:pPr>
                  <w:sdt>
                    <w:sdtPr>
                      <w:alias w:val="Numeris"/>
                      <w:tag w:val="nr_b96fb1c692ab41778b4bc64e9382c649"/>
                      <w:lock w:val="sdtLocked"/>
                      <w:richText/>
                    </w:sdtPr>
                    <w:sdtContent>
                      <w:r>
                        <w:rPr>
                          <w:szCs w:val="24"/>
                        </w:rPr>
                        <w:t>120</w:t>
                      </w:r>
                    </w:sdtContent>
                  </w:sdt>
                  <w:r>
                    <w:rPr>
                      <w:szCs w:val="24"/>
                    </w:rPr>
                    <w:t xml:space="preserve">. Komisija, nustačiusi, kad paslaugos teikėjo nurodytos paslaugų kainos ir tarifai nustatyti nesilaikant kainų ir tarifų nustatymo reikalavimų arba kad yra diskriminuojami vartotojai, nurodo paslaugų teikėjui klaidas, kurias paslaugų teikėjas turi ištaisyti. Be to, ne vėliau kaip per </w:t>
                    <w:br/>
                    <w:t>10 kalendorinių dienų nuo Komisijos pastabų gavimo Komisijai turi būti pateiktos pataisytos paslaugų kainos ir tarifai. Komisija ne vėliau kaip per 30 kalendorinių dienų nuo pataisytų paslaugų kainų ir tarifų pateikimo juos paskelbia arba, jeigu paslaugų teikėjas per nustatytą terminą neištaiso nurodytų klaidų, paslaugų kainas ir tarifus nustato vienašališkai ir juos paskelbia.</w:t>
                  </w:r>
                </w:p>
              </w:sdtContent>
            </w:sdt>
            <w:sdt>
              <w:sdtPr>
                <w:alias w:val="121 p."/>
                <w:tag w:val="part_9d1fe600ac0a4053bb27d3ff851b7bde"/>
                <w:lock w:val="sdtLocked"/>
                <w:richText/>
              </w:sdtPr>
              <w:sdtContent>
                <w:p>
                  <w:pPr>
                    <w:tabs>
                      <w:tab w:val="left" w:pos="1260"/>
                      <w:tab w:val="left" w:pos="1843"/>
                      <w:tab w:val="left" w:pos="2268"/>
                    </w:tabs>
                    <w:ind w:firstLine="720"/>
                    <w:jc w:val="both"/>
                    <w:rPr>
                      <w:szCs w:val="24"/>
                    </w:rPr>
                  </w:pPr>
                  <w:sdt>
                    <w:sdtPr>
                      <w:alias w:val="Numeris"/>
                      <w:tag w:val="nr_9d1fe600ac0a4053bb27d3ff851b7bde"/>
                      <w:lock w:val="sdtLocked"/>
                      <w:richText/>
                    </w:sdtPr>
                    <w:sdtContent>
                      <w:r>
                        <w:rPr>
                          <w:szCs w:val="24"/>
                        </w:rPr>
                        <w:t>121</w:t>
                      </w:r>
                    </w:sdtContent>
                  </w:sdt>
                  <w:r>
                    <w:rPr>
                      <w:szCs w:val="24"/>
                    </w:rPr>
                    <w:t>. Komisijos pagal šią Metodiką nustatytos konkrečios kainos skelbiamos viešai ir taikomos Energetikos įstatymo 19 straipsnio 3 dalyje nustatyta tvarka.</w:t>
                  </w:r>
                </w:p>
                <w:p>
                  <w:pPr>
                    <w:tabs>
                      <w:tab w:val="left" w:pos="1134"/>
                      <w:tab w:val="left" w:pos="1843"/>
                      <w:tab w:val="left" w:pos="2268"/>
                    </w:tabs>
                    <w:suppressAutoHyphens/>
                    <w:ind w:firstLine="567"/>
                    <w:jc w:val="both"/>
                    <w:textAlignment w:val="center"/>
                    <w:rPr>
                      <w:b/>
                      <w:szCs w:val="24"/>
                    </w:rPr>
                  </w:pPr>
                </w:p>
                <w:p>
                  <w:pPr>
                    <w:tabs>
                      <w:tab w:val="left" w:pos="1134"/>
                      <w:tab w:val="left" w:pos="1843"/>
                      <w:tab w:val="left" w:pos="2268"/>
                    </w:tabs>
                    <w:suppressAutoHyphens/>
                    <w:jc w:val="both"/>
                    <w:textAlignment w:val="center"/>
                    <w:rPr>
                      <w:b/>
                      <w:szCs w:val="24"/>
                    </w:rPr>
                  </w:pPr>
                </w:p>
              </w:sdtContent>
            </w:sdt>
          </w:sdtContent>
        </w:sdt>
        <w:sdt>
          <w:sdtPr>
            <w:alias w:val="skyrius"/>
            <w:tag w:val="part_4837e854daf24200801c2a4778bee4e7"/>
            <w:lock w:val="sdtLocked"/>
            <w:richText/>
          </w:sdtPr>
          <w:sdtContent>
            <w:p>
              <w:pPr>
                <w:tabs>
                  <w:tab w:val="left" w:pos="1134"/>
                  <w:tab w:val="left" w:pos="1843"/>
                  <w:tab w:val="left" w:pos="2268"/>
                </w:tabs>
                <w:suppressAutoHyphens/>
                <w:jc w:val="center"/>
                <w:textAlignment w:val="center"/>
                <w:rPr>
                  <w:b/>
                  <w:szCs w:val="24"/>
                </w:rPr>
              </w:pPr>
              <w:sdt>
                <w:sdtPr>
                  <w:alias w:val="Numeris"/>
                  <w:tag w:val="nr_4837e854daf24200801c2a4778bee4e7"/>
                  <w:lock w:val="sdtLocked"/>
                  <w:richText/>
                </w:sdtPr>
                <w:sdtContent>
                  <w:r>
                    <w:rPr>
                      <w:b/>
                      <w:szCs w:val="24"/>
                    </w:rPr>
                    <w:t>VIII</w:t>
                  </w:r>
                </w:sdtContent>
              </w:sdt>
              <w:r>
                <w:rPr>
                  <w:b/>
                  <w:szCs w:val="24"/>
                </w:rPr>
                <w:t xml:space="preserve"> SKYRIUS</w:t>
              </w:r>
            </w:p>
            <w:p>
              <w:pPr>
                <w:tabs>
                  <w:tab w:val="left" w:pos="1134"/>
                  <w:tab w:val="left" w:pos="1843"/>
                  <w:tab w:val="left" w:pos="2268"/>
                </w:tabs>
                <w:suppressAutoHyphens/>
                <w:jc w:val="center"/>
                <w:textAlignment w:val="center"/>
                <w:rPr>
                  <w:b/>
                  <w:szCs w:val="24"/>
                </w:rPr>
              </w:pPr>
              <w:sdt>
                <w:sdtPr>
                  <w:alias w:val="Pavadinimas"/>
                  <w:tag w:val="title_4837e854daf24200801c2a4778bee4e7"/>
                  <w:lock w:val="sdtLocked"/>
                  <w:richText/>
                </w:sdtPr>
                <w:sdtContent>
                  <w:r>
                    <w:rPr>
                      <w:b/>
                      <w:szCs w:val="24"/>
                    </w:rPr>
                    <w:t>BAIGIAMOSIOS NUOSTATOS</w:t>
                  </w:r>
                </w:sdtContent>
              </w:sdt>
            </w:p>
            <w:p>
              <w:pPr>
                <w:tabs>
                  <w:tab w:val="left" w:pos="1134"/>
                  <w:tab w:val="left" w:pos="1418"/>
                  <w:tab w:val="left" w:pos="1843"/>
                  <w:tab w:val="left" w:pos="2268"/>
                </w:tabs>
                <w:ind w:firstLine="567"/>
                <w:jc w:val="both"/>
                <w:rPr>
                  <w:szCs w:val="24"/>
                </w:rPr>
              </w:pPr>
            </w:p>
            <w:p>
              <w:pPr>
                <w:tabs>
                  <w:tab w:val="left" w:pos="1134"/>
                  <w:tab w:val="left" w:pos="1418"/>
                  <w:tab w:val="left" w:pos="1843"/>
                  <w:tab w:val="left" w:pos="2268"/>
                </w:tabs>
                <w:ind w:firstLine="567"/>
                <w:jc w:val="both"/>
                <w:rPr>
                  <w:szCs w:val="24"/>
                </w:rPr>
              </w:pPr>
            </w:p>
            <w:sdt>
              <w:sdtPr>
                <w:alias w:val="122 p."/>
                <w:tag w:val="part_8eec2d81dded499dae1f25f2f6611b53"/>
                <w:lock w:val="sdtLocked"/>
                <w:richText/>
              </w:sdtPr>
              <w:sdtContent>
                <w:p>
                  <w:pPr>
                    <w:tabs>
                      <w:tab w:val="left" w:pos="1260"/>
                      <w:tab w:val="left" w:pos="1418"/>
                      <w:tab w:val="left" w:pos="1843"/>
                      <w:tab w:val="left" w:pos="2268"/>
                    </w:tabs>
                    <w:ind w:firstLine="720"/>
                    <w:jc w:val="both"/>
                    <w:rPr>
                      <w:szCs w:val="24"/>
                    </w:rPr>
                  </w:pPr>
                  <w:sdt>
                    <w:sdtPr>
                      <w:alias w:val="Numeris"/>
                      <w:tag w:val="nr_8eec2d81dded499dae1f25f2f6611b53"/>
                      <w:lock w:val="sdtLocked"/>
                      <w:richText/>
                    </w:sdtPr>
                    <w:sdtContent>
                      <w:r>
                        <w:rPr>
                          <w:szCs w:val="24"/>
                        </w:rPr>
                        <w:t>122</w:t>
                      </w:r>
                    </w:sdtContent>
                  </w:sdt>
                  <w:r>
                    <w:rPr>
                      <w:szCs w:val="24"/>
                    </w:rPr>
                    <w:t>. Komisija turi teisę iš Įmonių per Komisijos nustatytą protingą terminą gauti visą informaciją ir dokumentus, būtinus Komisijos funkcijoms, susijusioms su elektros energetikos sektoriaus reguliuojamų paslaugų kainų viršutinių ribų nustatymu ir koregavimu pagal šią Metodiką, atlikti.</w:t>
                  </w:r>
                </w:p>
              </w:sdtContent>
            </w:sdt>
            <w:sdt>
              <w:sdtPr>
                <w:alias w:val="123 p."/>
                <w:tag w:val="part_704cd07e428948bdbb7ca200e8443f39"/>
                <w:lock w:val="sdtLocked"/>
                <w:richText/>
              </w:sdtPr>
              <w:sdtContent>
                <w:p>
                  <w:pPr>
                    <w:tabs>
                      <w:tab w:val="left" w:pos="1260"/>
                      <w:tab w:val="left" w:pos="1843"/>
                      <w:tab w:val="left" w:pos="2268"/>
                    </w:tabs>
                    <w:ind w:firstLine="720"/>
                    <w:jc w:val="both"/>
                    <w:rPr>
                      <w:szCs w:val="24"/>
                    </w:rPr>
                  </w:pPr>
                  <w:sdt>
                    <w:sdtPr>
                      <w:alias w:val="Numeris"/>
                      <w:tag w:val="nr_704cd07e428948bdbb7ca200e8443f39"/>
                      <w:lock w:val="sdtLocked"/>
                      <w:richText/>
                    </w:sdtPr>
                    <w:sdtContent>
                      <w:r>
                        <w:rPr>
                          <w:szCs w:val="24"/>
                        </w:rPr>
                        <w:t>123</w:t>
                      </w:r>
                    </w:sdtContent>
                  </w:sdt>
                  <w:r>
                    <w:rPr>
                      <w:szCs w:val="24"/>
                    </w:rPr>
                    <w:t>. Įmonės, pažeidusios Metodikoje nustatytus reikalavimus, atsako teisės aktų nustatyta tvarka ir sąlygomis.</w:t>
                  </w:r>
                </w:p>
              </w:sdtContent>
            </w:sdt>
            <w:sdt>
              <w:sdtPr>
                <w:alias w:val="124 p."/>
                <w:tag w:val="part_0bf77cb5a87e4d1986b868c7eec4c368"/>
                <w:lock w:val="sdtLocked"/>
                <w:richText/>
              </w:sdtPr>
              <w:sdtContent>
                <w:p>
                  <w:pPr>
                    <w:tabs>
                      <w:tab w:val="left" w:pos="1260"/>
                      <w:tab w:val="left" w:pos="1418"/>
                      <w:tab w:val="left" w:pos="1843"/>
                      <w:tab w:val="left" w:pos="2268"/>
                    </w:tabs>
                    <w:ind w:firstLine="720"/>
                    <w:jc w:val="both"/>
                    <w:rPr>
                      <w:szCs w:val="24"/>
                    </w:rPr>
                  </w:pPr>
                  <w:sdt>
                    <w:sdtPr>
                      <w:alias w:val="Numeris"/>
                      <w:tag w:val="nr_0bf77cb5a87e4d1986b868c7eec4c368"/>
                      <w:lock w:val="sdtLocked"/>
                      <w:richText/>
                    </w:sdtPr>
                    <w:sdtContent>
                      <w:r>
                        <w:rPr>
                          <w:szCs w:val="24"/>
                        </w:rPr>
                        <w:t>124</w:t>
                      </w:r>
                    </w:sdtContent>
                  </w:sdt>
                  <w:r>
                    <w:rPr>
                      <w:szCs w:val="24"/>
                    </w:rPr>
                    <w:t>. Komisijos veiksmai ir neveikimas, susiję su Metodikos laikymusi ir įgyvendinimu, gali būti skundžiami Lietuvos Respublikos įstatymų nustatyta tvarka ir sąlygomis.</w:t>
                  </w:r>
                </w:p>
              </w:sdtContent>
            </w:sdt>
          </w:sdtContent>
        </w:sdt>
        <w:sdt>
          <w:sdtPr>
            <w:alias w:val="pabaiga"/>
            <w:tag w:val="part_aaad3fc2700045539258196804ccb5b8"/>
            <w:lock w:val="sdtLocked"/>
            <w:richText/>
          </w:sdtPr>
          <w:sdtContent>
            <w:p>
              <w:pPr>
                <w:tabs>
                  <w:tab w:val="left" w:pos="1134"/>
                  <w:tab w:val="left" w:pos="1418"/>
                  <w:tab w:val="left" w:pos="2835"/>
                </w:tabs>
                <w:jc w:val="center"/>
              </w:pPr>
              <w:r>
                <w:rPr>
                  <w:szCs w:val="24"/>
                </w:rPr>
                <w:t>__________________</w:t>
              </w:r>
            </w:p>
          </w:sdtContent>
        </w:sdt>
        <w:p/>
        <w:p/>
        <w:p/>
        <w:p>
          <w:pPr>
            <w:pStyle w:val="PlainText"/>
            <w:rPr>
              <w:rFonts w:ascii="Times New Roman" w:eastAsia="MS Mincho" w:hAnsi="Times New Roman"/>
              <w:sz w:val="20"/>
              <w:b/>
              <w:iCs/>
            </w:rPr>
          </w:pPr>
          <w:r>
            <w:rPr>
              <w:rFonts w:ascii="Times New Roman" w:eastAsia="MS Mincho" w:hAnsi="Times New Roman"/>
              <w:sz w:val="20"/>
              <w:b/>
              <w:iCs/>
            </w:rPr>
            <w:t>Priedų pakeitimai:</w:t>
          </w:r>
        </w:p>
        <w:p/>
        <w:p>
          <w:pPr>
            <w:pStyle w:val="PlainText"/>
            <w:rPr>
              <w:rFonts w:ascii="Times New Roman" w:eastAsia="MS Mincho" w:hAnsi="Times New Roman"/>
              <w:sz w:val="20"/>
              <w:iCs/>
            </w:rPr>
          </w:pPr>
          <w:r>
            <w:rPr>
              <w:rFonts w:ascii="Times New Roman" w:eastAsia="MS Mincho" w:hAnsi="Times New Roman"/>
              <w:sz w:val="20"/>
              <w:iCs/>
            </w:rPr>
            <w:t>o3-509(priedas10)</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p>
          <w:pPr>
            <w:pStyle w:val="PlainText"/>
            <w:rPr>
              <w:rFonts w:ascii="Times New Roman" w:eastAsia="MS Mincho" w:hAnsi="Times New Roman"/>
              <w:sz w:val="20"/>
              <w:iCs/>
            </w:rPr>
          </w:pPr>
          <w:r>
            <w:rPr>
              <w:rFonts w:ascii="Times New Roman" w:eastAsia="MS Mincho" w:hAnsi="Times New Roman"/>
              <w:sz w:val="20"/>
              <w:iCs/>
            </w:rPr>
            <w:t>o3-509(priedas11)</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p>
          <w:pPr>
            <w:pStyle w:val="PlainText"/>
            <w:rPr>
              <w:rFonts w:ascii="Times New Roman" w:eastAsia="MS Mincho" w:hAnsi="Times New Roman"/>
              <w:sz w:val="20"/>
              <w:iCs/>
            </w:rPr>
          </w:pPr>
          <w:r>
            <w:rPr>
              <w:rFonts w:ascii="Times New Roman" w:eastAsia="MS Mincho" w:hAnsi="Times New Roman"/>
              <w:sz w:val="20"/>
              <w:iCs/>
            </w:rPr>
            <w:t>O3-509(priedas2) pagal pakeitimą O3-402</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734b207e3511e5b7eba10a9b5a9c5f">
            <w:r w:rsidRPr="00532B9F">
              <w:rPr>
                <w:rFonts w:ascii="Times New Roman" w:eastAsia="MS Mincho" w:hAnsi="Times New Roman"/>
                <w:sz w:val="20"/>
                <w:i/>
                <w:iCs/>
                <w:color w:val="0000FF" w:themeColor="hyperlink"/>
                <w:u w:val="single"/>
              </w:rPr>
              <w:t>O3-572</w:t>
            </w:r>
          </w:fldSimple>
          <w:r>
            <w:rPr>
              <w:rFonts w:ascii="Times New Roman" w:eastAsia="MS Mincho" w:hAnsi="Times New Roman"/>
              <w:sz w:val="20"/>
              <w:i/>
              <w:iCs/>
            </w:rPr>
            <w:t>,
2015-10-29,
paskelbta TAR 2015-10-29, i. k. 2015-17067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p>
          <w:pPr>
            <w:pStyle w:val="PlainText"/>
            <w:rPr>
              <w:rFonts w:ascii="Times New Roman" w:eastAsia="MS Mincho" w:hAnsi="Times New Roman"/>
              <w:sz w:val="20"/>
              <w:iCs/>
            </w:rPr>
          </w:pPr>
          <w:r>
            <w:rPr>
              <w:rFonts w:ascii="Times New Roman" w:eastAsia="MS Mincho" w:hAnsi="Times New Roman"/>
              <w:sz w:val="20"/>
              <w:iCs/>
            </w:rPr>
            <w:t>O3-3(priedas7) pagal pakeitimą O3-402</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p>
          <w:pPr>
            <w:pStyle w:val="PlainText"/>
            <w:rPr>
              <w:rFonts w:ascii="Times New Roman" w:eastAsia="MS Mincho" w:hAnsi="Times New Roman"/>
              <w:sz w:val="20"/>
              <w:iCs/>
            </w:rPr>
          </w:pPr>
          <w:r>
            <w:rPr>
              <w:rFonts w:ascii="Times New Roman" w:eastAsia="MS Mincho" w:hAnsi="Times New Roman"/>
              <w:sz w:val="20"/>
              <w:iCs/>
            </w:rPr>
            <w:t>O3-509(priedas 13) pagal pakeitimą O3-402</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Valstybinė kainų ir energetikos kontrolės komisija,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4e4f40b060fc11e589fccd6fa118e11c">
            <w:r w:rsidRPr="00532B9F">
              <w:rPr>
                <w:rFonts w:ascii="Times New Roman" w:eastAsia="MS Mincho" w:hAnsi="Times New Roman"/>
                <w:sz w:val="20"/>
                <w:iCs/>
                <w:color w:val="0000FF" w:themeColor="hyperlink"/>
                <w:u w:val="single"/>
              </w:rPr>
              <w:t>O3-509</w:t>
            </w:r>
          </w:fldSimple>
          <w:r>
            <w:rPr>
              <w:rFonts w:ascii="Times New Roman" w:eastAsia="MS Mincho" w:hAnsi="Times New Roman"/>
              <w:sz w:val="20"/>
              <w:iCs/>
            </w:rPr>
            <w:t>,
2015-09-21,
paskelbta TAR 2015-09-22, i. k. 2015-14070                </w:t>
          </w:r>
        </w:p>
        <w:p>
          <w:pPr>
            <w:jc w:val="both"/>
            <w:rPr>
              <w:rFonts w:ascii="Times New Roman" w:hAnsi="Times New Roman"/>
            </w:rPr>
          </w:pPr>
          <w:r>
            <w:rPr>
              <w:rFonts w:ascii="Times New Roman" w:hAnsi="Times New Roman"/>
              <w:sz w:val="20"/>
            </w:rPr>
            <w:t>Dėl Valstybinės kainų ir energetikos kontrolės komisijos 2015 m. sausio 15 d. nutarimo Nr. O3-3 „Dėl elektros energijos perdavimo, skirstymo ir visuomeninio tiekimo paslaugų bei visuomeninės kainos viršutinės ribos nustatymo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Valstybinė kainų ir energetikos kontrolės komisija,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a9734b207e3511e5b7eba10a9b5a9c5f">
            <w:r w:rsidRPr="00532B9F">
              <w:rPr>
                <w:rFonts w:ascii="Times New Roman" w:eastAsia="MS Mincho" w:hAnsi="Times New Roman"/>
                <w:sz w:val="20"/>
                <w:iCs/>
                <w:color w:val="0000FF" w:themeColor="hyperlink"/>
                <w:u w:val="single"/>
              </w:rPr>
              <w:t>O3-572</w:t>
            </w:r>
          </w:fldSimple>
          <w:r>
            <w:rPr>
              <w:rFonts w:ascii="Times New Roman" w:eastAsia="MS Mincho" w:hAnsi="Times New Roman"/>
              <w:sz w:val="20"/>
              <w:iCs/>
            </w:rPr>
            <w:t>,
2015-10-29,
paskelbta TAR 2015-10-29, i. k. 2015-17067                </w:t>
          </w:r>
        </w:p>
        <w:p>
          <w:pPr>
            <w:jc w:val="both"/>
            <w:rPr>
              <w:rFonts w:ascii="Times New Roman" w:hAnsi="Times New Roman"/>
            </w:rPr>
          </w:pPr>
          <w:r>
            <w:rPr>
              <w:rFonts w:ascii="Times New Roman" w:hAnsi="Times New Roman"/>
              <w:sz w:val="20"/>
            </w:rPr>
            <w:t>Dėl Valstybinės kainų ir energetikos kontrolės komisijos 2015 m. sausio 15 d. nutarimo Nr. O3-3 „Dėl Elektros energijos perdavimo, skirstymo ir visuomeninio tiekimo paslaugų bei visuomeninės kainos viršutinės ribos nustatymo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Valstybinė kainų ir energetikos kontrolės komisija,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669e8da0f28411e5989ee743dd0efbb0">
            <w:r w:rsidRPr="00532B9F">
              <w:rPr>
                <w:rFonts w:ascii="Times New Roman" w:eastAsia="MS Mincho" w:hAnsi="Times New Roman"/>
                <w:sz w:val="20"/>
                <w:iCs/>
                <w:color w:val="0000FF" w:themeColor="hyperlink"/>
                <w:u w:val="single"/>
              </w:rPr>
              <w:t>O3-81</w:t>
            </w:r>
          </w:fldSimple>
          <w:r>
            <w:rPr>
              <w:rFonts w:ascii="Times New Roman" w:eastAsia="MS Mincho" w:hAnsi="Times New Roman"/>
              <w:sz w:val="20"/>
              <w:iCs/>
            </w:rPr>
            <w:t>,
2016-03-25,
paskelbta TAR 2016-03-25, i. k. 2016-06335                </w:t>
          </w:r>
        </w:p>
        <w:p>
          <w:pPr>
            <w:jc w:val="both"/>
            <w:rPr>
              <w:rFonts w:ascii="Times New Roman" w:hAnsi="Times New Roman"/>
            </w:rPr>
          </w:pPr>
          <w:r>
            <w:rPr>
              <w:rFonts w:ascii="Times New Roman" w:hAnsi="Times New Roman"/>
              <w:sz w:val="20"/>
            </w:rPr>
            <w:t>Dėl Valstybinės kainų ir energetikos kontrolės komisijos 2015 m. sausio 15 d. nutarimo Nr. O3-3 „Dėl Elektros energijos perdavimo, skirstymo ir visuomeninio tiekimo paslaugų bei visuomeninės kainos viršutinės ribos nustatymo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Valstybinė kainų ir energetikos kontrolės komisija,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cb164650190e11e68eb0b4a9a30fc97f">
            <w:r w:rsidRPr="00532B9F">
              <w:rPr>
                <w:rFonts w:ascii="Times New Roman" w:eastAsia="MS Mincho" w:hAnsi="Times New Roman"/>
                <w:sz w:val="20"/>
                <w:iCs/>
                <w:color w:val="0000FF" w:themeColor="hyperlink"/>
                <w:u w:val="single"/>
              </w:rPr>
              <w:t>O3-122</w:t>
            </w:r>
          </w:fldSimple>
          <w:r>
            <w:rPr>
              <w:rFonts w:ascii="Times New Roman" w:eastAsia="MS Mincho" w:hAnsi="Times New Roman"/>
              <w:sz w:val="20"/>
              <w:iCs/>
            </w:rPr>
            <w:t>,
2016-05-13,
paskelbta TAR 2016-05-13, i. k. 2016-12616                </w:t>
          </w:r>
        </w:p>
        <w:p>
          <w:pPr>
            <w:jc w:val="both"/>
            <w:rPr>
              <w:rFonts w:ascii="Times New Roman" w:hAnsi="Times New Roman"/>
            </w:rPr>
          </w:pPr>
          <w:r>
            <w:rPr>
              <w:rFonts w:ascii="Times New Roman" w:hAnsi="Times New Roman"/>
              <w:sz w:val="20"/>
            </w:rPr>
            <w:t>Dėl Valstybinės kainų ir energetikos kontrolės komisijos 2015 m. sausio 15 d. nutarimo Nr. O3-3 „Dėl Elektros energijos perdavimo, skirstymo ir visuomeninio tiekimo paslaugų bei visuomeninės kainos viršutinės ribos nustatymo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Valstybinė kainų ir energetikos kontrolės komisija,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71c032f0bd5511e688d0ed775a2e782a">
            <w:r w:rsidRPr="00532B9F">
              <w:rPr>
                <w:rFonts w:ascii="Times New Roman" w:eastAsia="MS Mincho" w:hAnsi="Times New Roman"/>
                <w:sz w:val="20"/>
                <w:iCs/>
                <w:color w:val="0000FF" w:themeColor="hyperlink"/>
                <w:u w:val="single"/>
              </w:rPr>
              <w:t>O3-416</w:t>
            </w:r>
          </w:fldSimple>
          <w:r>
            <w:rPr>
              <w:rFonts w:ascii="Times New Roman" w:eastAsia="MS Mincho" w:hAnsi="Times New Roman"/>
              <w:sz w:val="20"/>
              <w:iCs/>
            </w:rPr>
            <w:t>,
2016-12-08,
paskelbta TAR 2016-12-09, i. k. 2016-28524                </w:t>
          </w:r>
        </w:p>
        <w:p>
          <w:pPr>
            <w:jc w:val="both"/>
            <w:rPr>
              <w:rFonts w:ascii="Times New Roman" w:hAnsi="Times New Roman"/>
            </w:rPr>
          </w:pPr>
          <w:r>
            <w:rPr>
              <w:rFonts w:ascii="Times New Roman" w:hAnsi="Times New Roman"/>
              <w:sz w:val="20"/>
            </w:rPr>
            <w:t>Dėl Valstybinės kainų ir energetikos kontrolės komisijos 2015 m. sausio 15 d. nutarimo Nr. O3-3 „Dėl Elektros energijos perdavimo, skirstymo ir visuomeninio tiekimo paslaugų bei visuomeninės kainos viršutinės ribos nustatymo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Valstybinė kainų ir energetikos kontrolės komisija,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b1107920993611e78871f4322bb82f27">
            <w:r w:rsidRPr="00532B9F">
              <w:rPr>
                <w:rFonts w:ascii="Times New Roman" w:eastAsia="MS Mincho" w:hAnsi="Times New Roman"/>
                <w:sz w:val="20"/>
                <w:iCs/>
                <w:color w:val="0000FF" w:themeColor="hyperlink"/>
                <w:u w:val="single"/>
              </w:rPr>
              <w:t>O3E-402</w:t>
            </w:r>
          </w:fldSimple>
          <w:r>
            <w:rPr>
              <w:rFonts w:ascii="Times New Roman" w:eastAsia="MS Mincho" w:hAnsi="Times New Roman"/>
              <w:sz w:val="20"/>
              <w:iCs/>
            </w:rPr>
            <w:t>,
2017-09-14,
paskelbta TAR 2017-09-15, i. k. 2017-14670                </w:t>
          </w:r>
        </w:p>
        <w:p>
          <w:pPr>
            <w:jc w:val="both"/>
            <w:rPr>
              <w:rFonts w:ascii="Times New Roman" w:hAnsi="Times New Roman"/>
            </w:rPr>
          </w:pPr>
          <w:r>
            <w:rPr>
              <w:rFonts w:ascii="Times New Roman" w:hAnsi="Times New Roman"/>
              <w:sz w:val="20"/>
            </w:rPr>
            <w:t>Dėl Valstybinės kainų ir energetikos kontrolės komisijos 2015 m. sausio 15 d. nutarimo Nr. O3-3 „Dėl Elektros energijos perdavimo, skirstymo ir visuomeninio tiekimo paslaugų bei visuomeninės kainos viršutinės ribos nustatymo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Valstybinė energetikos reguliavimo taryba,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872bc050eb6011e99681cd81dcdca52c">
            <w:r w:rsidRPr="00532B9F">
              <w:rPr>
                <w:rFonts w:ascii="Times New Roman" w:eastAsia="MS Mincho" w:hAnsi="Times New Roman"/>
                <w:sz w:val="20"/>
                <w:iCs/>
                <w:color w:val="0000FF" w:themeColor="hyperlink"/>
                <w:u w:val="single"/>
              </w:rPr>
              <w:t>O3E-548</w:t>
            </w:r>
          </w:fldSimple>
          <w:r>
            <w:rPr>
              <w:rFonts w:ascii="Times New Roman" w:eastAsia="MS Mincho" w:hAnsi="Times New Roman"/>
              <w:sz w:val="20"/>
              <w:iCs/>
            </w:rPr>
            <w:t>,
2019-10-10,
paskelbta TAR 2019-10-10, i. k. 2019-16169                </w:t>
          </w:r>
        </w:p>
        <w:p>
          <w:pPr>
            <w:jc w:val="both"/>
            <w:rPr>
              <w:rFonts w:ascii="Times New Roman" w:hAnsi="Times New Roman"/>
            </w:rPr>
          </w:pPr>
          <w:r>
            <w:rPr>
              <w:rFonts w:ascii="Times New Roman" w:hAnsi="Times New Roman"/>
              <w:sz w:val="20"/>
            </w:rPr>
            <w:t>Dėl Valstybinės kainų ir energetikos kontrolės komisijos 2015 m. sausio 15 d. nutarimo Nr. O3-3 „Dėl Elektros energijos perdavimo, skirstymo ir visuomeninio tiekimo paslaugų bei visuomeninės kainos viršutinės ribos nustatymo metodikos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pgMar w:top="1134" w:right="567" w:bottom="1134" w:left="1701" w:header="720" w:footer="720" w:gutter="0"/>
      <w:pgNumType w:start="1"/>
      <w:cols w:space="720"/>
      <w:noEndnote/>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szCs w:val="24"/>
          <w:lang w:val="en-GB"/>
        </w:rPr>
      </w:pPr>
      <w:r>
        <w:rPr>
          <w:szCs w:val="24"/>
          <w:lang w:val="en-GB"/>
        </w:rPr>
        <w:separator/>
      </w:r>
    </w:p>
  </w:endnote>
  <w:endnote w:type="continuationSeparator" w:id="0">
    <w:p>
      <w:pPr>
        <w:rPr>
          <w:szCs w:val="24"/>
          <w:lang w:val="en-GB"/>
        </w:rPr>
      </w:pPr>
      <w:r>
        <w:rPr>
          <w:szCs w:val="24"/>
          <w:lang w:val="en-GB"/>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Math">
    <w:panose1 w:val="02040503050406030204"/>
    <w:charset w:val="BA"/>
    <w:family w:val="roman"/>
    <w:pitch w:val="variable"/>
    <w:sig w:usb0="E00002FF" w:usb1="420024FF" w:usb2="00000000" w:usb3="00000000" w:csb0="0000019F" w:csb1="00000000"/>
  </w:font>
  <w:font w:name="Symbol">
    <w:panose1 w:val="05050102010706020507"/>
    <w:charset w:val="02"/>
    <w:family w:val="roman"/>
    <w:pitch w:val="variable"/>
    <w:sig w:usb0="00000000" w:usb1="10000000" w:usb2="00000000" w:usb3="00000000" w:csb0="80000000" w:csb1="00000000"/>
  </w:font>
  <w:font w:name="SimSun">
    <w:altName w:val="宋体"/>
    <w:panose1 w:val="02010600030101010101"/>
    <w:charset w:val="86"/>
    <w:family w:val="auto"/>
    <w:pitch w:val="variable"/>
    <w:sig w:usb0="00000003" w:usb1="288F0000" w:usb2="00000016" w:usb3="00000000" w:csb0="00040001"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lang w:val="en-GB"/>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lang w:val="en-GB"/>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lang w:val="en-GB"/>
      </w:rPr>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lang w:val="en-GB"/>
      </w:rPr>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lang w:val="en-GB"/>
      </w:rPr>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lang w:val="en-GB"/>
      </w:rPr>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lang w:val="en-GB"/>
      </w:rPr>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lang w:val="en-GB"/>
      </w:rPr>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lang w:val="en-GB"/>
      </w:rPr>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lang w:val="en-GB"/>
      </w:rPr>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lang w:val="en-GB"/>
      </w:rPr>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lang w:val="en-GB"/>
      </w:rPr>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lang w:val="en-GB"/>
      </w:rPr>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lang w:val="en-GB"/>
      </w:rPr>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lang w:val="en-GB"/>
      </w:rPr>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lang w:val="en-GB"/>
      </w:rPr>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lang w:val="en-GB"/>
      </w:rPr>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lang w:val="en-GB"/>
      </w:rPr>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lang w:val="en-GB"/>
      </w:rPr>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lang w:val="en-GB"/>
      </w:rPr>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lang w:val="en-GB"/>
      </w:rPr>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lang w:val="en-GB"/>
      </w:rPr>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lang w:val="en-GB"/>
      </w:rPr>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lang w:val="en-GB"/>
      </w:rPr>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lang w:val="en-GB"/>
      </w:rPr>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lang w:val="en-GB"/>
      </w:rPr>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lang w:val="en-GB"/>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lang w:val="en-GB"/>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lang w:val="en-GB"/>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lang w:val="en-GB"/>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lang w:val="en-GB"/>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lang w:val="en-GB"/>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lang w:val="en-GB"/>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szCs w:val="24"/>
          <w:lang w:val="en-GB"/>
        </w:rPr>
      </w:pPr>
      <w:r>
        <w:rPr>
          <w:szCs w:val="24"/>
          <w:lang w:val="en-GB"/>
        </w:rPr>
        <w:separator/>
      </w:r>
    </w:p>
  </w:footnote>
  <w:footnote w:type="continuationSeparator" w:id="0">
    <w:p>
      <w:pPr>
        <w:rPr>
          <w:szCs w:val="24"/>
          <w:lang w:val="en-GB"/>
        </w:rPr>
      </w:pPr>
      <w:r>
        <w:rPr>
          <w:szCs w:val="24"/>
          <w:lang w:val="en-GB"/>
        </w:rPr>
        <w:continuationSeparator/>
      </w:r>
    </w:p>
  </w:footnote>
</w:footnotes>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end"/>
    </w:r>
  </w:p>
  <w:p>
    <w:pPr>
      <w:tabs>
        <w:tab w:val="center" w:pos="4819"/>
        <w:tab w:val="right" w:pos="9638"/>
      </w:tabs>
      <w:rPr>
        <w:szCs w:val="24"/>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separate"/>
    </w:r>
    <w:r>
      <w:rPr>
        <w:szCs w:val="24"/>
        <w:lang w:val="en-GB"/>
      </w:rPr>
      <w:t>19</w:t>
    </w:r>
    <w:r>
      <w:rPr>
        <w:szCs w:val="24"/>
        <w:lang w:val="en-GB"/>
      </w:rPr>
      <w:fldChar w:fldCharType="end"/>
    </w:r>
  </w:p>
  <w:p>
    <w:pPr>
      <w:tabs>
        <w:tab w:val="center" w:pos="4819"/>
        <w:tab w:val="right" w:pos="9638"/>
      </w:tabs>
      <w:rPr>
        <w:szCs w:val="24"/>
        <w:lang w:val="en-G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end"/>
    </w:r>
  </w:p>
  <w:p>
    <w:pPr>
      <w:tabs>
        <w:tab w:val="center" w:pos="4819"/>
        <w:tab w:val="right" w:pos="9638"/>
      </w:tabs>
      <w:rPr>
        <w:szCs w:val="24"/>
        <w:lang w:val="en-GB"/>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separate"/>
    </w:r>
    <w:r>
      <w:rPr>
        <w:szCs w:val="24"/>
        <w:lang w:val="en-GB"/>
      </w:rPr>
      <w:t>23</w:t>
    </w:r>
    <w:r>
      <w:rPr>
        <w:szCs w:val="24"/>
        <w:lang w:val="en-GB"/>
      </w:rPr>
      <w:fldChar w:fldCharType="end"/>
    </w:r>
  </w:p>
  <w:p>
    <w:pPr>
      <w:tabs>
        <w:tab w:val="center" w:pos="4819"/>
        <w:tab w:val="right" w:pos="9638"/>
      </w:tabs>
      <w:rPr>
        <w:szCs w:val="24"/>
        <w:lang w:val="en-GB"/>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end"/>
    </w:r>
  </w:p>
  <w:p>
    <w:pPr>
      <w:tabs>
        <w:tab w:val="center" w:pos="4819"/>
        <w:tab w:val="right" w:pos="9638"/>
      </w:tabs>
      <w:rPr>
        <w:szCs w:val="24"/>
        <w:lang w:val="en-GB"/>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separate"/>
    </w:r>
    <w:r>
      <w:rPr>
        <w:szCs w:val="24"/>
        <w:lang w:val="en-GB"/>
      </w:rPr>
      <w:t>22</w:t>
    </w:r>
    <w:r>
      <w:rPr>
        <w:szCs w:val="24"/>
        <w:lang w:val="en-GB"/>
      </w:rPr>
      <w:fldChar w:fldCharType="end"/>
    </w:r>
  </w:p>
  <w:p>
    <w:pPr>
      <w:tabs>
        <w:tab w:val="center" w:pos="4819"/>
        <w:tab w:val="right" w:pos="9638"/>
      </w:tabs>
      <w:rPr>
        <w:szCs w:val="24"/>
        <w:lang w:val="en-GB"/>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end"/>
    </w:r>
  </w:p>
  <w:p>
    <w:pPr>
      <w:tabs>
        <w:tab w:val="center" w:pos="4819"/>
        <w:tab w:val="right" w:pos="9638"/>
      </w:tabs>
      <w:rPr>
        <w:szCs w:val="24"/>
        <w:lang w:val="en-GB"/>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separate"/>
    </w:r>
    <w:r>
      <w:rPr>
        <w:szCs w:val="24"/>
        <w:lang w:val="en-GB"/>
      </w:rPr>
      <w:t>10</w:t>
    </w:r>
    <w:r>
      <w:rPr>
        <w:szCs w:val="24"/>
        <w:lang w:val="en-GB"/>
      </w:rPr>
      <w:fldChar w:fldCharType="end"/>
    </w:r>
  </w:p>
  <w:p>
    <w:pPr>
      <w:tabs>
        <w:tab w:val="center" w:pos="4819"/>
        <w:tab w:val="right" w:pos="9638"/>
      </w:tabs>
      <w:rPr>
        <w:szCs w:val="24"/>
        <w:lang w:val="en-GB"/>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end"/>
    </w:r>
  </w:p>
  <w:p>
    <w:pPr>
      <w:tabs>
        <w:tab w:val="center" w:pos="4819"/>
        <w:tab w:val="right" w:pos="9638"/>
      </w:tabs>
      <w:rPr>
        <w:szCs w:val="24"/>
        <w:lang w:val="en-GB"/>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separate"/>
    </w:r>
    <w:r>
      <w:rPr>
        <w:szCs w:val="24"/>
        <w:lang w:val="en-GB"/>
      </w:rPr>
      <w:t>34</w:t>
    </w:r>
    <w:r>
      <w:rPr>
        <w:szCs w:val="24"/>
        <w:lang w:val="en-GB"/>
      </w:rPr>
      <w:fldChar w:fldCharType="end"/>
    </w:r>
  </w:p>
  <w:p>
    <w:pPr>
      <w:tabs>
        <w:tab w:val="center" w:pos="4819"/>
        <w:tab w:val="right" w:pos="9638"/>
      </w:tabs>
      <w:rPr>
        <w:szCs w:val="24"/>
        <w:lang w:val="en-GB"/>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end"/>
    </w:r>
  </w:p>
  <w:p>
    <w:pPr>
      <w:tabs>
        <w:tab w:val="center" w:pos="4819"/>
        <w:tab w:val="right" w:pos="9638"/>
      </w:tabs>
      <w:rPr>
        <w:szCs w:val="24"/>
        <w:lang w:val="en-GB"/>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separate"/>
    </w:r>
    <w:r>
      <w:rPr>
        <w:szCs w:val="24"/>
        <w:lang w:val="en-GB"/>
      </w:rPr>
      <w:t>16</w:t>
    </w:r>
    <w:r>
      <w:rPr>
        <w:szCs w:val="24"/>
        <w:lang w:val="en-GB"/>
      </w:rPr>
      <w:fldChar w:fldCharType="end"/>
    </w:r>
  </w:p>
  <w:p>
    <w:pPr>
      <w:tabs>
        <w:tab w:val="center" w:pos="4819"/>
        <w:tab w:val="right" w:pos="9638"/>
      </w:tabs>
      <w:rPr>
        <w:szCs w:val="24"/>
        <w:lang w:val="en-GB"/>
      </w:rPr>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end"/>
    </w:r>
  </w:p>
  <w:p>
    <w:pPr>
      <w:tabs>
        <w:tab w:val="center" w:pos="4819"/>
        <w:tab w:val="right" w:pos="9638"/>
      </w:tabs>
      <w:rPr>
        <w:szCs w:val="24"/>
        <w:lang w:val="en-GB"/>
      </w:rPr>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separate"/>
    </w:r>
    <w:r>
      <w:rPr>
        <w:szCs w:val="24"/>
        <w:lang w:val="en-GB"/>
      </w:rPr>
      <w:t>48</w:t>
    </w:r>
    <w:r>
      <w:rPr>
        <w:szCs w:val="24"/>
        <w:lang w:val="en-GB"/>
      </w:rPr>
      <w:fldChar w:fldCharType="end"/>
    </w:r>
  </w:p>
  <w:p>
    <w:pPr>
      <w:tabs>
        <w:tab w:val="center" w:pos="4819"/>
        <w:tab w:val="right" w:pos="9638"/>
      </w:tabs>
      <w:rPr>
        <w:szCs w:val="24"/>
        <w:lang w:val="en-GB"/>
      </w:rPr>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end"/>
    </w:r>
  </w:p>
  <w:p>
    <w:pPr>
      <w:tabs>
        <w:tab w:val="center" w:pos="4819"/>
        <w:tab w:val="right" w:pos="9638"/>
      </w:tabs>
      <w:rPr>
        <w:szCs w:val="24"/>
        <w:lang w:val="en-GB"/>
      </w:rPr>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separate"/>
    </w:r>
    <w:r>
      <w:rPr>
        <w:szCs w:val="24"/>
        <w:lang w:val="en-GB"/>
      </w:rPr>
      <w:t>36</w:t>
    </w:r>
    <w:r>
      <w:rPr>
        <w:szCs w:val="24"/>
        <w:lang w:val="en-GB"/>
      </w:rPr>
      <w:fldChar w:fldCharType="end"/>
    </w:r>
  </w:p>
  <w:p>
    <w:pPr>
      <w:tabs>
        <w:tab w:val="center" w:pos="4819"/>
        <w:tab w:val="right" w:pos="9638"/>
      </w:tabs>
      <w:rPr>
        <w:szCs w:val="24"/>
        <w:lang w:val="en-GB"/>
      </w:rPr>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end"/>
    </w:r>
  </w:p>
  <w:p>
    <w:pPr>
      <w:tabs>
        <w:tab w:val="center" w:pos="4819"/>
        <w:tab w:val="right" w:pos="9638"/>
      </w:tabs>
      <w:rPr>
        <w:szCs w:val="24"/>
        <w:lang w:val="en-GB"/>
      </w:rPr>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separate"/>
    </w:r>
    <w:r>
      <w:rPr>
        <w:szCs w:val="24"/>
        <w:lang w:val="en-GB"/>
      </w:rPr>
      <w:t>49</w:t>
    </w:r>
    <w:r>
      <w:rPr>
        <w:szCs w:val="24"/>
        <w:lang w:val="en-GB"/>
      </w:rPr>
      <w:fldChar w:fldCharType="end"/>
    </w:r>
  </w:p>
  <w:p>
    <w:pPr>
      <w:tabs>
        <w:tab w:val="center" w:pos="4819"/>
        <w:tab w:val="right" w:pos="9638"/>
      </w:tabs>
      <w:rPr>
        <w:szCs w:val="24"/>
        <w:lang w:val="en-GB"/>
      </w:rPr>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end"/>
    </w:r>
  </w:p>
  <w:p>
    <w:pPr>
      <w:tabs>
        <w:tab w:val="center" w:pos="4819"/>
        <w:tab w:val="right" w:pos="9638"/>
      </w:tabs>
      <w:rPr>
        <w:szCs w:val="24"/>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separate"/>
    </w:r>
    <w:r>
      <w:rPr>
        <w:szCs w:val="24"/>
        <w:lang w:val="en-GB"/>
      </w:rPr>
      <w:t>14</w:t>
    </w:r>
    <w:r>
      <w:rPr>
        <w:szCs w:val="24"/>
        <w:lang w:val="en-GB"/>
      </w:rPr>
      <w:fldChar w:fldCharType="end"/>
    </w:r>
  </w:p>
  <w:p>
    <w:pPr>
      <w:tabs>
        <w:tab w:val="center" w:pos="4819"/>
        <w:tab w:val="right" w:pos="9638"/>
      </w:tabs>
      <w:rPr>
        <w:szCs w:val="24"/>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end"/>
    </w:r>
  </w:p>
  <w:p>
    <w:pPr>
      <w:tabs>
        <w:tab w:val="center" w:pos="4819"/>
        <w:tab w:val="right" w:pos="9638"/>
      </w:tabs>
      <w:rPr>
        <w:szCs w:val="24"/>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separate"/>
    </w:r>
    <w:r>
      <w:rPr>
        <w:szCs w:val="24"/>
        <w:lang w:val="en-GB"/>
      </w:rPr>
      <w:t>24</w:t>
    </w:r>
    <w:r>
      <w:rPr>
        <w:szCs w:val="24"/>
        <w:lang w:val="en-GB"/>
      </w:rPr>
      <w:fldChar w:fldCharType="end"/>
    </w:r>
  </w:p>
  <w:p>
    <w:pPr>
      <w:tabs>
        <w:tab w:val="center" w:pos="4819"/>
        <w:tab w:val="right" w:pos="9638"/>
      </w:tabs>
      <w:rPr>
        <w:szCs w:val="24"/>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defaultTabStop w:val="720"/>
  <w:hyphenationZone w:val="396"/>
  <w:doNotHyphenateCaps/>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23703"/>
  </w:rsids>
  <m:mathPr>
    <m:mathFont m:val="Cambria Math"/>
    <m:brkBin m:val="before"/>
    <m:brkBinSub m:val="--"/>
    <m:smallFrac m:val="0"/>
    <m:dispDef/>
    <m:lMargin m:val="0"/>
    <m:rMargin m:val="0"/>
    <m:defJc m:val="centerGroup"/>
    <m:wrapIndent m:val="1440"/>
    <m:intLim m:val="subSup"/>
    <m:naryLim m:val="undOvr"/>
  </m:mathPr>
  <w:themeFontLang w:val="lt-LT" w:eastAsia="zh-CN"/>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2AE32536"/>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34891388">
      <w:bodyDiv w:val="1"/>
      <w:marLeft w:val="0"/>
      <w:marRight w:val="0"/>
      <w:marTop w:val="0"/>
      <w:marBottom w:val="0"/>
      <w:divBdr>
        <w:top w:val="none" w:sz="0" w:space="0" w:color="auto"/>
        <w:left w:val="none" w:sz="0" w:space="0" w:color="auto"/>
        <w:bottom w:val="none" w:sz="0" w:space="0" w:color="auto"/>
        <w:right w:val="none" w:sz="0" w:space="0" w:color="auto"/>
      </w:divBdr>
    </w:div>
    <w:div w:id="239101773">
      <w:bodyDiv w:val="1"/>
      <w:marLeft w:val="0"/>
      <w:marRight w:val="0"/>
      <w:marTop w:val="0"/>
      <w:marBottom w:val="0"/>
      <w:divBdr>
        <w:top w:val="none" w:sz="0" w:space="0" w:color="auto"/>
        <w:left w:val="none" w:sz="0" w:space="0" w:color="auto"/>
        <w:bottom w:val="none" w:sz="0" w:space="0" w:color="auto"/>
        <w:right w:val="none" w:sz="0" w:space="0" w:color="auto"/>
      </w:divBdr>
    </w:div>
    <w:div w:id="252320110">
      <w:bodyDiv w:val="1"/>
      <w:marLeft w:val="0"/>
      <w:marRight w:val="0"/>
      <w:marTop w:val="0"/>
      <w:marBottom w:val="0"/>
      <w:divBdr>
        <w:top w:val="none" w:sz="0" w:space="0" w:color="auto"/>
        <w:left w:val="none" w:sz="0" w:space="0" w:color="auto"/>
        <w:bottom w:val="none" w:sz="0" w:space="0" w:color="auto"/>
        <w:right w:val="none" w:sz="0" w:space="0" w:color="auto"/>
      </w:divBdr>
    </w:div>
    <w:div w:id="321810321">
      <w:marLeft w:val="0"/>
      <w:marRight w:val="0"/>
      <w:marTop w:val="0"/>
      <w:marBottom w:val="0"/>
      <w:divBdr>
        <w:top w:val="none" w:sz="0" w:space="0" w:color="auto"/>
        <w:left w:val="none" w:sz="0" w:space="0" w:color="auto"/>
        <w:bottom w:val="none" w:sz="0" w:space="0" w:color="auto"/>
        <w:right w:val="none" w:sz="0" w:space="0" w:color="auto"/>
      </w:divBdr>
    </w:div>
    <w:div w:id="321810322">
      <w:marLeft w:val="0"/>
      <w:marRight w:val="0"/>
      <w:marTop w:val="0"/>
      <w:marBottom w:val="0"/>
      <w:divBdr>
        <w:top w:val="none" w:sz="0" w:space="0" w:color="auto"/>
        <w:left w:val="none" w:sz="0" w:space="0" w:color="auto"/>
        <w:bottom w:val="none" w:sz="0" w:space="0" w:color="auto"/>
        <w:right w:val="none" w:sz="0" w:space="0" w:color="auto"/>
      </w:divBdr>
    </w:div>
    <w:div w:id="321810323">
      <w:marLeft w:val="0"/>
      <w:marRight w:val="0"/>
      <w:marTop w:val="0"/>
      <w:marBottom w:val="0"/>
      <w:divBdr>
        <w:top w:val="none" w:sz="0" w:space="0" w:color="auto"/>
        <w:left w:val="none" w:sz="0" w:space="0" w:color="auto"/>
        <w:bottom w:val="none" w:sz="0" w:space="0" w:color="auto"/>
        <w:right w:val="none" w:sz="0" w:space="0" w:color="auto"/>
      </w:divBdr>
    </w:div>
    <w:div w:id="321810324">
      <w:marLeft w:val="0"/>
      <w:marRight w:val="0"/>
      <w:marTop w:val="0"/>
      <w:marBottom w:val="0"/>
      <w:divBdr>
        <w:top w:val="none" w:sz="0" w:space="0" w:color="auto"/>
        <w:left w:val="none" w:sz="0" w:space="0" w:color="auto"/>
        <w:bottom w:val="none" w:sz="0" w:space="0" w:color="auto"/>
        <w:right w:val="none" w:sz="0" w:space="0" w:color="auto"/>
      </w:divBdr>
    </w:div>
    <w:div w:id="321810325">
      <w:marLeft w:val="0"/>
      <w:marRight w:val="0"/>
      <w:marTop w:val="0"/>
      <w:marBottom w:val="0"/>
      <w:divBdr>
        <w:top w:val="none" w:sz="0" w:space="0" w:color="auto"/>
        <w:left w:val="none" w:sz="0" w:space="0" w:color="auto"/>
        <w:bottom w:val="none" w:sz="0" w:space="0" w:color="auto"/>
        <w:right w:val="none" w:sz="0" w:space="0" w:color="auto"/>
      </w:divBdr>
    </w:div>
    <w:div w:id="321810326">
      <w:marLeft w:val="0"/>
      <w:marRight w:val="0"/>
      <w:marTop w:val="0"/>
      <w:marBottom w:val="0"/>
      <w:divBdr>
        <w:top w:val="none" w:sz="0" w:space="0" w:color="auto"/>
        <w:left w:val="none" w:sz="0" w:space="0" w:color="auto"/>
        <w:bottom w:val="none" w:sz="0" w:space="0" w:color="auto"/>
        <w:right w:val="none" w:sz="0" w:space="0" w:color="auto"/>
      </w:divBdr>
    </w:div>
    <w:div w:id="321810327">
      <w:marLeft w:val="0"/>
      <w:marRight w:val="0"/>
      <w:marTop w:val="0"/>
      <w:marBottom w:val="0"/>
      <w:divBdr>
        <w:top w:val="none" w:sz="0" w:space="0" w:color="auto"/>
        <w:left w:val="none" w:sz="0" w:space="0" w:color="auto"/>
        <w:bottom w:val="none" w:sz="0" w:space="0" w:color="auto"/>
        <w:right w:val="none" w:sz="0" w:space="0" w:color="auto"/>
      </w:divBdr>
    </w:div>
    <w:div w:id="321810329">
      <w:marLeft w:val="0"/>
      <w:marRight w:val="0"/>
      <w:marTop w:val="0"/>
      <w:marBottom w:val="0"/>
      <w:divBdr>
        <w:top w:val="none" w:sz="0" w:space="0" w:color="auto"/>
        <w:left w:val="none" w:sz="0" w:space="0" w:color="auto"/>
        <w:bottom w:val="none" w:sz="0" w:space="0" w:color="auto"/>
        <w:right w:val="none" w:sz="0" w:space="0" w:color="auto"/>
      </w:divBdr>
    </w:div>
    <w:div w:id="321810330">
      <w:marLeft w:val="0"/>
      <w:marRight w:val="0"/>
      <w:marTop w:val="0"/>
      <w:marBottom w:val="0"/>
      <w:divBdr>
        <w:top w:val="none" w:sz="0" w:space="0" w:color="auto"/>
        <w:left w:val="none" w:sz="0" w:space="0" w:color="auto"/>
        <w:bottom w:val="none" w:sz="0" w:space="0" w:color="auto"/>
        <w:right w:val="none" w:sz="0" w:space="0" w:color="auto"/>
      </w:divBdr>
    </w:div>
    <w:div w:id="321810331">
      <w:marLeft w:val="0"/>
      <w:marRight w:val="0"/>
      <w:marTop w:val="0"/>
      <w:marBottom w:val="0"/>
      <w:divBdr>
        <w:top w:val="none" w:sz="0" w:space="0" w:color="auto"/>
        <w:left w:val="none" w:sz="0" w:space="0" w:color="auto"/>
        <w:bottom w:val="none" w:sz="0" w:space="0" w:color="auto"/>
        <w:right w:val="none" w:sz="0" w:space="0" w:color="auto"/>
      </w:divBdr>
    </w:div>
    <w:div w:id="321810332">
      <w:marLeft w:val="225"/>
      <w:marRight w:val="225"/>
      <w:marTop w:val="0"/>
      <w:marBottom w:val="0"/>
      <w:divBdr>
        <w:top w:val="none" w:sz="0" w:space="0" w:color="auto"/>
        <w:left w:val="none" w:sz="0" w:space="0" w:color="auto"/>
        <w:bottom w:val="none" w:sz="0" w:space="0" w:color="auto"/>
        <w:right w:val="none" w:sz="0" w:space="0" w:color="auto"/>
      </w:divBdr>
      <w:divsChild>
        <w:div w:id="321810328">
          <w:marLeft w:val="0"/>
          <w:marRight w:val="0"/>
          <w:marTop w:val="0"/>
          <w:marBottom w:val="0"/>
          <w:divBdr>
            <w:top w:val="none" w:sz="0" w:space="0" w:color="auto"/>
            <w:left w:val="none" w:sz="0" w:space="0" w:color="auto"/>
            <w:bottom w:val="none" w:sz="0" w:space="0" w:color="auto"/>
            <w:right w:val="none" w:sz="0" w:space="0" w:color="auto"/>
          </w:divBdr>
        </w:div>
      </w:divsChild>
    </w:div>
    <w:div w:id="321810333">
      <w:marLeft w:val="0"/>
      <w:marRight w:val="0"/>
      <w:marTop w:val="0"/>
      <w:marBottom w:val="0"/>
      <w:divBdr>
        <w:top w:val="none" w:sz="0" w:space="0" w:color="auto"/>
        <w:left w:val="none" w:sz="0" w:space="0" w:color="auto"/>
        <w:bottom w:val="none" w:sz="0" w:space="0" w:color="auto"/>
        <w:right w:val="none" w:sz="0" w:space="0" w:color="auto"/>
      </w:divBdr>
    </w:div>
    <w:div w:id="321810334">
      <w:marLeft w:val="0"/>
      <w:marRight w:val="0"/>
      <w:marTop w:val="0"/>
      <w:marBottom w:val="0"/>
      <w:divBdr>
        <w:top w:val="none" w:sz="0" w:space="0" w:color="auto"/>
        <w:left w:val="none" w:sz="0" w:space="0" w:color="auto"/>
        <w:bottom w:val="none" w:sz="0" w:space="0" w:color="auto"/>
        <w:right w:val="none" w:sz="0" w:space="0" w:color="auto"/>
      </w:divBdr>
      <w:divsChild>
        <w:div w:id="321810337">
          <w:marLeft w:val="0"/>
          <w:marRight w:val="0"/>
          <w:marTop w:val="0"/>
          <w:marBottom w:val="0"/>
          <w:divBdr>
            <w:top w:val="none" w:sz="0" w:space="0" w:color="auto"/>
            <w:left w:val="none" w:sz="0" w:space="0" w:color="auto"/>
            <w:bottom w:val="none" w:sz="0" w:space="0" w:color="auto"/>
            <w:right w:val="none" w:sz="0" w:space="0" w:color="auto"/>
          </w:divBdr>
        </w:div>
      </w:divsChild>
    </w:div>
    <w:div w:id="321810335">
      <w:marLeft w:val="0"/>
      <w:marRight w:val="0"/>
      <w:marTop w:val="0"/>
      <w:marBottom w:val="0"/>
      <w:divBdr>
        <w:top w:val="none" w:sz="0" w:space="0" w:color="auto"/>
        <w:left w:val="none" w:sz="0" w:space="0" w:color="auto"/>
        <w:bottom w:val="none" w:sz="0" w:space="0" w:color="auto"/>
        <w:right w:val="none" w:sz="0" w:space="0" w:color="auto"/>
      </w:divBdr>
    </w:div>
    <w:div w:id="321810336">
      <w:marLeft w:val="0"/>
      <w:marRight w:val="0"/>
      <w:marTop w:val="0"/>
      <w:marBottom w:val="0"/>
      <w:divBdr>
        <w:top w:val="none" w:sz="0" w:space="0" w:color="auto"/>
        <w:left w:val="none" w:sz="0" w:space="0" w:color="auto"/>
        <w:bottom w:val="none" w:sz="0" w:space="0" w:color="auto"/>
        <w:right w:val="none" w:sz="0" w:space="0" w:color="auto"/>
      </w:divBdr>
    </w:div>
    <w:div w:id="321810338">
      <w:marLeft w:val="0"/>
      <w:marRight w:val="0"/>
      <w:marTop w:val="0"/>
      <w:marBottom w:val="0"/>
      <w:divBdr>
        <w:top w:val="none" w:sz="0" w:space="0" w:color="auto"/>
        <w:left w:val="none" w:sz="0" w:space="0" w:color="auto"/>
        <w:bottom w:val="none" w:sz="0" w:space="0" w:color="auto"/>
        <w:right w:val="none" w:sz="0" w:space="0" w:color="auto"/>
      </w:divBdr>
    </w:div>
    <w:div w:id="321810339">
      <w:marLeft w:val="0"/>
      <w:marRight w:val="0"/>
      <w:marTop w:val="0"/>
      <w:marBottom w:val="0"/>
      <w:divBdr>
        <w:top w:val="none" w:sz="0" w:space="0" w:color="auto"/>
        <w:left w:val="none" w:sz="0" w:space="0" w:color="auto"/>
        <w:bottom w:val="none" w:sz="0" w:space="0" w:color="auto"/>
        <w:right w:val="none" w:sz="0" w:space="0" w:color="auto"/>
      </w:divBdr>
    </w:div>
    <w:div w:id="321810340">
      <w:marLeft w:val="0"/>
      <w:marRight w:val="0"/>
      <w:marTop w:val="0"/>
      <w:marBottom w:val="0"/>
      <w:divBdr>
        <w:top w:val="none" w:sz="0" w:space="0" w:color="auto"/>
        <w:left w:val="none" w:sz="0" w:space="0" w:color="auto"/>
        <w:bottom w:val="none" w:sz="0" w:space="0" w:color="auto"/>
        <w:right w:val="none" w:sz="0" w:space="0" w:color="auto"/>
      </w:divBdr>
    </w:div>
    <w:div w:id="321810341">
      <w:marLeft w:val="0"/>
      <w:marRight w:val="0"/>
      <w:marTop w:val="0"/>
      <w:marBottom w:val="0"/>
      <w:divBdr>
        <w:top w:val="none" w:sz="0" w:space="0" w:color="auto"/>
        <w:left w:val="none" w:sz="0" w:space="0" w:color="auto"/>
        <w:bottom w:val="none" w:sz="0" w:space="0" w:color="auto"/>
        <w:right w:val="none" w:sz="0" w:space="0" w:color="auto"/>
      </w:divBdr>
    </w:div>
    <w:div w:id="563835603">
      <w:bodyDiv w:val="1"/>
      <w:marLeft w:val="0"/>
      <w:marRight w:val="0"/>
      <w:marTop w:val="0"/>
      <w:marBottom w:val="0"/>
      <w:divBdr>
        <w:top w:val="none" w:sz="0" w:space="0" w:color="auto"/>
        <w:left w:val="none" w:sz="0" w:space="0" w:color="auto"/>
        <w:bottom w:val="none" w:sz="0" w:space="0" w:color="auto"/>
        <w:right w:val="none" w:sz="0" w:space="0" w:color="auto"/>
      </w:divBdr>
    </w:div>
    <w:div w:id="710350124">
      <w:bodyDiv w:val="1"/>
      <w:marLeft w:val="0"/>
      <w:marRight w:val="0"/>
      <w:marTop w:val="0"/>
      <w:marBottom w:val="0"/>
      <w:divBdr>
        <w:top w:val="none" w:sz="0" w:space="0" w:color="auto"/>
        <w:left w:val="none" w:sz="0" w:space="0" w:color="auto"/>
        <w:bottom w:val="none" w:sz="0" w:space="0" w:color="auto"/>
        <w:right w:val="none" w:sz="0" w:space="0" w:color="auto"/>
      </w:divBdr>
    </w:div>
    <w:div w:id="1680617143">
      <w:bodyDiv w:val="1"/>
      <w:marLeft w:val="0"/>
      <w:marRight w:val="0"/>
      <w:marTop w:val="0"/>
      <w:marBottom w:val="0"/>
      <w:divBdr>
        <w:top w:val="none" w:sz="0" w:space="0" w:color="auto"/>
        <w:left w:val="none" w:sz="0" w:space="0" w:color="auto"/>
        <w:bottom w:val="none" w:sz="0" w:space="0" w:color="auto"/>
        <w:right w:val="none" w:sz="0" w:space="0" w:color="auto"/>
      </w:divBdr>
    </w:div>
    <w:div w:id="1742024585">
      <w:bodyDiv w:val="1"/>
      <w:marLeft w:val="0"/>
      <w:marRight w:val="0"/>
      <w:marTop w:val="0"/>
      <w:marBottom w:val="0"/>
      <w:divBdr>
        <w:top w:val="none" w:sz="0" w:space="0" w:color="auto"/>
        <w:left w:val="none" w:sz="0" w:space="0" w:color="auto"/>
        <w:bottom w:val="none" w:sz="0" w:space="0" w:color="auto"/>
        <w:right w:val="none" w:sz="0" w:space="0" w:color="auto"/>
      </w:divBdr>
    </w:div>
    <w:div w:id="1883007730">
      <w:bodyDiv w:val="1"/>
      <w:marLeft w:val="0"/>
      <w:marRight w:val="0"/>
      <w:marTop w:val="0"/>
      <w:marBottom w:val="0"/>
      <w:divBdr>
        <w:top w:val="none" w:sz="0" w:space="0" w:color="auto"/>
        <w:left w:val="none" w:sz="0" w:space="0" w:color="auto"/>
        <w:bottom w:val="none" w:sz="0" w:space="0" w:color="auto"/>
        <w:right w:val="none" w:sz="0" w:space="0" w:color="auto"/>
      </w:divBdr>
    </w:div>
    <w:div w:id="19747491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theme" Target="theme/theme1.xml"/>
  <Relationship Id="rId11" Type="http://schemas.openxmlformats.org/officeDocument/2006/relationships/webSettings" Target="webSettings.xml"/>
  <Relationship Id="rId12" Type="http://schemas.openxmlformats.org/officeDocument/2006/relationships/image" Target="media/image9.png"/>
  <Relationship Id="rId13" Type="http://schemas.openxmlformats.org/officeDocument/2006/relationships/header" Target="header31.xml"/>
  <Relationship Id="rId14" Type="http://schemas.openxmlformats.org/officeDocument/2006/relationships/header" Target="header32.xml"/>
  <Relationship Id="rId15" Type="http://schemas.openxmlformats.org/officeDocument/2006/relationships/footer" Target="footer31.xml"/>
  <Relationship Id="rId16" Type="http://schemas.openxmlformats.org/officeDocument/2006/relationships/footer" Target="footer32.xml"/>
  <Relationship Id="rId17" Type="http://schemas.openxmlformats.org/officeDocument/2006/relationships/header" Target="header33.xml"/>
  <Relationship Id="rId18" Type="http://schemas.openxmlformats.org/officeDocument/2006/relationships/footer" Target="footer33.xml"/>
  <Relationship Id="rId19" Type="http://schemas.openxmlformats.org/officeDocument/2006/relationships/image" Target="media/image17.png"/>
  <Relationship Id="rId2" Type="http://schemas.openxmlformats.org/officeDocument/2006/relationships/image" TargetMode="External" Target="cid:image001.png@01D19400.F0E8E240"/>
  <Relationship Id="rId20" Type="http://schemas.openxmlformats.org/officeDocument/2006/relationships/customXml" Target="../customXml/item1.xml"/>
  <Relationship Id="rId3" Type="http://schemas.openxmlformats.org/officeDocument/2006/relationships/endnotes" Target="endnotes.xml"/>
  <Relationship Id="rId4" Type="http://schemas.openxmlformats.org/officeDocument/2006/relationships/fontTable" Target="fontTable.xml"/>
  <Relationship Id="rId5" Type="http://schemas.openxmlformats.org/officeDocument/2006/relationships/footnotes" Target="footnotes.xml"/>
  <Relationship Id="rId6" Type="http://schemas.openxmlformats.org/officeDocument/2006/relationships/image" Target="media/image2.png"/>
  <Relationship Id="rId7" Type="http://schemas.openxmlformats.org/officeDocument/2006/relationships/settings" Target="settings.xml"/>
  <Relationship Id="rId8" Type="http://schemas.openxmlformats.org/officeDocument/2006/relationships/styles" Target="styles.xml"/>
  <Relationship Id="rId9" Type="http://schemas.microsoft.com/office/2007/relationships/stylesWithEffects" Target="stylesWithEffect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b5eaab58554b48b9866c112a2a2a51b4" PartId="a8da307120cc433b8c935cd72295379a">
    <Part Type="preambule" DocPartId="c472300ae93e4aaaa2fa9a4d921db68b" PartId="724459fd21db4a9a95492b3e7d6c137f"/>
    <Part Type="punktas" Nr="1" Abbr="1 p." DocPartId="1c51a2c84dcc453fa5cca0b9538c5821" PartId="5339e44e9bdb4366b6d0c0ba001e949b"/>
    <Part Type="punktas" Nr="2" Abbr="2 p." DocPartId="8d73a234be884c99acc2125c5f2ab7be" PartId="be1d99e9b98b459f9b21e02fd217f1f4"/>
    <Part Type="punktas" Nr="3" Abbr="3 p." DocPartId="df1c5bcec25642e393cca885a1b781f7" PartId="8df18e3f615f4342a2ae88eb29697807"/>
    <Part Type="signatura" DocPartId="93d3ad7aa71b4601abf1ed7db914d3b1" PartId="da8081b21a7649b3b56121becd194e08"/>
  </Part>
  <Part Type="patvirtinta" Title="ELEKTROS ENERGIJOS PERDAVIMO, SKIRSTYMO IR VISUOMENINIO TIEKIMO PASLAUGŲ BEI VISUOMENINĖS KAINOS VIRŠUTINĖS RIBOS NUSTATYMO METODIKA" DocPartId="b4e6b57bfa7c49519964c5d8364ecb9e" PartId="0c3e461b46324d0389d92e0d14fe39d8">
    <Part Type="skyrius" Nr="1" Title="BENDROSIOS NUOSTATOS" DocPartId="34542593cf62413fba2b6ef9f6ed7567" PartId="6a3ae0d30f3c45c782bca9fa08a4d9df">
      <Part Type="punktas" Nr="1" Abbr="1 p." DocPartId="db95594e3ddc41a19e700505dd6e18cd" PartId="dcc34cffce9d4cfcbad5b1f5d26a5728">
        <Part Type="punktas" Nr="1.1" Abbr="1.1 p." DocPartId="189e700f67e648cfae525ce6ce3705e4" PartId="a9404ff43515478ca6c1fd8c1035fd13"/>
        <Part Type="punktas" Nr="1.2" Abbr="1.2 p." DocPartId="452cf10484df4305887adc2ed9810ab4" PartId="fd0f45cb0e2c4baf960b4cdff3203db7"/>
        <Part Type="punktas" Nr="1.3" Abbr="1.3 p." DocPartId="8d7abb99c2bc443eb7a52f4c9ee82ba1" PartId="c7f6f8133f9c427ebbc7d6abf41656d7"/>
        <Part Type="punktas" Nr="1.4" Abbr="1.4 p." DocPartId="46687942ecd94ceca523f9597812aa52" PartId="5d7450eb6e8e469996750ce1dab478f8"/>
      </Part>
      <Part Type="punktas" Nr="2" Abbr="2 p." DocPartId="4ce3e2f1ec26479ea439a6498c793e7e" PartId="6b92513673174e7793902e11448fa4c7"/>
      <Part Type="punktas" Nr="3" Abbr="3 p." DocPartId="818437e1ae694894bce6e70e77e44455" PartId="2a6aff355b0144f79a544d35c4c6550c"/>
      <Part Type="punktas" Nr="4" Abbr="4 p." DocPartId="1ac36986cf9447fd93a53b96fa30779d" PartId="88b02b93544a49a38568cda023dd0d82"/>
    </Part>
    <Part Type="skyrius" Nr="2" Title="ELEKTROS ENERGETIKOS SEKTORIAUS KAINODAROS TAISYKLĖS" DocPartId="d002da7e4cd14b6ab91b37085e944392" PartId="a27c18789a0f46058ae6975ffc242403">
      <Part Type="punktas" Nr="5" Abbr="5 p." DocPartId="278efacdc23a42799c62e8e4b194cd74" PartId="019ad8481cd04f7e958ade9b86cfddad">
        <Part Type="punktas" Nr="5.1" Abbr="5.1 p." DocPartId="8715b164351544fe87dee900da6184e5" PartId="15f8d38010fc445b94ba236940f44ec5"/>
        <Part Type="punktas" Nr="5.2" Abbr="5.2 p." DocPartId="8f2604029c4f44b08f3dafd12f3bf08a" PartId="024a3355756b413ba326cba1d6fa817f"/>
        <Part Type="punktas" Nr="5.3" Abbr="5.3 p." DocPartId="e29bb1d8d2d2497a81267c8911408722" PartId="3ce99e68b06743fa9aa8f47951e6e431"/>
      </Part>
      <Part Type="skirsnis" Nr="1" Title="ĮMONIŲ, BESIVERČIANČIŲ ELEKTROS ENERGIJOS PERDAVIMO, ELEKTROS ENERGIJOS SKIRSTYMO VEIKLA, IŠSKYRUS SKIRSTYMO TINKLŲ ĮMONES, KURIŲ VEIKLOS TERITORIJOJE ESANČIŲ VARTOTOJŲ SKAIČIUS MAŽESNIS NEI 100 TŪKSTANČIŲ, KAINODAROS TAISYKLĖS" DocPartId="faaffbbc7ab84722852ab45b0593537e" PartId="d69dbd7253de4520a578741e18b5308a">
        <Part Type="punktas" Nr="6" Abbr="6 p." DocPartId="5a43b5b09b304ba3abad13c2dc477748" PartId="6d7974fc9b7b4d4dbe84f950d8863159"/>
        <Part Type="punktas" Nr="7" Abbr="7 p." DocPartId="76d2f10c1fb14305b3119b6cc442da0b" PartId="f8fdeb7d5d8f4a62bbd440768f4198c2">
          <Part Type="punktas" Nr="7.1" Abbr="7.1 p." DocPartId="db0c6952ec78438bb6c637e68776aedd" PartId="2bd022f385c84e8ea2ba3fe7fa2ce2c2">
            <Part Type="punktas" Nr="7.1.1" Abbr="7.1.1 p." DocPartId="e0ff6e2411dc41b286fc49a578c1b1d2" PartId="a663b0a74eed4da8add18c149716dffa"/>
            <Part Type="punktas" Nr="7.1.2" Abbr="7.1.2 p." DocPartId="59c72347735246d09d38ac7b77747d5b" PartId="c385c1474b764b648c4986f584c9cd9b"/>
            <Part Type="punktas" Nr="7.1.3" Abbr="7.1.3 p." DocPartId="d8ec8390a82c420d819144926d406fef" PartId="1e13d518d42649eb8dc1e1a01acad04f"/>
            <Part Type="punktas" Nr="7.1.4" Abbr="7.1.4 p." DocPartId="8c642ed1e24e4798b9c80d17d331d7dd" PartId="cabb3fc2035145dd87939929244c49f5"/>
          </Part>
          <Part Type="punktas" Nr="7.2" Abbr="7.2 p." DocPartId="b310231fbbed47bfbc28538f42d87b72" PartId="3a7624613bc54eb68bb54f64fdb04892">
            <Part Type="punktas" Nr="7.2.1" Abbr="7.2.1 p." DocPartId="5e70c3fa9bea4c71b7d808e0d7eae097" PartId="9cd00deaaa56405e8f66ed456e619e6b">
              <Part Type="punktas" Nr="7.2.1.1" Abbr="7.2.1.1 p." DocPartId="ce1657db6a1846f38f8899d73f970516" PartId="3c25f85c69e54e7b842cd3f09fdcdeb0"/>
              <Part Type="punktas" Nr="7.2.1.2" Abbr="7.2.1.2 p." DocPartId="1a6cb879dec34bfe91911ffd86b37889" PartId="530c938ff58b423da9f2b725fb25c56f"/>
            </Part>
            <Part Type="punktas" Nr="7.2.2" Abbr="7.2.2 p." DocPartId="cd2bd57cafe64469b174270db9818968" PartId="8f037961bf86424b8439523f1a2d3359">
              <Part Type="punktas" Nr="7.2.2.1" Abbr="7.2.2.1 p." DocPartId="eece1929ac45433f84047f5740097ce6" PartId="626712c82fdb41e2b2e17918ccbd73e7"/>
              <Part Type="punktas" Nr="7.2.2.2" Abbr="7.2.2.2 p." DocPartId="fa01d027c23b4760862928024549e326" PartId="0768699c1d3146c3b133f53114ea1d5a"/>
            </Part>
            <Part Type="punktas" Nr="7.2.3" Abbr="7.2.3 p." DocPartId="4663f3d9fd4e4de6a83929c66e97108d" PartId="9f36e45131e74cea856985b4d7d9b751"/>
            <Part Type="punktas" Nr="7.2.4" Abbr="7.2.4 p." DocPartId="d8ee6e2c71fd43068d40c64febb0c5a4" PartId="c1d2a734a119409986393d1ba531d93f"/>
            <Part Type="punktas" Nr="7.2.4-1" Abbr="7.2.4-1 p." DocPartId="3c7681e6565d4bc890e825d8b4f180f5" PartId="88721f57e9a44899a7a1355842127a10"/>
            <Part Type="punktas" Nr="7.2.4-2" Abbr="7.2.4-2 p." DocPartId="1e93953f61c6420eb43c2f236b351f70" PartId="bac9f4954e974acab25aac7b58872621"/>
            <Part Type="punktas" Nr="7.2.5" Abbr="7.2.5 p." DocPartId="1fe7165e742d42bbb4abea4b1733e85a" PartId="5f492a967a5a4b88a4026cdab3754ad1"/>
          </Part>
          <Part Type="punktas" Nr="7.3" Abbr="7.3 p." DocPartId="3ff005a1d9e049a29fec206c943f9ffe" PartId="976544cfacfa4563bca3849fade52456">
            <Part Type="punktas" Nr="7.3.1" Abbr="7.3.1 p." DocPartId="e75badffed9646fabcf1a58271d11207" PartId="70ceca9f228d4b0eb0f6c3d720adf6eb"/>
            <Part Type="punktas" Nr="7.3.2" Abbr="7.3.2 p." DocPartId="525dadc76cad4de895da9171d7d80fb4" PartId="87e2f9ff0e2e4d3286a745f43814c226">
              <Part Type="punktas" Nr="7.3.2.1" Abbr="7.3.2.1 p." DocPartId="030f37ad14c54c6497a2cc50dc36c04a" PartId="54700e9d18c346059d17a084d7288982"/>
              <Part Type="punktas" Nr="7.3.2.2" Abbr="7.3.2.2 p." DocPartId="82eb34f3871f40b886e2f765b47ff051" PartId="e1d60074850b4e24b9476c58137bf06c"/>
              <Part Type="punktas" Nr="7.3.2.3" Abbr="7.3.2.3 p." DocPartId="18f77b6368204f4e90654c27462dce0d" PartId="d9aa63753ef5461ca96687f862a24066"/>
            </Part>
            <Part Type="punktas" Nr="7.3.3" Abbr="7.3.3 p." DocPartId="f3b501add1e9487fa20239dd607d186d" PartId="cfde20a664364c4585a3c30ee9e876bb"/>
          </Part>
        </Part>
        <Part Type="punktas" Nr="8" Abbr="8 p." DocPartId="7b0b957d3b21477593983547eb366ff5" PartId="4163c70c3af343c69072c0dd9d53b0c8">
          <Part Type="punktas" Nr="8.1" Abbr="8.1 p." DocPartId="605a969d3dbf437382a8fa355c67f964" PartId="198f0b6b449b4bf3815ed4cef082a5ab">
            <Part Type="punktas" Nr="8.1.1" Abbr="8.1.1 p." DocPartId="800de90605c74292907725e768ed0c65" PartId="a8683c0632b14239bd321be54d0b63c2"/>
            <Part Type="punktas" Nr="8.1.1-1" Abbr="8.1.1-1 p." DocPartId="60c3487014f64cb9b119fbe9247d94c3" PartId="a0c4a1997f5243ce88b34f59bdeb7a51">
              <Part Type="punktas" Nr="8.1.1-1.1" Abbr="8.1.1-1.1 p." DocPartId="aa22f9ec5705484282072e08fd63b112" PartId="b4e06b7607c3457a87ad416593db413a"/>
              <Part Type="punktas" Nr="8.1.1-1.2" Abbr="8.1.1-1.2 p." DocPartId="3a13d175787e4e43955dbcc0bbeac409" PartId="860948df349e434397c0a49542f63bc0"/>
              <Part Type="punktas" Nr="8.1.1-1.3" Abbr="8.1.1-1.3 p." DocPartId="6049360194a542b48931476be94bfe68" PartId="dc634b3f54944a88b14c3e2b7a60bffb"/>
            </Part>
            <Part Type="punktas" Nr="8.1.2" Abbr="8.1.2 p." DocPartId="9f338dd6551f4532898e6d0ae1aaccdf" PartId="d86ba2c9ee2845228be76d3d905024e0"/>
            <Part Type="punktas" Nr="8.1.3" Abbr="8.1.3 p." DocPartId="f71544ad1dbf40d1aab6f48d0dc4c697" PartId="35d7d45b63864a3e8d75429f8f04fbe1"/>
            <Part Type="punktas" Nr="8.1.4" Abbr="8.1.4 p." DocPartId="9d5b4abffa4e481fbd7d9ac6a10a7fe6" PartId="a5234e5a81964f87bf84bfbca29b89a6"/>
          </Part>
          <Part Type="punktas" Nr="8.2" Abbr="8.2 p." DocPartId="5d83f96fbff34157b97ad93313143f78" PartId="54842da0eb6e4e66ab65af0345f9e3ad">
            <Part Type="punktas" Nr="8.2.1" Abbr="8.2.1 p." DocPartId="f625bff7e35943d0b6eb24351c6ca5d5" PartId="08b41af5f0844f36923854bbd9e4c604"/>
            <Part Type="punktas" Nr="8.2.1-1" Abbr="8.2.1-1 p." DocPartId="6fe892dc49a248728236856ee8992c51" PartId="366868b6711e416f864dcdf33c81fa35">
              <Part Type="punktas" Nr="8.2.1-1.1" Abbr="8.2.1-1.1 p." DocPartId="de21bd6da1954cada755d188da94c0dd" PartId="3a2b7c06955548efbc12fff9cf1c21ba"/>
              <Part Type="punktas" Nr="8.2.1-1.2" Abbr="8.2.1-1.2 p." DocPartId="4d7ab7716625429784e9242c05e8d854" PartId="0fa16d5e669b4a0ca6b3a0d84dca6948"/>
              <Part Type="punktas" Nr="8.2.1-1.3" Abbr="8.2.1-1.3 p." DocPartId="d2a612e71b0a4710a477168c4445e341" PartId="fa3b94d5975c40f4822521ebf57fe8f9"/>
            </Part>
            <Part Type="punktas" Nr="8.2.2" Abbr="8.2.2 p." DocPartId="9cc323e72ef447dc9cdcff556ec293af" PartId="f7f1a3d891fa4cc69767a7f74ad39217"/>
            <Part Type="punktas" Nr="8.2.3" Abbr="8.2.3 p." DocPartId="a57257eda9c647319e98e5994da2fed1" PartId="56ab52680d6d482da34fd4c646c83351"/>
            <Part Type="punktas" Nr="8.2.4" Abbr="8.2.4 p." DocPartId="433fa0ef253d41a0ba42e23f27440225" PartId="b5446e5a598f4d968be6fea7916152ef"/>
            <Part Type="punktas" Nr="8.2.5" Abbr="8.2.5 p." DocPartId="991041551fd84763acecc85349a3de66" PartId="23876d743cc34844b97404f8cac5232a"/>
            <Part Type="punktas" Nr="8.2.6" Abbr="8.2.6 p." DocPartId="0a84d9ce9f7744d483cae0d10a670c7d" PartId="8ecf582e8fcf43078c15b90c10b68fb5"/>
          </Part>
          <Part Type="punktas" Nr="8.3" Abbr="8.3 p." DocPartId="4652d1a6f52a4530893e138772a63ec3" PartId="bd5bf996c6fa4a2e8ed9d90b4698cf5b"/>
          <Part Type="punktas" Nr="8.4" Abbr="8.4 p." DocPartId="4d6083982d0d4259aece3d4e15881803" PartId="f37e06a3fde24b3fb960ce3345fc3bdd"/>
          <Part Type="punktas" Nr="8.5" Abbr="8.5 p." DocPartId="2efeb2081ffa4205851293433ac82f24" PartId="c72b1a7d6f624c61bedf46df6d37780a"/>
          <Part Type="papunktis" Nr="8.6" Abbr="8.6 pp." DocPartId="b4c8a1d36c42469d83909569fe28d58d" PartId="7a75f39e150249d5bf8d920bf38906d6"/>
        </Part>
        <Part Type="punktas" Nr="9" Abbr="9 p." DocPartId="e6cfc5f99a004ceaa0db0b829ea97b32" PartId="5fd9c85c7a1446e093c31dbc3b61a967">
          <Part Type="punktas" Nr="9.1" Abbr="9.1 p." DocPartId="ef3f10eb5a8c497bbd031a0caea3ca24" PartId="b7226d88595543b6902e9a13c8d02666"/>
          <Part Type="punktas" Nr="9.2" Abbr="9.2 p." DocPartId="484578b9955648a7b28c7995b78f0b94" PartId="8766e3fd8c7a4ad3afc2ff5bbd705002">
            <Part Type="punktas" Nr="9.2.1" Abbr="9.2.1 p." DocPartId="aab233b93db54ccdb067bbe1296ffb2d" PartId="3e519ec0801a4b119d8a322e3a6691c4"/>
            <Part Type="punktas" Nr="9.2.2" Abbr="9.2.2 p." DocPartId="ffd7d6f43b9d41139463066b1fdd0dc9" PartId="40416011835c40b28218f5ec86ce28ec"/>
            <Part Type="punktas" Nr="9.2.3" Abbr="9.2.3 p." DocPartId="d295f7cebd5a44f290f8632035f94f41" PartId="5fcd217e5c494a21baeee694c925e6b3"/>
            <Part Type="punktas" Nr="9.2.4" Abbr="9.2.4 p." DocPartId="eca956fead684eee837dbb75b603056b" PartId="60ee3e099b8543bfb4fa4ebaf19c3813"/>
          </Part>
        </Part>
        <Part Type="punktas" Nr="10" Abbr="10 p." DocPartId="c16adf26acda45c59b4dbbe45df0ff6e" PartId="9e220de9cff7437fb2177e841e8112e4">
          <Part Type="punktas" Nr="10.1" Abbr="10.1 p." DocPartId="1a4d4962fd3d4bf2b371f4666f77e628" PartId="ce67f3c34f3540aa9e2e2e94bcde249e"/>
          <Part Type="punktas" Nr="10.2" Abbr="10.2 p." DocPartId="ed86d40ae30c4b6bb53d0d860d3e4210" PartId="295d0e6094c7417f989efba4d291e8dc"/>
        </Part>
        <Part Type="punktas" Nr="11" Abbr="11 p." DocPartId="c5b9a04509a84d32a91a7fdf3c25ab5b" PartId="ab6d9ee8394e49b8870dc1429c769afc"/>
        <Part Type="punktas" Nr="12" Abbr="12 p." DocPartId="9638e51cc3fc46dab2c5218fe81f9338" PartId="54417246292a4664ad1a5ae635d74e74"/>
        <Part Type="punktas" Nr="13" Abbr="13 p." DocPartId="f87d057d6ce04641aaa49f8510cebae1" PartId="6d9b25192e4d4bf4b3ecf500fd844956"/>
        <Part Type="punktas" Nr="14" Abbr="14 p." DocPartId="cff49987fea049098839d9e214d52272" PartId="96fffdf6d88b477aad3c98d821f6c775"/>
        <Part Type="punktas" Nr="14-1" Abbr="14-1 p." DocPartId="ac0f1f4b862d43d994d608aa7b2b3a19" PartId="b26cf6a43e244337a5024a7a308d7ff5"/>
        <Part Type="punktas" Nr="14-2" Abbr="14-2 p." DocPartId="9d80aab7a53d40b290a4d90bda073dd8" PartId="fc31139782fe4301a1d341ea788687dc">
          <Part Type="punktas" Nr="14-2.1" Abbr="14-2.1 p." DocPartId="f30b2ab9ff994b8cb881dcba771b8500" PartId="cecbd3af763f4346b2b4b8aa131f7e66"/>
          <Part Type="punktas" Nr="14-2.2" Abbr="14-2.2 p." DocPartId="48246184225b4c1aa44b56f15c0e5dd2" PartId="bc739d2bbeda42488a020e898664d73c"/>
          <Part Type="punktas" Nr="14-2.3" Abbr="14-2.3 p." DocPartId="f0ac6fd80ba14fdb930c9e558893411a" PartId="4b736f70ffa946349e07b5b9ad8e1451"/>
          <Part Type="punktas" Nr="14-2.4" Abbr="14-2.4 p." DocPartId="27517d3b9ec64e4e9d9d3b33fcf097cb" PartId="22eae20d937c4c3fb4ee2e1edf90f311"/>
        </Part>
        <Part Type="punktas" Nr="15" Abbr="15 p." DocPartId="d7dbd51b560b4fb0b32e384c5ff5c986" PartId="e161e726b08e42ba9f7bb67224c9c626">
          <Part Type="papunktis" Nr="15.1" Abbr="15.1 pp." DocPartId="881b1e0841ef4985b3bf2517a6836494" PartId="f8ec411d8d5542bea61eb91ff7621c02"/>
          <Part Type="papunktis" Nr="15.2" Abbr="15.2 pp." DocPartId="c25b5bccebee4b03b2aca7d31db0d0ee" PartId="e26b17f768d3409db0aaa4ad1af7c7f1"/>
        </Part>
        <Part Type="punktas" Nr="16" Abbr="16 p." DocPartId="c7056d20c69648a187ede9395d1cb80b" PartId="f2dc6bc52c10474794bcb90aa9749120">
          <Part Type="punktas" Nr="16.1" Abbr="16.1 p." DocPartId="e5fb1b6985e5436cb8e61621e3f19f41" PartId="ad5fbe8273a642fdb9d873b7760d4f28"/>
          <Part Type="punktas" Nr="16.2" Abbr="16.2 p." DocPartId="61cb08bee38a4a268704c524debb5b2d" PartId="fc23133d39634d93b870027c2c715724"/>
          <Part Type="punktas" Nr="16.3" Abbr="16.3 p." DocPartId="58465016c9e14245b47889a478432f7c" PartId="f941f63fc069460eaa9a50c96b031606"/>
          <Part Type="punktas" Nr="16.4" Abbr="16.4 p." DocPartId="dd9c9f4c4d124053ab5c984931e60b75" PartId="c7e0495cad04494a853116a80c58616a"/>
          <Part Type="punktas" Nr="16.5" Abbr="16.5 p." DocPartId="593b336f99fd40289013e4c0d2a3a588" PartId="5e9b8b84056f4f28a21ca622f0d5375c"/>
        </Part>
        <Part Type="punktas" Nr="16-1" Abbr="16-1 p." DocPartId="c0e819882f614857b8cff21df9362b69" PartId="3f26362e0d8b41bbba1082a113761cf5"/>
        <Part Type="punktas" Nr="17" Abbr="17 p." DocPartId="e5f4eb2df6564a93b94351c3680cb7e9" PartId="03bb3c27e8e94fb8999d8d575f3981ea"/>
        <Part Type="punktas" Nr="18" Abbr="18 p." DocPartId="6cb6dc42786c4044babe2f22ea5858a2" PartId="8e48f81e433e47f7abcb6b4942380dea">
          <Part Type="punktas" Nr="18.1" Abbr="18.1 p." DocPartId="6bfc157060904cefbf642c2e25534d19" PartId="118d440fcb7f424ebeac5767a7af0eab"/>
          <Part Type="punktas" Nr="18.2" Abbr="18.2 p." DocPartId="aaca72e13ec84504aedc8707b32f39d4" PartId="96835b18fbed42229ce7e4f043cc9b53"/>
          <Part Type="punktas" Nr="18.3" Abbr="18.3 p." DocPartId="bb326418e1444f869194b174f3a4d5ca" PartId="a1b3c43bc0194dba8295f76eb4842d61"/>
          <Part Type="punktas" Nr="18.4" Abbr="18.4 p." DocPartId="4fc3e4bd992749dcb9a90bae60a79b06" PartId="0c72403eb6454e6faf3d5bc0be5effbf"/>
        </Part>
        <Part Type="punktas" Nr="18-1" Abbr="18-1 p." DocPartId="735156577d1047c78615b3684025977d" PartId="b560e4e74e404fb4be78ecaa230d38ce"/>
      </Part>
      <Part Type="skirsnis" Nr="2" Title="ĮMONIŲ, BESIVERČIANČIŲ SKIRSTYMO VEIKLA, KURIŲ VEIKLOS TERITORIJOJE ESANČIŲ VARTOTOJŲ SKAIČIUS MAŽESNIS NEI 100 TŪKSTANČIŲ, IR ĮMONIŲ, BESIVERČIANČIŲ VISUOMENINIO TIEKIMO VEIKLA KAINODAROS TAISYKLĖS" DocPartId="96c16c94844f4bf18bdc089324f82c92" PartId="fef0e2518339433085facff293bda298">
        <Part Type="punktas" Nr="19" Abbr="19 p." DocPartId="02ff8c8781134e85800d7d4763d7f3b1" PartId="5afcd837a8524ceeaa28ac821b3fe4a7"/>
        <Part Type="punktas" Nr="20" Abbr="20 p." DocPartId="959e136aaba64a0f9a7e440d8856243f" PartId="a942da867700476793bef7dc6f66f3a2">
          <Part Type="punktas" Nr="20.1" Abbr="20.1 p." DocPartId="0ba75a1dc60748bc9018aa41711124be" PartId="3952c9c8478140478208cb29339a4698">
            <Part Type="punktas" Nr="20.1.1" Abbr="20.1.1 p." DocPartId="83933764eb684048960383ad31ce1a97" PartId="d1335ce682474c8f8502a37e288e1e34"/>
            <Part Type="punktas" Nr="21.1.1-1" Abbr="21.1.1-1 p." DocPartId="536fa6eeb7e14ab78d9e4fc86b51d4bb" PartId="ac6c118e544c4b11a4a641702c9ceabd">
              <Part Type="punktas" Nr="21.1.1-1.1" Abbr="21.1.1-1.1 p." DocPartId="185b336e635e4dd58fc3561fed0002f7" PartId="657c5f8cb3a240b397159bb6727604af"/>
              <Part Type="punktas" Nr="21.1.1-1.2" Abbr="21.1.1-1.2 p." DocPartId="c9eb6ff885ed476a9cbbe0d78a7a63a2" PartId="b9078bc747c94ceb852f5199fc7b9335"/>
              <Part Type="punktas" Nr="21.1.1-1.3" Abbr="21.1.1-1.3 p." DocPartId="d61ebad85c9b42f69aebce5105743cba" PartId="73adde6aa23b4425a101a687002194a5"/>
            </Part>
            <Part Type="punktas" Nr="20.1.2" Abbr="20.1.2 p." DocPartId="a8ecb7ae00a847d09e003df0859c1cee" PartId="ecbeb98946de45ec86c2402fbb8e22b9"/>
            <Part Type="punktas" Nr="20.1.3" Abbr="20.1.3 p." DocPartId="ff64ac09a25c408d9c3cc4c8eadde111" PartId="6044110cdf7d4225aaa1f558f5f5d4b9"/>
            <Part Type="punktas" Nr="20.1.4" Abbr="20.1.4 p." DocPartId="fc22a00ed7d9493e952e7b8e01a22dba" PartId="bbe0a308718c44288aae8b1ae82c6f1c"/>
          </Part>
          <Part Type="punktas" Nr="20.2" Abbr="20.2 p." DocPartId="e4d6968e9430419cbf3b97ad0beffd5c" PartId="94892ee2003341a68c130b691f6e9faf">
            <Part Type="punktas" Nr="20.2.1" Abbr="20.2.1 p." DocPartId="8b400f0e4f084aa1b6e9ed57f18a4afa" PartId="3a1e07daf0e24798aa6166a4b91a5172"/>
            <Part Type="punktas" Nr="20.2.1-1" Abbr="20.2.1-1 p." DocPartId="40e291b14e5d466894ac53c6afdcbb43" PartId="7691f0c4898f4ab998c24fbf4d787110"/>
            <Part Type="punktas" Nr="20.2.2" Abbr="20.2.2 p." DocPartId="e13f2ad23d664ce8ab31f7949fc8d152" PartId="3e170d48b9c443f0a1511995d44947d4"/>
          </Part>
          <Part Type="punktas" Nr="20.3" Abbr="20.3 p." DocPartId="7eeaca11f7224520b407789c826e0652" PartId="11f547a9e0aa47e1b8a9910d1bc7d933">
            <Part Type="punktas" Nr="20.3.1" Abbr="20.3.1 p." DocPartId="7d78220d207c49c8bbe422d403a22a9c" PartId="cdfb24b0763e41308671c69f87be4ef2"/>
            <Part Type="punktas" Nr="20.3.2" Abbr="20.3.2 p." DocPartId="9fdde90520ee46f0aab7be2b1f9901b3" PartId="5a71f93bebd7437b99f05e61c8fae820">
              <Part Type="punktas" Nr="20.3.2.1" Abbr="20.3.2.1 p." DocPartId="313a0ea2a05844d1b9412f25c1d3309d" PartId="be8ce2180e29498abb30fdf1b54031e4">
                <Part Type="punktas" Nr="20.3.2.1.1" Abbr="20.3.2.1.1 p." DocPartId="1e9c68f99db6451182d53280eacc29d0" PartId="e6f972d25a3b4b43bad4be8fe764ab64"/>
                <Part Type="punktas" Nr="20.3.2.1.2" Abbr="20.3.2.1.2 p." DocPartId="46c3b50b5b53484cbb6a5a541fc9e3c8" PartId="da27cb6070da4322b7230b4b7840cf06"/>
              </Part>
              <Part Type="punktas" Nr="20.3.2.2" Abbr="20.3.2.2 p." DocPartId="7e18e0c4a5ad429792c8bc7feb5c33e2" PartId="da8bc48477d3433f8fc2903a41db5ecb"/>
              <Part Type="punktas" Nr="20.3.2.3" Abbr="20.3.2.3 p." DocPartId="5efa223950f540318974b701ff9255de" PartId="0b6739e8134642049996d2bd881708f1"/>
              <Part Type="punktas" Nr="20.3.2.4" Abbr="20.3.2.4 p." DocPartId="4ea483c634d84e258b6a4254134f11b8" PartId="75e75b6c5b3a41899651ed905bb5c90d"/>
            </Part>
          </Part>
        </Part>
        <Part Type="punktas" Nr="21" Abbr="21 p." DocPartId="94657318467a4fd18999fb45cecc2c35" PartId="9ca14d77d8884821be18b4769d0a2002">
          <Part Type="punktas" Nr="21.1" Abbr="21.1 p." DocPartId="66651fb7c64f4c7fb3337a05bd732bf9" PartId="10cc8b066b7c45a1b25dbcf73c017b54">
            <Part Type="punktas" Nr="21.1.1" Abbr="21.1.1 p." DocPartId="9cd3b5661fee443db5b0a5a57f468ce3" PartId="a16a1731ea3f4f1bbcc79c4647d3a75f"/>
            <Part Type="punktas" Nr="21.1.2" Abbr="21.1.2 p." DocPartId="33e6f121fac1418d8ca946ddacde8762" PartId="3db97ea6bfbb4e94ba5d3c83edebd9f6"/>
            <Part Type="punktas" Nr="21.1.3" Abbr="21.1.3 p." DocPartId="a4b8a8cec50a4b0ba467a821c52478b1" PartId="1ef72b0efcd34c57a8d5fdc710dcf704"/>
            <Part Type="punktas" Nr="21.1.4" Abbr="21.1.4 p." DocPartId="40207e9aa586426e81d4395fd7ef566a" PartId="efb4fe679363412ab57047eccf0a51e5"/>
          </Part>
          <Part Type="punktas" Nr="21.2" Abbr="21.2 p." DocPartId="54fb35ba3f784c56b559885f244c07df" PartId="5b8cfb64c5934e0798af5971da93f624">
            <Part Type="punktas" Nr="21.2.1" Abbr="21.2.1 p." DocPartId="1ca2d4747eb146879b9df818ad43cbfe" PartId="6565ac89febb4d969202c12316c6c9f9"/>
            <Part Type="punktas" Nr="21.2.1-1" Abbr="21.2.1-1 p." DocPartId="69641d074d814184893e3f83b2ce7c6c" PartId="c9b72119c6e14fa2b6490a960394b484">
              <Part Type="punktas" Nr="21.2.1-1.1" Abbr="21.2.1-1.1 p." DocPartId="a8820a53442b43fc90278d617423ece8" PartId="349c520bf33b4c28afee4c30076b5a08"/>
              <Part Type="punktas" Nr="21.2.1-1.2" Abbr="21.2.1-1.2 p." DocPartId="f3eaaf9243664c93a6f0ed80d404f070" PartId="f5a2f32376a6439da794509b91b0cc7a"/>
              <Part Type="punktas" Nr="21.2.1-1.3" Abbr="21.2.1-1.3 p." DocPartId="71a6ba83e16d48588ef322b40db87832" PartId="dcce056b4277482598b0fa0f3d45e903"/>
            </Part>
            <Part Type="punktas" Nr="21.2.2" Abbr="21.2.2 p." DocPartId="3c2441bcc5c34b1fa8cfa50eaf7b0ba0" PartId="efda8a2bbbf54881859522b16dceb1c3"/>
            <Part Type="punktas" Nr="21.2.3" Abbr="21.2.3 p." DocPartId="e50ca0cbde464a6bb5df74c812bd7235" PartId="4402dd3cc3a64ca581d19c5517909ecc"/>
            <Part Type="punktas" Nr="21.2.4" Abbr="21.2.4 p." DocPartId="57878cf84c3544e081e245bcf019c714" PartId="7630814edb97464786a27ad643d158ed"/>
            <Part Type="punktas" Nr="21.2.5" Abbr="21.2.5 p." DocPartId="f60181bbf20a4bd886051d555cb32273" PartId="4212707b92e047398840c8602f008581"/>
            <Part Type="punktas" Nr="21.2.6" Abbr="21.2.6 p." DocPartId="08f5e89355e4443d8ded0cdbf0882ba6" PartId="5c6c5c6a912c484da070e88bcfeb6693"/>
          </Part>
          <Part Type="punktas" Nr="21.3" Abbr="21.3 p." DocPartId="3f452b60645b4c6e84bf48c8c01638f6" PartId="a392c3303e3a4ef690bcf14daf3b9af5"/>
          <Part Type="punktas" Nr="21.4" Abbr="21.4 p." DocPartId="0b783ba408314373b4ef44f90a94bb30" PartId="32894447b6d641039e22595c70f853f9"/>
          <Part Type="punktas" Nr="21.5" Abbr="21.5 p." DocPartId="644efda4854a4f55a4270b49c007427b" PartId="5ee5b6753f4a40f9977dbedb29ae87f9"/>
        </Part>
        <Part Type="punktas" Nr="22" Abbr="22 p." DocPartId="301e0e07915d4453905b9a4588af632d" PartId="0c1be9c077184ea0970db99f43b575f6">
          <Part Type="punktas" Nr="22.1" Abbr="22.1 p." DocPartId="a4ef4907ffca4fb7bd37e4b5dc9e3b36" PartId="990774b317da4cf89be5cd17bfae6585"/>
          <Part Type="punktas" Nr="22.2" Abbr="22.2 p." DocPartId="f12f5b98fcc84216bc1c2bb8c012e547" PartId="ef1804b1aaff4aa4bf3d26c64418917d">
            <Part Type="punktas" Nr="22.2.1" Abbr="22.2.1 p." DocPartId="9c8be102737443c580192720300a8564" PartId="d7fd05e763d248b19a651ab30e50a124"/>
            <Part Type="punktas" Nr="22.2.2" Abbr="22.2.2 p." DocPartId="1d5427b89ea3474ca392f51eb28860ec" PartId="980047efcb3b4c58b357883b60764f5f"/>
            <Part Type="punktas" Nr="22.2.3" Abbr="22.2.3 p." DocPartId="312422ceec354cb9b206a3a180a28968" PartId="a499b4f9a0b741908b544d2847084547"/>
            <Part Type="punktas" Nr="22.2.4" Abbr="22.2.4 p." DocPartId="e4f296d2c29644c6a7b1b7167d02e0e2" PartId="cd2536e7bc6a418c954cb7a493bcefac"/>
          </Part>
        </Part>
        <Part Type="punktas" Nr="23" Abbr="23 p." DocPartId="3db923a76a8a4160ac86c156d39be531" PartId="3431f4b7d25f4509be9727bc3079206d">
          <Part Type="punktas" Nr="23.1" Abbr="23.1 p." DocPartId="32d4cac566fe4407810f1e369c9b9090" PartId="448d43b17c8e4994a1e72c275eb4bc0f"/>
          <Part Type="punktas" Nr="23.2" Abbr="23.2 p." DocPartId="c765364537bf45f4b65fc88e8387838f" PartId="1e07cacfcfa740d19d1219fff60dc4a5"/>
        </Part>
        <Part Type="punktas" Nr="24" Abbr="24 p." DocPartId="02caafdaf12447ae83362595202fe19c" PartId="a3e82ab1ab0c46dd8f180b70cb0d898c"/>
        <Part Type="punktas" Nr="25" Abbr="25 p." DocPartId="b2b82ac164b44e40bbe5e4931145eeae" PartId="55297606b30d4b23ad851045fd37df9d"/>
        <Part Type="punktas" Nr="26" Abbr="26 p." DocPartId="528ccb10da65474fb0b7c6c0da1567eb" PartId="f8c5c92639e04387ace3a83df900cd5f"/>
        <Part Type="punktas" Nr="27" Abbr="27 p." DocPartId="afc1a0e0a6a14396b673da21e6ec800c" PartId="b667d58df9c441058ab2270a0def4231"/>
        <Part Type="punktas" Nr="27-1" Abbr="27-1 p." DocPartId="45497b7a499f41c7a799c66e1e53e1bb" PartId="25fe8608b0a04c95aba96df8e8e0fcca"/>
        <Part Type="punktas" Nr="27-2" Abbr="27-2 p." DocPartId="9fb7b37cfefc4bfba9c0c9442a3e656c" PartId="a6146b2bef5b45d897e734b78540f84c">
          <Part Type="punktas" Nr="27-2.1" Abbr="27-2.1 p." DocPartId="9050b265560645adbf30260e42b2793b" PartId="1fd6ca38bf344def80869b11683bf7d4"/>
          <Part Type="punktas" Nr="27-2.2" Abbr="27-2.2 p." DocPartId="8137140bc0f641db8c4687ef21a16d59" PartId="b1203fbb6b124c869b85ab569e42500a"/>
          <Part Type="punktas" Nr="27-2.3" Abbr="27-2.3 p." DocPartId="a869b247043349febdd76320e95faf81" PartId="c8aee767536d4a06996cff45bdd6d471"/>
          <Part Type="punktas" Nr="27-2.4" Abbr="27-2.4 p." DocPartId="22f67da15e2549df9a537d7e52d658e1" PartId="49cea0971b9b46428853308ee18eb7f1"/>
        </Part>
        <Part Type="punktas" Nr="28" Abbr="28 p." DocPartId="89c7f33c21fb4cfba7ce22d5b2b4779f" PartId="99420554c7894de698acb6a6486c71a9">
          <Part Type="papunktis" Nr="28.1" Abbr="28.1 pp." DocPartId="c60060e72d71421792fd50a1b8577eb9" PartId="21f0506564da4056a21f60629dced752"/>
          <Part Type="papunktis" Nr="28.2" Abbr="28.2 pp." DocPartId="3582299156304bb8b54e27c197c8a413" PartId="79f275d98fb14eabb0f0776109be814d"/>
        </Part>
        <Part Type="punktas" Nr="29" Abbr="29 p." DocPartId="cf942f76c70e468d93e76d6044c393c7" PartId="501616ec8ff648b0a6b3fd3abebe7ed1">
          <Part Type="punktas" Nr="29.1" Abbr="29.1 p." DocPartId="18cc7b4f771849da89417a98575c8deb" PartId="7573e1685f714ba3832c2208139ee8d4"/>
          <Part Type="punktas" Nr="29.2" Abbr="29.2 p." DocPartId="4ed6facd9b494324bd8ed128b62e26d1" PartId="78c7536139d044619386796ccc66f4ab"/>
          <Part Type="punktas" Nr="29.3" Abbr="29.3 p." DocPartId="077ed63170b746c2a5a12f2ebaad3183" PartId="0760e5266d6e45e4a06064e53bc452e7"/>
          <Part Type="punktas" Nr="29.4" Abbr="29.4 p." DocPartId="1e81f61d2d5c48a3a708aedbb2bd2794" PartId="388502e347c94c2dbe5652b49d21d890"/>
          <Part Type="punktas" Nr="29.5" Abbr="29.5 p." DocPartId="d3dd500b4faf40dbbd74eebf231942a0" PartId="a7e2f6bd121b402bb88a80255f3dc008"/>
        </Part>
        <Part Type="punktas" Nr="29-1" Abbr="29-1 p." DocPartId="d18ef42a0da94215abea7948d2964049" PartId="d21d3aa4d9564f358eb7074c1b4aa5eb"/>
        <Part Type="punktas" Nr="30" Abbr="30 p." DocPartId="7a698c2220bf4699ab67572bdb545c7e" PartId="316fadfe7e37471897191408932849b0"/>
        <Part Type="punktas" Nr="31" Abbr="31 p." DocPartId="a53378af28d1475ca04b395ae34305a1" PartId="080cddc376fe4078a0c8c376dd1d5e67">
          <Part Type="punktas" Nr="31.1" Abbr="31.1 p." DocPartId="5285fa5f3c714bc9a212d2214e36e142" PartId="13d942d6a36045de8b0a4003a1c32298"/>
          <Part Type="punktas" Nr="31.2" Abbr="31.2 p." DocPartId="10c0aaaf468e4b7baabdc947388c02a2" PartId="e614cef3de1d45098f157e309e3aa0b2"/>
          <Part Type="punktas" Nr="31.3" Abbr="31.3 p." DocPartId="0f212c92fc41480f86deb4341341662c" PartId="2d6f220a11bc4a1b9122013ae1b44217"/>
          <Part Type="punktas" Nr="31.4" Abbr="31.4 p." DocPartId="c187642c2e1a49e69ae4ce97541771ca" PartId="df5518129592483d9d40246fa9f7bf45"/>
        </Part>
        <Part Type="punktas" Nr="31-1" Abbr="31-1 p." DocPartId="10d62b130d63432d8efaf539147e4f04" PartId="3bc7b9fbf96b403c9fe7b863af93e9b2"/>
      </Part>
    </Part>
    <Part Type="skyrius" Nr="3" Title="ELEKTROS ENERGIJOS PERDAVIMO IR SKIRSTYMO VERSLO VIENETO PASLAUGŲ KAINODARA" DocPartId="aeb2abb39b2e4038aea429e0f04463c1" PartId="92ad53a6647840708073450e0025a949">
      <Part Type="skirsnis" Nr="1" Title="LRAIC MODELIO TAIKYMAS" DocPartId="bde2cf68c96e44ed957db004f5bf7934" PartId="d69f3afbefe34f7e99baeaed13ab36d3">
        <Part Type="punktas" Nr="32" Abbr="32 p." DocPartId="3436b4805f054b12a7d8e16f2fb2b56c" PartId="6b2732cf5a8f48698a263ecd9d760434">
          <Part Type="punktas" Nr="32.1" Abbr="32.1 p." DocPartId="ac74c1b31b204263b5825a90d227783d" PartId="7afec7f10f744eda920cdf2e00b751cd">
            <Part Type="punktas" Nr="32.1.1" Abbr="32.1.1 p." DocPartId="f7ec919c22d44efbbf9ba258599e35da" PartId="dacf653e81004660b37069d2fad4c680"/>
            <Part Type="punktas" Nr="32.1.2" Abbr="32.1.2 p." DocPartId="e268d4da2edb41568d89588dee893674" PartId="d3929d752a94465d8224e2be3754d6f8"/>
          </Part>
          <Part Type="punktas" Nr="32.2" Abbr="32.2 p." DocPartId="3419e079c39047fda91e3ea08fc42e31" PartId="775942b33c0b49a3a7464b645d7dab9a"/>
          <Part Type="punktas" Nr="32.3" Abbr="32.3 p." DocPartId="c91c2c68daa1488fb99ab2bcceda8007" PartId="0ded615d3e444baa8af9fb424bc49ea5"/>
          <Part Type="punktas" Nr="32.4" Abbr="32.4 p." DocPartId="9280b53684c9407fbac856a84e8d4d48" PartId="631c52b8f7734f1fa77f10f6afcbb58e"/>
        </Part>
        <Part Type="punktas" Nr="33" Abbr="33 p." DocPartId="885681536b4248ecbcfea26256689c3b" PartId="d4a67b134cc449d7aa2cc7e5b74a4cf4">
          <Part Type="punktas" Nr="33.1" Abbr="33.1 p." DocPartId="da8f49620cab4a3297fed60b166e6c16" PartId="08ad5e8ff6684d01a824b6b5379466f3"/>
          <Part Type="punktas" Nr="33.2" Abbr="33.2 p." DocPartId="329e90ea550244d3b3be1de0b395b618" PartId="b6b166c6aaee4db99c411ee28995f9f7"/>
          <Part Type="punktas" Nr="33.3" Abbr="33.3 p." DocPartId="681b371861294346b62782d099e62d83" PartId="1afe28fad7664a0b8072da77c110c02a"/>
          <Part Type="punktas" Nr="33.4" Abbr="33.4 p." DocPartId="3a35782f20ee44918c55b1bc926eea52" PartId="de23b2d4999e43fd9e870fee30e4a37d"/>
          <Part Type="punktas" Nr="33.5" Abbr="33.5 p." DocPartId="6cbf2f5e5d6342cc80ef84327dadf473" PartId="fa0d36174aeb48babff4a69062fc9833"/>
          <Part Type="punktas" Nr="33.6" Abbr="33.6 p." DocPartId="cbba258fef504063832681dbc38c2b20" PartId="d5997ea059b64a2dacef8ff410bbc5a3"/>
          <Part Type="punktas" Nr="33.7" Abbr="33.7 p." DocPartId="ed971f48eaa347de8b0a4ae0af4e6093" PartId="ea8bab7caacf49a098122e57546e0317"/>
          <Part Type="punktas" Nr="33.8" Abbr="33.8 p." DocPartId="ccc596f725a24d7a810d09837e5a98c5" PartId="901564fb174a4ebea53f0f0cc8e4efe3"/>
          <Part Type="punktas" Nr="33.9" Abbr="33.9 p." DocPartId="b0e5b9aafa0644e8ab75fdff35758b3b" PartId="3a851d312b29458a9961e931076c5149"/>
          <Part Type="punktas" Nr="33.10" Abbr="33.10 p." DocPartId="2efabf9fe5a34d34bf73ccccbbd33bd3" PartId="66591517dc6b49eea428145f43cfd76d"/>
          <Part Type="punktas" Nr="33.11" Abbr="33.11 p." DocPartId="22bd893f8da64b618f3d369c252aa915" PartId="1e8a39d226eb44d48d81d807b3d162ca"/>
          <Part Type="punktas" Nr="33.12" Abbr="33.12 p." DocPartId="ceda84da762c490db360a4fea1abac1b" PartId="ad833366d1b44a0c9194f8dd97d441bb"/>
          <Part Type="punktas" Nr="33.13" Abbr="33.13 p." DocPartId="3048faf527c24a85982a6a5066837859" PartId="d1f202d99ebd4f01a3cec3ad9a7591e4"/>
          <Part Type="punktas" Nr="33.14" Abbr="33.14 p." DocPartId="d22bc464f86440b7a6dc0a1445cb8851" PartId="82e6df68dc3a46cbb740862b33633436"/>
          <Part Type="punktas" Nr="33.15" Abbr="33.15 p." DocPartId="d85afd243c60446b88ddf2bcd186fe47" PartId="253404aba63e4742b4779d1c8a806f3d"/>
          <Part Type="punktas" Nr="33.16" Abbr="33.16 p." DocPartId="2388ac7932984dd1afa1a7c4395743da" PartId="797371b043b24e43a82a3b30cf58d3ec"/>
          <Part Type="punktas" Nr="33.17" Abbr="33.17 p." DocPartId="01ea077990d84d02899ad7c1a55849df" PartId="e12a5fee30d046b59815f7f5c0acfc11"/>
        </Part>
      </Part>
      <Part Type="skirsnis" Nr="2" Title="PERDAVIMO AUKŠTOS ĮTAMPOS TINKLAIS PASLAUGOS KAINODARA" DocPartId="9eb13f727aa84e129c2f2ae6e4512ea7" PartId="8ed38321041443e4bc3b4a48d4786259">
        <Part Type="punktas" Nr="34" Abbr="34 p." DocPartId="4eb77d29139b4663b5ff5503e20bd67f" PartId="ffa33668b8754ef880c10d0ae79e1559"/>
        <Part Type="punktas" Nr="35" Abbr="35 p." DocPartId="b6da9459b19849648924e71f79e1a982" PartId="dd510abff70a4479939c5d3f221b0f01">
          <Part Type="punktas" Nr="35.1" Abbr="35.1 p." DocPartId="e82ac80c701146d4ae536467a7eb08e1" PartId="2518e94d39814822bdf99504ee913d30"/>
          <Part Type="punktas" Nr="35.2" Abbr="35.2 p." DocPartId="b5c220f733c14dbca913a1fda35aae2d" PartId="be5ee7e61886424a9d027273c19659e2"/>
        </Part>
        <Part Type="punktas" Nr="36" Abbr="36 p." DocPartId="08177a94c07e4ce0bc8e43f230b686c2" PartId="a0204c11b3ed4dad9d679ed5ef400b1b"/>
        <Part Type="punktas" Nr="37" Abbr="37 p." DocPartId="69d773b92a26497fb2a40257620b7414" PartId="b9264b5a72fb4a29b32837dcd64379c7"/>
        <Part Type="punktas" Nr="38" Abbr="38 p." DocPartId="5a1a33a0b5414295863b11aa9d0f018b" PartId="add94b8186214b6ab28ff8cbb09e620c"/>
        <Part Type="punktas" Nr="39" Abbr="39 p." DocPartId="7e3549f240274abda363baa168f5632f" PartId="5c82052a00344b35af09840af6f45b58"/>
        <Part Type="punktas" Nr="40" Abbr="40 p." DocPartId="c47f066b202444c99805e5bbd223438b" PartId="e6d46b7e87f048f28323373a4c9445ea"/>
        <Part Type="punktas" Nr="41" Abbr="41 p." DocPartId="b270eb1ceb2743cea62abaaaf3998738" PartId="07e3f00c283f45c5b66df5fba347adb7"/>
        <Part Type="punktas" Nr="41-1" Abbr="41-1 p." DocPartId="921a8e8dd4154184884a1ec467e53030" PartId="98883549e96c44018e7c82fdee5e14db"/>
        <Part Type="punktas" Nr="41-2" Abbr="41-2 p." DocPartId="c89f1592207e4651a02e554dff6c7ee0" PartId="0e98b15efec1443b8e7ecfec43c1f548"/>
        <Part Type="punktas" Nr="41-3" Abbr="41-3 p." DocPartId="6c75ab96a9e84954afff03938e337db2" PartId="9103a363ea78473f99a055f76a95024c"/>
      </Part>
      <Part Type="skirsnis" Nr="3" Title="„TREČIASIS SKIRSNIS PERDAVIMO PASLAUGOS AUKŠTOS ĮTAMPOS TINKLAIS KAINOS VIRŠUTINĖS RIBOS NUSTATYMAS IR KOREGAVIMAS“" DocPartId="20ec3ccabf9644fe872c32709d448c33" PartId="13182d181ffe4a759299e9803af06085">
        <Part Type="punktas" Nr="42" Abbr="42 p." DocPartId="0596523510e34cc9b6367a48faa17262" PartId="4fe9ff653e894640b029d467a566534c"/>
        <Part Type="punktas" Nr="43" Abbr="43 p." DocPartId="b5f9997014b64739886c65c55f134798" PartId="c3cfc75fc03e45d1bb9c6bbfe4cfa44e"/>
        <Part Type="punktas" Nr="44" Abbr="44 p." DocPartId="7fd35ba71ee94b2e95010dbfa9ec43af" PartId="cb4fa5fcf64c4cf388148cf45b96fbf8"/>
        <Part Type="punktas" Nr="45" Abbr="45 p." DocPartId="72eb0af75e9a4d41852137a93613d6db" PartId="f1bcca591126468d84018623972c9729"/>
        <Part Type="punktas" Nr="46" Abbr="46 p." DocPartId="233ed392209844b9993e18b7dd71288f" PartId="29744737fffe4f8f9f862c850e6aa0b6"/>
        <Part Type="punktas" Nr="47" Abbr="47 p." DocPartId="6217a358ace5453897567c286da2f3eb" PartId="34664b46065748b8bd3daf9c400fa41e"/>
        <Part Type="punktas" Nr="47-1" Abbr="47-1 p." DocPartId="6d4acbfd36c7457a911d48eeac6bc78e" PartId="8c35e16dca8b41cb9f83dcdb385cd1f2"/>
        <Part Type="punktas" Nr="48" Abbr="48 p." DocPartId="9cb1167cacd14996884b0e49f3770819" PartId="57eb349d03194ad3ae57942343605479"/>
        <Part Type="punktas" Nr="49" Abbr="49 p." DocPartId="27868e2471ec47cba8c8fa977da9887c" PartId="9274f37809a949e887539fbf882b13dd"/>
        <Part Type="punktas" Nr="50" Abbr="50 p." DocPartId="31f3dfc3ed904a7c85f80c095ed7ed4f" PartId="a790959cac8342fdb17a306578b7e572"/>
        <Part Type="punktas" Nr="51" Abbr="51 p." DocPartId="43f884daebf547208f46b4e265e5c656" PartId="c4ead16cd4db4574b6b19d13d6228c25"/>
        <Part Type="punktas" Nr="52" Abbr="52 p." DocPartId="330021a8c8b94aef919771b0e04a0121" PartId="7b93a8d7787d4b52bfdbcb75db2047c3"/>
      </Part>
      <Part Type="skirsnis" Nr="4" Title="PERDAVIMO TINKLO VALDYMO PASLAUGOS PASTOVIOSIOS KAINOS DALIES NUSTATYMAS" DocPartId="6719cbdd89da4c37a118639e84388c7d" PartId="8ddc6e6e3226417fa60b63cbb82a157f"/>
      <Part Type="skirsnis" Nr="5" Title="SKIRSTYMO PASLAUGOS VIDUTINĖS IR ŽEMOS ĮTAMPOS TINKLAIS KAINODARA" DocPartId="531d2e1c7c4d4b0e98c14ead986755f0" PartId="f88184b4e75f4a1aad1941e4c5a268c5">
        <Part Type="punktas" Nr="59" Abbr="59 p." DocPartId="970b7c8ba5fb4d51a8da03fba29f2577" PartId="f88cb8284b3c493890cfa56a15d40959"/>
        <Part Type="punktas" Nr="60" Abbr="60 p." DocPartId="9def9d0180ef4a08af7502386f6b35e2" PartId="926f0ee2b3a543dca6cd7554c8def79b"/>
        <Part Type="punktas" Nr="61" Abbr="61 p." DocPartId="36a7000669f24672897601dae30d11a3" PartId="3454d2ab2f1b4580b9d15221e453e257"/>
        <Part Type="punktas" Nr="62" Abbr="62 p." DocPartId="8be5fb5eb2c34886a50cc5573a60151b" PartId="20052088cb704200b39b7f01b3132366"/>
        <Part Type="punktas" Nr="63" Abbr="63 p." DocPartId="f6ecfd4444d04493a28b680aa399754d" PartId="d7dae9dd67c147c5a381c51ec83318a6">
          <Part Type="punktas" Nr="63.1" Abbr="63.1 p." DocPartId="224fbdf22877495ebcd9ecae14793cdc" PartId="b03bd65cd26f40b8b1715de59d9f6cd1"/>
          <Part Type="punktas" Nr="63.2" Abbr="63.2 p." DocPartId="b0504313e6fa486185185177023c440b" PartId="2b3e8a0bd5554d869bcfc66ee0b98a65"/>
          <Part Type="punktas" Nr="63.3" Abbr="63.3 p." DocPartId="d64890a175e64d9c95b91472bae48ed0" PartId="7b4fe49815774337a2fe0b64179f56c7"/>
          <Part Type="punktas" Nr="63.4" Abbr="63.4 p." DocPartId="69dbbb068926457cba92abeacea0ce81" PartId="35ce636404b6471ca9d476b866e0a01e"/>
        </Part>
        <Part Type="punktas" Nr="64" Abbr="64 p." DocPartId="c35aa5bd4b694d2fb0637d50070bcece" PartId="80b590c5a4454101beb0ce1c6c40ec99">
          <Part Type="punktas" Nr="64.1" Abbr="64.1 p." DocPartId="96cf3b7904cd47de93a53123f1230df1" PartId="ad25d39b81444a86a55b45be1e83d56b"/>
          <Part Type="punktas" Nr="64.2" Abbr="64.2 p." DocPartId="60e1916520654803b5ee13fa20a62620" PartId="1b1f28da55974e2789eac8ef1eff08eb"/>
        </Part>
        <Part Type="punktas" Nr="65" Abbr="65 p." DocPartId="9ff2be9b498d41019838b6ce75529e62" PartId="080115d895144184bf02ca11cdf9ca9f">
          <Part Type="punktas" Nr="65.1" Abbr="65.1 p." DocPartId="754739a02ccd45c983721b88c58334fe" PartId="c175613a9a684efdb997ec666f94cdc0"/>
          <Part Type="punktas" Nr="65.2" Abbr="65.2 p." DocPartId="e90f3b9021704a17bb6ed101df13e53a" PartId="e4dd94d141d54170935d1682ea37110c"/>
        </Part>
        <Part Type="punktas" Nr="66" Abbr="66 p." DocPartId="a8d63cbd7f9c470c8e8bdb467408333e" PartId="2cb133c582f749c2b0df7d4b1f9f75fd">
          <Part Type="punktas" Nr="66.1" Abbr="66.1 p." DocPartId="8797d29dcba44c6bad0b678f36df9c56" PartId="340c57df08fb410dab62648caf14af44"/>
          <Part Type="punktas" Nr="66.2" Abbr="66.2 p." DocPartId="2139a89ec01d415199cae6992d377eb6" PartId="0994c961094b43f1b48cfb713c78b889"/>
        </Part>
        <Part Type="punktas" Nr="67" Abbr="67 p." DocPartId="8dc8945e427c47b796b3924a9c43f93a" PartId="9a1597f33d724eba9c4cc5c63f7fcb3c">
          <Part Type="punktas" Nr="67.1" Abbr="67.1 p." DocPartId="d7b27cdc186745a4a9211bd42041aecc" PartId="ae7e15d86bbd4a7f927e6cbcb4971792"/>
          <Part Type="punktas" Nr="67.2" Abbr="67.2 p." DocPartId="41214a80bc1b41f3b2be572be19ffafb" PartId="3db11e26b8964bf5b386845f56c57ec2"/>
        </Part>
        <Part Type="punktas" Nr="68" Abbr="68 p." DocPartId="b21c5bcf0663474ba65f6fffab96cd5e" PartId="522501319dc94bb3bd1eac82b19500ef"/>
        <Part Type="punktas" Nr="69" Abbr="69 p." DocPartId="3714f8d94d7743d19eafa50a6edc7f36" PartId="eb35f36f476a4d8089757dcf08e569a5"/>
        <Part Type="punktas" Nr="70" Abbr="70 p." DocPartId="0aa456e0c5204f28aecf35a1b64d82db" PartId="0b4e43af05d44611a06f6d7bea1116ca"/>
        <Part Type="punktas" Nr="71" Abbr="71 p." DocPartId="161a026b794d409a85318972f3aa6583" PartId="10a8da1aa3b7405c94034d3a7880bac8"/>
      </Part>
      <Part Type="skirsnis" Nr="6" Title="„ŠEŠTASIS SKIRSNIS SKIRSTYMO ŽEMOS IR VIDUTINĖS ĮTAMPOS TINKLAIS PASLAUGOS KAINOS VIRŠUTINĖS RIBOS NUSTATYMAS IR KOREGAVIMAS“" DocPartId="4134896815ce437e9c633476e3db6448" PartId="4c3b49c5d6004535876b251115b2f576">
        <Part Type="punktas" Nr="72" Abbr="72 p." DocPartId="3f23de7b62e043a9804f4051fbbc1ba3" PartId="c397b10889c340a2bb32b50ebb669216"/>
        <Part Type="punktas" Nr="73" Abbr="73 p." DocPartId="784d655024ad4285806aba15bf109af2" PartId="cc285e55730f4420a5746e6637ad23a4"/>
        <Part Type="punktas" Nr="74" Abbr="74 p." DocPartId="5edc86ba2959417aa6f80d0f83e6f14c" PartId="64ce8331903044ce822c8e85f23396aa"/>
        <Part Type="punktas" Nr="75" Abbr="75 p." DocPartId="8e22743784564c48902e22f377d909f0" PartId="1a82922ff1ba4ceda93618d869df7331"/>
        <Part Type="punktas" Nr="76" Abbr="76 p." DocPartId="3a443179329149ee837cdf8443d63474" PartId="d07c313857b347d784c5cbfeec54b757"/>
        <Part Type="punktas" Nr="77" Abbr="77 p." DocPartId="d0e53e274d004d9ab7fa76b4c211f0a5" PartId="b8c46bf5b0f44047ad875578437ca3c2"/>
        <Part Type="punktas" Nr="77-1" Abbr="77-1 p." DocPartId="6f7f4657a247473d94b68cb71b5958e4" PartId="66458081e7a64334adcf508c4efdeb08"/>
        <Part Type="punktas" Nr="78" Abbr="78 p." DocPartId="3d13c6efe5154a98bc2101685ede269d" PartId="18fb695b7f474088968159b4f52bed5e"/>
        <Part Type="punktas" Nr="79" Abbr="79 p." DocPartId="965d5c63862247edbbf3dae3eaedc2d7" PartId="1bd0b22cf83c4fb49ebd1fc455e78e09"/>
        <Part Type="punktas" Nr="80" Abbr="80 p." DocPartId="ce53486ea5e544089cb35a7e509d7f51" PartId="9a8aac153f454bcf8feff75b31e5a099"/>
        <Part Type="punktas" Nr="81" Abbr="81 p." DocPartId="16b41b059ad645c99817eefdf703f800" PartId="1d0b0e608478432f8aebd8ee5fa157ee"/>
        <Part Type="punktas" Nr="82" Abbr="82 p." DocPartId="62bcb4ae60c74a3f9fffe41e2fdf60bc" PartId="4f898f2ff51342d1ac68f14ab6824599"/>
      </Part>
    </Part>
    <Part Type="skyrius" Nr="4" Title="„IV SKYRIUS ĮMONIŲ, BESIVERČIANČIŲ SKIRSTYMO VEIKLA, KURIŲ VEIKLOS TERITORIJOJE ESANČIŲ VARTOTOJŲ SKAIČIUS MAŽESNIS NEI 100 TŪKSTANČIŲ, KAINŲ VIRŠUTINIŲ RIBŲ NUSTATYMAS IR KOREGAVIMAS“" DocPartId="ef0a5335388f49778279f1af72d98c34" PartId="7d668372387b4d80933ceb9892c81718">
      <Part Type="punktas" Nr="83" Abbr="83 p." DocPartId="c4b4ab0e0698441c8c4398dbce796f82" PartId="d2f43d752fad4c99867c52fd77e7dc5b"/>
      <Part Type="punktas" Nr="84" Abbr="84 p." DocPartId="1b19e1bb5b724c4b97b37a120babca4a" PartId="b72322a4e7dd4567a39dfcd92a5e827e"/>
      <Part Type="punktas" Nr="85" Abbr="85 p." DocPartId="2699098779674abfa2980100410e9f01" PartId="7e856ca441694ac8927c65af01ee0706"/>
      <Part Type="punktas" Nr="86" Abbr="86 p." DocPartId="fb50fb6a990d4a8bad35a181e94696ac" PartId="326bb30de7c2464480a750ca2757a900"/>
      <Part Type="punktas" Nr="87" Abbr="87 p." DocPartId="a9177564def345b3be81451ca5889b82" PartId="ed2d73025f734e709eda76e5df5614c7"/>
      <Part Type="punktas" Nr="88" Abbr="88 p." DocPartId="39f177e8ab2c438e94c676a55e5df435" PartId="8e7d4895794e43bfb7782b262f6fe43f"/>
      <Part Type="punktas" Nr="89" Abbr="89 p." DocPartId="ac50dec955fc438c81625f1344f87b12" PartId="efe0d3187253498d8c46acf555b4e518"/>
      <Part Type="punktas" Nr="90" Abbr="90 p." DocPartId="eff548761f9547cba9d0d325dc49c4b6" PartId="b32db6115d69465aa0dcc8559b535ac8"/>
      <Part Type="punktas" Nr="91" Abbr="91 p." DocPartId="7eca75b690f848fdb8130daaaa44f608" PartId="e770bff15cb443e8b94ae66ed388f027"/>
      <Part Type="punktas" Nr="92" Abbr="92 p." DocPartId="cb59e199aeb543869d6c2b898959755f" PartId="9c40e40bb9024d149402fa2d458e35b9"/>
      <Part Type="punktas" Nr="93" Abbr="93 p." DocPartId="7656a9a9391249368b25502278e44623" PartId="94d7b9d37a334c4caca33c1aec8da0f1"/>
      <Part Type="punktas" Nr="94" Abbr="94 p." DocPartId="fb32664327034c49b682001ff828f7a3" PartId="dacf1b08a81d4cfeb6736acfa0e05cb0"/>
      <Part Type="punktas" Nr="95" Abbr="95 p." DocPartId="5e84f53c10804340b54c768e34c06bfb" PartId="cfd52f0a7a0a437fa2d3d21938820d65"/>
      <Part Type="punktas" Nr="96" Abbr="96 p." DocPartId="dfcae0047d214ea39d81d518adbfd1dc" PartId="6a922ff9f2a24eb2b000d23a0a64d94e"/>
    </Part>
    <Part Type="skyrius" Nr="5" Title="„V SKYRIUS VISUOMENINIO TIEKIMO PASLAUGOS KAINOS VIRŠUTINĖS RIBOS NUSTATYMAS IR KOREGAVIMAS“" DocPartId="374117d552e04301a7ef33cd06648067" PartId="24384c1cd70f44f5bc32cee795f53130">
      <Part Type="punktas" Nr="97" Abbr="97 p." DocPartId="eda5a4f268604cdfa9f105cda146835f" PartId="2b32f328553e43d1b7c4d1baac73deae"/>
      <Part Type="punktas" Nr="98" Abbr="98 p." DocPartId="c0eb451f49574849b40db47debfe7d7e" PartId="0eb51f61208448f98a57ee0e9603d8ad"/>
      <Part Type="punktas" Nr="99" Abbr="99 p." DocPartId="86c831b835994a619ff9c8c8ef4ac809" PartId="667f45cd57764cb3b1a133cab4176fb0"/>
      <Part Type="punktas" Nr="100" Abbr="100 p." DocPartId="d9632dd5bfc1457d870d75a7c3e47913" PartId="5bf60eccdaf94a6687a8db3dbfb60803"/>
      <Part Type="punktas" Nr="101" Abbr="101 p." DocPartId="a8e9032c53ba4cfa8543309d6a98fb74" PartId="903338a60c774cea84dee1272dbcc33e"/>
      <Part Type="punktas" Nr="102" Abbr="102 p." DocPartId="3eba46311f484906a80077c1c00e0651" PartId="ea32d233b43f4513b5fc6ca23194beca"/>
      <Part Type="punktas" Nr="103" Abbr="103 p." DocPartId="2f528f19a1fd422d97e9a7bf78a94d03" PartId="ede463a36afb4459a68c93bd063d6111"/>
      <Part Type="punktas" Nr="104" Abbr="104 p." DocPartId="ae5034b7c0bb497eab63ab41b59e7e53" PartId="08559cafabf34b0fbf6539936f77c95f"/>
      <Part Type="punktas" Nr="105" Abbr="105 p." DocPartId="ae735727e76a4daa8e1b1927e79d873d" PartId="b02290178f604653995d31813d2211d5"/>
      <Part Type="punktas" Nr="106" Abbr="106 p." DocPartId="0a3cd77e2f2c447bac0bdaf65e5ad4b5" PartId="529a6f04b39b49bb93a83ad0a1c9bc16"/>
    </Part>
    <Part Type="skyrius" Nr="6" Title="VISUOMENINIŲ KAINŲ VIRŠUTINIŲ RIBŲ NUSTATYMAS" DocPartId="2acda749ed904e0495f38b756a7afa82" PartId="8d0ecf0a66b14fc9891da7927436df7a">
      <Part Type="punktas" Nr="107" Abbr="107 p." DocPartId="bebc8da7e04d4cb8bb3867931ed39a0a" PartId="fb2de30101a04372ab38fa703303e64e"/>
      <Part Type="punktas" Nr="107-1" Abbr="107-1 p." DocPartId="5ed7296a5c7f45e38efc3be600279af7" PartId="976a44bf000c4766a2c664843afe4cf7"/>
      <Part Type="punktas" Nr="107-2" Abbr="107-2 p." DocPartId="3aba05b9984c4e2aae9d05a3a4c6c9fc" PartId="4570bd0a94ec4ecc85bdebc8b39e0860"/>
      <Part Type="punktas" Nr="108" Abbr="108 p." DocPartId="ad0f671ed9ba4d08b84d3dc77144a939" PartId="5d22d755bd5b4ae89af41af36abc2135"/>
      <Part Type="punktas" Nr="109" Abbr="109 p." DocPartId="281fbb9b4e9b4f599b45dc0cfb316841" PartId="20bcc833610d4eb6a949e1f4e99bd21a"/>
      <Part Type="punktas" Nr="109-1" Abbr="109-1 p." DocPartId="a90f4e7f2c6745a6aea79c2bfb7c567e" PartId="338c307b26604048b1681951571d924d"/>
      <Part Type="punktas" Nr="109-2" Abbr="109-2 p." DocPartId="8e120231068d41029b7f26d831c8355e" PartId="2e980fff904c4e129d4495dee559233a"/>
      <Part Type="punktas" Nr="110" Abbr="110 p." DocPartId="47196821a71f41968764cc435cdf759f" PartId="dc233177956d47df8fee2c653947e98b"/>
      <Part Type="punktas" Nr="111" Abbr="111 p." DocPartId="4c0acaac22a04b7abda932efbc9718e9" PartId="181b683834ab401ba49ee548aa434e27"/>
      <Part Type="punktas" Nr="111-1" Abbr="111-1 p." DocPartId="5d9e1beb46574bfabe3a25f7ba2831f1" PartId="8affc7e6c50c46268cdeebea479eccaa"/>
      <Part Type="punktas" Nr="111-2" Abbr="111-2 p." DocPartId="c7cc1f7c5fea4c98b1016444bdf75b6a" PartId="f0a2e220852948e3880dfa071c52d82a"/>
    </Part>
    <Part Type="skyrius" Nr="7" Title="REIKALAVIMAI, SUSIJĘ SU ĮMONIŲ REGULIUOJAMŲ VEIKLŲ KAINŲ IR KAINŲ VIRŠUTINIŲ RIBŲ NUSTATYMU" DocPartId="7eb4c406400c466c86f63a6ef893bad2" PartId="91062acbbca44a6d933028739b86585d">
      <Part Type="punktas" Nr="112" Abbr="112 p." DocPartId="cbae118976b84b8bbcfc51b6bfd52460" PartId="5322b193481a4986a9e46d15c530740a"/>
      <Part Type="punktas" Nr="113" Abbr="113 p." DocPartId="09e585389ee04de78cee3f38b343789a" PartId="1c3f88dd24c04aa3bd490abd485f5f4c"/>
      <Part Type="punktas" Nr="114" Abbr="114 p." DocPartId="f9ed245052194ddca1534c4009a9276a" PartId="b13e241518164bea8498fcf9fb9aca8e"/>
      <Part Type="punktas" Nr="115" Abbr="115 p." DocPartId="756a12ad5c654543820ad9c936634cf6" PartId="0678709eeb3f48e686d3bccedd01e5b0">
        <Part Type="punktas" Nr="115.1" Abbr="115.1 p." DocPartId="e4ee2f5d375e4f529ce2188f7667dc60" PartId="6d70b55309224d9dbc24c463cb9d622e">
          <Part Type="punktas" Nr="115.1.1" Abbr="115.1.1 p." DocPartId="ed9597968b56439ba51b1b046fe992b3" PartId="45293bc5d230476eb21f497949885b35"/>
          <Part Type="punktas" Nr="115.1.2" Abbr="115.1.2 p." DocPartId="370688dd29554f189e0cfd6a1e56e73d" PartId="fbfe2e7503674615a3ecb3166b708ebd"/>
          <Part Type="punktas" Nr="115.1.3" Abbr="115.1.3 p." DocPartId="e9fa32dd8ed744f0b3346424689d1043" PartId="b15e41bd5ef04da4b57420fedc5880a6"/>
          <Part Type="punktas" Nr="115.1.4" Abbr="115.1.4 p." DocPartId="87857c4e94b74879bd0b6cac33fd607c" PartId="b66df574d0ed42ceaa65ea78b6359534"/>
          <Part Type="punktas" Nr="115.1.5" Abbr="115.1.5 p." DocPartId="a052c85a44e248d8af1ddd5af3c8aabd" PartId="70135212cd724622bb715fd93c3091e7"/>
          <Part Type="punktas" Nr="115.1.6" Abbr="115.1.6 p." DocPartId="689ac19911f945138020788263bd688f" PartId="43f980be17a54bb994601993c9c6e7f8"/>
          <Part Type="punktas" Nr="115.1.7" Abbr="115.1.7 p." DocPartId="e49b6e1dfd324b4b97e3d2dafd82ecf7" PartId="b58fe547825947eeaf96cc522bf9da33"/>
          <Part Type="punktas" Nr="115.1.8" Abbr="115.1.8 p." DocPartId="c3639b3b85e44e099a32f1b6f7e4f790" PartId="7b6b186262c1430f9bf6680fc591d69f"/>
          <Part Type="punktas" Nr="115.1.9" Abbr="115.1.9 p." DocPartId="21340359ce7f4ce3af75b6c588855067" PartId="78d0069b13164726a2bb0a2c69440811"/>
          <Part Type="punktas" Nr="115.1.10" Abbr="115.1.10 p." DocPartId="4b6cbb1df4b34cf9b335f803935f4da5" PartId="e213aec5d55e4aeea6944b59b607b416"/>
        </Part>
        <Part Type="punktas" Nr="115.2" Abbr="115.2 p." DocPartId="0e82f09ae3ff427fad3fde0c95c98974" PartId="8f9d2451a8994638989b74f2b850c557">
          <Part Type="punktas" Nr="115.2.1" Abbr="115.2.1 p." DocPartId="c170cc42d2bf4c09ad628991c33971e1" PartId="bf5b0278e4ec4a2280e3c652ea3174fb"/>
          <Part Type="punktas" Nr="115.2.2" Abbr="115.2.2 p." DocPartId="518da1fc70534d328d55280207181809" PartId="c4e5039e95d746bb9a014f2410d939cb"/>
          <Part Type="punktas" Nr="115.2.3" Abbr="115.2.3 p." DocPartId="7f6d3d4a7ec846a6b7ed04dd944a4bfb" PartId="017c5bc2cebb44659362ba541125a19f"/>
          <Part Type="punktas" Nr="115.2.4" Abbr="115.2.4 p." DocPartId="6bdb99c82ac742b6be8350ff19d2bbb8" PartId="cb9dcdd314fd41b2b1afe7866036d8d7"/>
          <Part Type="punktas" Nr="115.2.5" Abbr="115.2.5 p." DocPartId="aa2f9b63ce8b4693a889ee809fd677bd" PartId="43ca4a1251d94038a6d5fa9afb1f4cb1"/>
          <Part Type="punktas" Nr="115.2.6" Abbr="115.2.6 p." DocPartId="e2f154c05d5649d48c671bbf713687e1" PartId="73c0b00113e24595ac4651175612a11b"/>
          <Part Type="punktas" Nr="115.2.7" Abbr="115.2.7 p." DocPartId="75861a01d6ef4eeab1fb9d53d4b74ca7" PartId="8be74bfa1ab040a99cf740dafcefb6b9"/>
          <Part Type="punktas" Nr="115.2.8" Abbr="115.2.8 p." DocPartId="64d7ddd1bfc44bba80f0d5c1890a6be9" PartId="636bf087b7f740f399a58fae0bb6b7d6"/>
          <Part Type="punktas" Nr="115.2.9" Abbr="115.2.9 p." DocPartId="4076e19491f842d79cf88e5be05bebfd" PartId="49ab48c3048045afbfd702d9b0404721"/>
          <Part Type="punktas" Nr="115.2.10" Abbr="115.2.10 p." DocPartId="25ebac11cce54c69b820fbc93c44efd4" PartId="5450d29ae6b24ba780769c22d913b8f0"/>
        </Part>
        <Part Type="punktas" Nr="115.3" Abbr="115.3 p." DocPartId="a67c16b392cb46d2aee844067b6ec9ae" PartId="d6a9e2adbfe5409799b422e46b0cf09f">
          <Part Type="punktas" Nr="115.3.1" Abbr="115.3.1 p." DocPartId="e3943decf6564cd79bc64ebdc80a8704" PartId="2814a966f3944157896dc27b2f698d31"/>
          <Part Type="punktas" Nr="115.3.2" Abbr="115.3.2 p." DocPartId="b164a04c2f7a4162952ae9be848830b5" PartId="3ccb9f988e794968adf7c19b245f2ea3"/>
          <Part Type="punktas" Nr="115.3.3" Abbr="115.3.3 p." DocPartId="fb3bb7de358c4203b34982d4321f3928" PartId="0206f7a565a6407881f7588b6f6a52fc"/>
          <Part Type="punktas" Nr="115.3.4" Abbr="115.3.4 p." DocPartId="bad75e47f23c4a1ab98964dfe304a9b7" PartId="194d17ffbda34fbbbf549816137c39ac"/>
          <Part Type="punktas" Nr="115.3.5" Abbr="115.3.5 p." DocPartId="717120b6640a4a3781c94e9e56827eff" PartId="185209feb6de43b4b5b6e6e8e87e6503"/>
        </Part>
        <Part Type="punktas" Nr="115.4" Abbr="115.4 p." DocPartId="3c07f3a03532448ab10c06fedd962352" PartId="05ad810295c145f2a4acd80f8c92490f">
          <Part Type="punktas" Nr="115.4.1" Abbr="115.4.1 p." DocPartId="6cb6ee3590bc4a69a66a275308dc72bc" PartId="02091d801de245a4b137d6b0b64d3334"/>
          <Part Type="punktas" Nr="115.4.2" Abbr="115.4.2 p." DocPartId="3d07e35d3a6e48b6bf59befaf4350040" PartId="62fdea721cda4ffeb27cd6f70c0e7cdb"/>
        </Part>
      </Part>
      <Part Type="punktas" Nr="115-1" Abbr="115-1 p." DocPartId="b9921b9f1c43443bb1677ced4ddfb4a9" PartId="9c6b351539dd46f990c68286285d2e09">
        <Part Type="punktas" Nr="115-1.1" Abbr="115-1.1p." DocPartId="33bdac443988460292f0f0559225bc51" PartId="ddf48069206d449282d47ddaeca4bcf4">
          <Part Type="papunktis" Nr="115-1.1.1" Abbr="115-1.1.1 pp." DocPartId="4fc2f100822241a9852e97d06c7422ef" PartId="55ea59bca6fe48f08144e147f77e853d"/>
          <Part Type="papunktis" Nr="115-1.1.2" Abbr="115-1.1.2 pp." DocPartId="cd37502ec0854d60a477c01cb08e1ff9" PartId="e8ded0b4cab74d8896f3cee386ccdd86"/>
          <Part Type="papunktis" Nr="115-1.1.3" Abbr="115-1.1.3 pp." DocPartId="50a61b970f1943e3bc34b806a71fe22f" PartId="454418676fba4ed2baf77b13cd01182d"/>
          <Part Type="papunktis" Nr="115-1.2" Abbr="115-1.2 pp." DocPartId="c7eda48ea2784d66a6c0a4992147fc6e" PartId="81d9e7c5ecb64bf292b8350b76729fa0">
            <Part Type="papunktis" Nr="115-1.2.1" Abbr="115-1.2.1 pp." DocPartId="6be3e27be4c242a68a73895f529e8bcb" PartId="7a314ba7f4d942d5b0153280f8ea06ef"/>
            <Part Type="papunktis" Nr="115-1.2.2" Abbr="115-1.2.2 pp." DocPartId="314729dbc16742a896ebacabd562ba8e" PartId="dc4d7c754d6a4a7396ed418c1ba62541"/>
            <Part Type="papunktis" Nr="115-1.2.3" Abbr="115-1.2.3 pp." DocPartId="b99975d6be6645fb8917a7ff88663232" PartId="3071a88a1f74435fbc729e807daf9a0e"/>
          </Part>
          <Part Type="papunktis" Nr="115-1.3" Abbr="115-1.3 pp." DocPartId="b615fa9c574249c1b19145360702c7ce" PartId="ad51456ddd344c56989c24c17aa30070">
            <Part Type="papunktis" Nr="115-1.3.1" Abbr="115-1.3.1 pp." DocPartId="2bd17b34034c44ecb972ba77715f31f3" PartId="bcc4122ac24240ba997e3afd889ee102"/>
            <Part Type="papunktis" Nr="115-1.3.2" Abbr="115-1.3.2 pp." DocPartId="5fc41cc984764a42bda24a20b3cad246" PartId="7d7c6cff1edd42f48163144b2be74842"/>
            <Part Type="papunktis" Nr="115-1.3.3" Abbr="115-1.3.3 pp." DocPartId="a1240c68268047fb8c683867e14f9815" PartId="9702f181874f4e7e80e1e3ec48897c31"/>
          </Part>
          <Part Type="papunktis" Nr="115-1.4" Abbr="115-1.4 pp." DocPartId="05a6b242960b4608a015e239779eb1a7" PartId="bcea2dba80aa4019bd6df038292f12d4">
            <Part Type="papunktis" Nr="115-1.4.1" Abbr="115-1.4.1 pp." DocPartId="1e6af901af2949e492eac42845fca6c4" PartId="f7acc80af4a246c787fc0efb576a2b87"/>
            <Part Type="papunktis" Nr="115-1.4.2" Abbr="115-1.4.2 pp." DocPartId="65584ccffae148a9a385ddb074f69264" PartId="cdeb1a61a089411f85c5f25ab6dac1a9"/>
            <Part Type="papunktis" Nr="115-1.4.3" Abbr="115-1.4.3 pp." DocPartId="2b3c4fea4e724feab3b0fdf4fa2d04e3" PartId="6ad310f4406649739fa97bb487e0d75b"/>
            <Part Type="papunktis" Nr="115-1.4.4" Abbr="115-1.4.4 pp." DocPartId="25e07bc329294bc68dd2651cb54d6e73" PartId="1b944bbda59a4c14b0bd49e2c95da3ad"/>
          </Part>
        </Part>
      </Part>
      <Part Type="punktas" Nr="116" Abbr="116 p." DocPartId="d995a4f48f1c493db2dc7eab51e8353e" PartId="dddc3fdf9bdd47fe926df57238e6962d"/>
      <Part Type="punktas" Nr="117" Abbr="117 p." DocPartId="789aa6ef39df4528bf33d766363d88dd" PartId="1fffb7d43f7345179ed4e8821652ac9f"/>
      <Part Type="punktas" Nr="118" Abbr="118 p." DocPartId="b2363599ac8a448d96aed3a2d7bd99a2" PartId="d74ff154c4924a0cae62fa96240d9c74"/>
      <Part Type="punktas" Nr="119" Abbr="119 p." DocPartId="aec082e7a38d43119603a318547d533e" PartId="c272a4e1a22f4baf9cbcccdc3ff7401b"/>
      <Part Type="punktas" Nr="120" Abbr="120 p." DocPartId="902abae6207e442eb48b6db127b52517" PartId="b96fb1c692ab41778b4bc64e9382c649"/>
      <Part Type="punktas" Nr="121" Abbr="121 p." DocPartId="dfd992974be544448f023cf27ecf04ef" PartId="9d1fe600ac0a4053bb27d3ff851b7bde"/>
    </Part>
    <Part Type="skyrius" Nr="8" Title="BAIGIAMOSIOS NUOSTATOS" DocPartId="5a43620bf40c4b97b101f26d428f45a2" PartId="4837e854daf24200801c2a4778bee4e7">
      <Part Type="punktas" Nr="122" Abbr="122 p." DocPartId="3bb05b252a814366a3c258b83b1ec23e" PartId="8eec2d81dded499dae1f25f2f6611b53"/>
      <Part Type="punktas" Nr="123" Abbr="123 p." DocPartId="4e1cfbb40b9742618dbaaf32a61bb19e" PartId="704cd07e428948bdbb7ca200e8443f39"/>
      <Part Type="punktas" Nr="124" Abbr="124 p." DocPartId="385ebc5409944cb2bab225b7fc441a2f" PartId="0bf77cb5a87e4d1986b868c7eec4c368"/>
    </Part>
    <Part Type="pabaiga" DocPartId="e8b6cc8b1a7b46b19e502da34eee681f" PartId="aaad3fc2700045539258196804ccb5b8"/>
  </Part>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FBABA9BA-7720-459C-94A1-BD47B1698796}">
  <ds:schemaRefs>
    <ds:schemaRef ds:uri="http://lrs.lt/TAIS/DocParts"/>
  </ds:schemaRefs>
</ds:datastoreItem>
</file>

<file path=customXml/itemProps3.xml><?xml version="1.0" encoding="utf-8"?>
<ds:datastoreItem xmlns:ds="http://schemas.openxmlformats.org/officeDocument/2006/customXml" ds:itemID="{0A24A98B-FC8C-44F8-9039-C94782A5C875}">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161</TotalTime>
  <Pages>41</Pages>
  <Words>87838</Words>
  <Characters>50069</Characters>
  <Application>Microsoft Office Word</Application>
  <DocSecurity>0</DocSecurity>
  <Lines>417</Lines>
  <Paragraphs>275</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VALSTYBINĖS KAINŲ IR ENERGETIKOS KONTROLĖS KOMISIJOS</vt:lpstr>
      <vt:lpstr>VALSTYBINĖS KAINŲ IR ENERGETIKOS KONTROLĖS KOMISIJOS</vt:lpstr>
    </vt:vector>
  </TitlesOfParts>
  <Company>HP</Company>
  <LinksUpToDate>false</LinksUpToDate>
  <CharactersWithSpaces>137632</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2015-01-16T08:21:00Z</dcterms:created>
  <dc:creator>irlauk</dc:creator>
  <lastModifiedBy>GUMBYTĖ Danguolė</lastModifiedBy>
  <lastPrinted>2015-01-13T09:12:00Z</lastPrinted>
  <dcterms:modified xsi:type="dcterms:W3CDTF">2019-10-11T11:58:00Z</dcterms:modified>
  <revision>40</revision>
  <dc:title>VALSTYBINĖS KAINŲ IR ENERGETIKOS KONTROLĖS KOMISIJOS</dc:title>
</coreProperties>
</file>

<file path=docProps/custom.xml><?xml version="1.0" encoding="utf-8"?>
<Properties xmlns="http://schemas.openxmlformats.org/officeDocument/2006/custom-properties">
  <property fmtid="{D5CDD505-2E9C-101B-9397-08002B2CF9AE}" pid="2" name="ContentTypeId">
    <vt:lpwstr xmlns:vt="http://schemas.openxmlformats.org/officeDocument/2006/docPropsVTypes">0x0101008CB496B0C076984283272B1C06F9FFD5</vt:lpwstr>
  </property>
</Properties>
</file>