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2025-10-01 iki 2025-11-18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da696c297cf74df994ad1702b4ad25f6"/>
        <w:lock w:val="sdtLocked"/>
        <w:richText/>
      </w:sdtPr>
      <w:sdtContent>
        <w:p>
          <w:pPr>
            <w:spacing w:line="252" w:lineRule="auto"/>
            <w:ind w:left="3888"/>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da696c297cf74df994ad1702b4ad25f6"/>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5">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692be4127a2046bbb876c1b2784e9225"/>
                <w:lock w:val="sdtLocked"/>
                <w:richText/>
              </w:sdtPr>
              <w:sdtContent>
                <w:p>
                  <w:pPr>
                    <w:tabs>
                      <w:tab w:val="left" w:pos="993"/>
                    </w:tabs>
                    <w:suppressAutoHyphens/>
                    <w:spacing w:line="252" w:lineRule="auto"/>
                    <w:ind w:firstLine="709"/>
                    <w:jc w:val="both"/>
                    <w:textAlignment w:val="center"/>
                    <w:rPr>
                      <w:szCs w:val="24"/>
                    </w:rPr>
                  </w:pPr>
                  <w:sdt>
                    <w:sdtPr>
                      <w:alias w:val="Numeris"/>
                      <w:tag w:val="nr_692be4127a2046bbb876c1b2784e9225"/>
                      <w:lock w:val="sdtLocked"/>
                      <w:richText/>
                    </w:sdtPr>
                    <w:sdtContent>
                      <w:r>
                        <w:rPr>
                          <w:szCs w:val="24"/>
                          <w:lang w:eastAsia="lt-LT"/>
                        </w:rPr>
                        <w:t>3</w:t>
                      </w:r>
                    </w:sdtContent>
                  </w:sdt>
                  <w:r>
                    <w:rPr>
                      <w:szCs w:val="24"/>
                    </w:rPr>
                    <w:t>. Metodikoje vartojama sąvoka:</w:t>
                  </w:r>
                </w:p>
                <w:p>
                  <w:pPr>
                    <w:tabs>
                      <w:tab w:val="num" w:pos="1211"/>
                      <w:tab w:val="left" w:pos="1843"/>
                    </w:tabs>
                    <w:spacing w:line="252" w:lineRule="auto"/>
                    <w:ind w:firstLine="709"/>
                    <w:jc w:val="both"/>
                    <w:rPr>
                      <w:szCs w:val="24"/>
                    </w:rPr>
                  </w:pPr>
                  <w:r>
                    <w:rPr>
                      <w:szCs w:val="24"/>
                    </w:rPr>
                    <w:t>Kainos viršutinė riba – Įmonės atitinkamos reguliuojamos paslaugos sąnaudų bei investicijų grąžos sumos ir atitinkamos reguliuojamos veiklos elektros energijos kiekio santykis, kuris gali būti koreguojamas Elektros energetikos įstatymo 69 straipsnyje nustatytu dažnumu Metodikoje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76171429bb6846d2a1c491a870740a3f"/>
                    <w:lock w:val="sdtLocked"/>
                    <w:richText/>
                  </w:sdtPr>
                  <w:sdtContent>
                    <w:p>
                      <w:pPr>
                        <w:widowControl w:val="0"/>
                        <w:tabs>
                          <w:tab w:val="left" w:pos="142"/>
                          <w:tab w:val="left" w:pos="1134"/>
                        </w:tabs>
                        <w:spacing w:line="252" w:lineRule="auto"/>
                        <w:ind w:firstLine="709"/>
                        <w:jc w:val="both"/>
                        <w:rPr>
                          <w:szCs w:val="24"/>
                        </w:rPr>
                      </w:pPr>
                      <w:sdt>
                        <w:sdtPr>
                          <w:alias w:val="Numeris"/>
                          <w:tag w:val="nr_76171429bb6846d2a1c491a870740a3f"/>
                          <w:lock w:val="sdtLocked"/>
                          <w:richText/>
                        </w:sdtPr>
                        <w:sdtContent>
                          <w:r>
                            <w:rPr>
                              <w:szCs w:val="24"/>
                            </w:rPr>
                            <w:t>5.3</w:t>
                          </w:r>
                        </w:sdtContent>
                      </w:sdt>
                      <w:r>
                        <w:rPr>
                          <w:szCs w:val="24"/>
                        </w:rPr>
                        <w:t>. nurodytos Metodikos VII skyriuje nustatomos atsižvelgiant į reguliuojamų paslaugų kainų, papildomos dedamosios buitiniams vartotojams prie skirstymo paslaugos ir viešuosius interesus atitinkančių paslaugų (toliau – VIAP) kainos bei visuomeninio tiekėjo prognozuojamos 1</w:t>
                      </w:r>
                      <w:r>
                        <w:t> </w:t>
                      </w:r>
                      <w:r>
                        <w:rPr>
                          <w:szCs w:val="24"/>
                        </w:rPr>
                        <w:t>kWh elektros energijos įsigijimo kainos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7299975c66994e5983ca4c0dcb4dcd44"/>
                            <w:lock w:val="sdtLocked"/>
                            <w:richText/>
                          </w:sdtPr>
                          <w:sdtContent>
                            <w:p>
                              <w:pPr>
                                <w:tabs>
                                  <w:tab w:val="left" w:pos="993"/>
                                  <w:tab w:val="left" w:pos="1134"/>
                                </w:tabs>
                                <w:spacing w:line="252" w:lineRule="auto"/>
                                <w:ind w:firstLine="709"/>
                                <w:jc w:val="both"/>
                                <w:rPr>
                                  <w:szCs w:val="24"/>
                                </w:rPr>
                              </w:pPr>
                              <w:sdt>
                                <w:sdtPr>
                                  <w:alias w:val="Numeris"/>
                                  <w:tag w:val="nr_7299975c66994e5983ca4c0dcb4dcd44"/>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d09b6eb61a5c4d6a9fc16a17c25fe18f"/>
                            <w:lock w:val="sdtLocked"/>
                            <w:richText/>
                          </w:sdtPr>
                          <w:sdtContent>
                            <w:p>
                              <w:pPr>
                                <w:tabs>
                                  <w:tab w:val="left" w:pos="1134"/>
                                </w:tabs>
                                <w:spacing w:line="252" w:lineRule="auto"/>
                                <w:ind w:firstLine="709"/>
                                <w:jc w:val="both"/>
                                <w:rPr>
                                  <w:szCs w:val="24"/>
                                </w:rPr>
                              </w:pPr>
                              <w:sdt>
                                <w:sdtPr>
                                  <w:alias w:val="Numeris"/>
                                  <w:tag w:val="nr_d09b6eb61a5c4d6a9fc16a17c25fe18f"/>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71d2291093b492293ec050dd2e4dcf7"/>
                            <w:lock w:val="sdtLocked"/>
                            <w:richText/>
                          </w:sdtPr>
                          <w:sdtContent>
                            <w:p>
                              <w:pPr>
                                <w:tabs>
                                  <w:tab w:val="left" w:pos="1276"/>
                                </w:tabs>
                                <w:spacing w:line="252" w:lineRule="auto"/>
                                <w:ind w:left="709"/>
                                <w:jc w:val="both"/>
                                <w:rPr>
                                  <w:szCs w:val="24"/>
                                </w:rPr>
                              </w:pPr>
                              <w:sdt>
                                <w:sdtPr>
                                  <w:alias w:val="Numeris"/>
                                  <w:tag w:val="nr_371d2291093b492293ec050dd2e4dcf7"/>
                                  <w:lock w:val="sdtLocked"/>
                                  <w:richText/>
                                </w:sdtPr>
                                <w:sdtContent>
                                  <w:r>
                                    <w:rPr>
                                      <w:szCs w:val="24"/>
                                    </w:rPr>
                                    <w:t>9.2.1</w:t>
                                  </w:r>
                                </w:sdtContent>
                              </w:sdt>
                              <w:r>
                                <w:rPr>
                                  <w:szCs w:val="24"/>
                                </w:rPr>
                                <w:t>. formulę:</w:t>
                              </w:r>
                            </w:p>
                            <w:p>
                              <w:pPr>
                                <w:tabs>
                                  <w:tab w:val="left" w:pos="1276"/>
                                </w:tabs>
                                <w:spacing w:line="252" w:lineRule="auto"/>
                                <w:ind w:left="709"/>
                                <w:jc w:val="both"/>
                                <w:rPr>
                                  <w:szCs w:val="24"/>
                                </w:rPr>
                              </w:pPr>
                            </w:p>
                            <w:p>
                              <w:pPr>
                                <w:tabs>
                                  <w:tab w:val="left" w:pos="1276"/>
                                </w:tabs>
                                <w:spacing w:line="252" w:lineRule="auto"/>
                                <w:ind w:left="709" w:firstLine="709"/>
                                <w:jc w:val="center"/>
                                <w:rPr>
                                  <w:szCs w:val="24"/>
                                </w:rPr>
                              </w:pPr>
                              <w:r>
                                <w:rPr>
                                  <w:i/>
                                  <w:iCs/>
                                  <w:szCs w:val="24"/>
                                </w:rPr>
                                <w:t>K</w:t>
                              </w:r>
                              <w:r>
                                <w:rPr>
                                  <w:i/>
                                  <w:iCs/>
                                  <w:szCs w:val="24"/>
                                  <w:vertAlign w:val="subscript"/>
                                </w:rPr>
                                <w:t>EE_technolog</w:t>
                              </w:r>
                              <w:r>
                                <w:rPr>
                                  <w:i/>
                                  <w:iCs/>
                                  <w:szCs w:val="24"/>
                                </w:rPr>
                                <w:t xml:space="preserve"> </w:t>
                              </w:r>
                              <w:r>
                                <w:rPr>
                                  <w:i/>
                                  <w:iCs/>
                                  <w:szCs w:val="24"/>
                                  <w:lang w:val="en-GB"/>
                                </w:rPr>
                                <w:t>= Q</w:t>
                              </w:r>
                              <w:r>
                                <w:rPr>
                                  <w:i/>
                                  <w:iCs/>
                                  <w:szCs w:val="24"/>
                                  <w:vertAlign w:val="subscript"/>
                                </w:rPr>
                                <w:t xml:space="preserve"> EE_technolog / </w:t>
                              </w:r>
                              <w:r>
                                <w:rPr>
                                  <w:i/>
                                  <w:iCs/>
                                  <w:szCs w:val="24"/>
                                  <w:lang w:val="en-GB"/>
                                </w:rPr>
                                <w:t>Q</w:t>
                              </w:r>
                              <w:r>
                                <w:rPr>
                                  <w:i/>
                                  <w:iCs/>
                                  <w:szCs w:val="24"/>
                                  <w:vertAlign w:val="subscript"/>
                                </w:rPr>
                                <w:t xml:space="preserve"> EE_tinkle _</w:t>
                              </w:r>
                              <m:oMath>
                                <m:r>
                                  <w:rPr>
                                    <w:rFonts w:ascii="Cambria Math" w:hAnsi="Cambria Math"/>
                                    <w:szCs w:val="24"/>
                                  </w:rPr>
                                  <m:t>×</m:t>
                                </m:r>
                              </m:oMath>
                              <w:r>
                                <w:rPr>
                                  <w:i/>
                                  <w:iCs/>
                                  <w:szCs w:val="24"/>
                                  <w:vertAlign w:val="subscript"/>
                                </w:rPr>
                                <w:t xml:space="preserve"> </w:t>
                              </w:r>
                              <w:r>
                                <w:rPr>
                                  <w:i/>
                                  <w:iCs/>
                                  <w:szCs w:val="24"/>
                                </w:rPr>
                                <w:t xml:space="preserve">100 </w:t>
                              </w:r>
                              <w:r>
                                <w:rPr>
                                  <w:szCs w:val="24"/>
                                </w:rPr>
                                <w:t>(4)</w:t>
                              </w:r>
                            </w:p>
                            <w:p>
                              <w:pPr>
                                <w:tabs>
                                  <w:tab w:val="left" w:pos="1276"/>
                                </w:tabs>
                                <w:spacing w:line="252" w:lineRule="auto"/>
                                <w:ind w:left="709"/>
                                <w:jc w:val="both"/>
                                <w:rPr>
                                  <w:i/>
                                  <w:iCs/>
                                  <w:szCs w:val="24"/>
                                </w:rPr>
                              </w:pPr>
                            </w:p>
                            <w:p>
                              <w:pPr>
                                <w:tabs>
                                  <w:tab w:val="left" w:pos="1276"/>
                                </w:tabs>
                                <w:spacing w:line="252" w:lineRule="auto"/>
                                <w:ind w:left="709"/>
                                <w:jc w:val="both"/>
                                <w:rPr>
                                  <w:i/>
                                  <w:iCs/>
                                  <w:szCs w:val="24"/>
                                </w:rPr>
                              </w:pPr>
                              <w:r>
                                <w:rPr>
                                  <w:i/>
                                  <w:iCs/>
                                  <w:szCs w:val="24"/>
                                </w:rPr>
                                <w:t xml:space="preserve">čia: </w:t>
                              </w:r>
                            </w:p>
                            <w:p>
                              <w:pPr>
                                <w:tabs>
                                  <w:tab w:val="left" w:pos="1276"/>
                                </w:tabs>
                                <w:spacing w:line="252" w:lineRule="auto"/>
                                <w:ind w:left="709"/>
                                <w:jc w:val="both"/>
                                <w:rPr>
                                  <w:szCs w:val="24"/>
                                </w:rPr>
                              </w:pPr>
                              <w:r>
                                <w:rPr>
                                  <w:i/>
                                  <w:iCs/>
                                  <w:szCs w:val="24"/>
                                </w:rPr>
                                <w:t>K</w:t>
                              </w:r>
                              <w:r>
                                <w:rPr>
                                  <w:i/>
                                  <w:iCs/>
                                  <w:szCs w:val="24"/>
                                  <w:vertAlign w:val="subscript"/>
                                </w:rPr>
                                <w:t xml:space="preserve">EE_technolog </w:t>
                              </w:r>
                              <w:r>
                                <w:rPr>
                                  <w:szCs w:val="24"/>
                                </w:rPr>
                                <w:t>– elektros energijos technologinių sąnaudų koeficientas, proc.;</w:t>
                              </w:r>
                            </w:p>
                            <w:p>
                              <w:pPr>
                                <w:tabs>
                                  <w:tab w:val="left" w:pos="1276"/>
                                </w:tabs>
                                <w:spacing w:line="252" w:lineRule="auto"/>
                                <w:ind w:left="709"/>
                                <w:jc w:val="both"/>
                                <w:rPr>
                                  <w:szCs w:val="24"/>
                                </w:rPr>
                              </w:pPr>
                              <w:r>
                                <w:rPr>
                                  <w:i/>
                                  <w:iCs/>
                                  <w:szCs w:val="24"/>
                                  <w:lang w:val="en-GB"/>
                                </w:rPr>
                                <w:t>Q</w:t>
                              </w:r>
                              <w:r>
                                <w:rPr>
                                  <w:i/>
                                  <w:iCs/>
                                  <w:szCs w:val="24"/>
                                  <w:vertAlign w:val="subscript"/>
                                </w:rPr>
                                <w:t xml:space="preserve"> EE_technolog </w:t>
                              </w:r>
                              <w:r>
                                <w:rPr>
                                  <w:szCs w:val="24"/>
                                </w:rPr>
                                <w:t>– elektros energijos technologinės sąnaudos, MWh;</w:t>
                              </w:r>
                            </w:p>
                            <w:p>
                              <w:pPr>
                                <w:tabs>
                                  <w:tab w:val="left" w:pos="1276"/>
                                </w:tabs>
                                <w:spacing w:line="252" w:lineRule="auto"/>
                                <w:ind w:firstLine="709"/>
                                <w:jc w:val="both"/>
                              </w:pPr>
                              <w:r>
                                <w:rPr>
                                  <w:i/>
                                  <w:szCs w:val="24"/>
                                </w:rPr>
                                <w:t>Q</w:t>
                              </w:r>
                              <w:r>
                                <w:rPr>
                                  <w:i/>
                                  <w:iCs/>
                                  <w:szCs w:val="24"/>
                                  <w:vertAlign w:val="subscript"/>
                                </w:rPr>
                                <w:t xml:space="preserve"> EE_tinkle </w:t>
                              </w:r>
                              <w:r>
                                <w:rPr>
                                  <w:szCs w:val="24"/>
                                </w:rPr>
                                <w:t>– visas elektros energijos kiekis elektros energijos perdavimo arba skirstymo operatoriaus tinkle (įskaitant paskirstytą arba perduotą elektros energijos kiekį, eksportuotą elektros energijos kiekį, žiedinį elektros energijos srauto kiekį, kitą elektros energijos kiekį tinkle),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2 pp."/>
                            <w:tag w:val="part_4e81ee7960c14d618f9199bb0b2c713b"/>
                            <w:lock w:val="sdtLocked"/>
                            <w:richText/>
                          </w:sdtPr>
                          <w:sdtContent>
                            <w:p>
                              <w:pPr>
                                <w:tabs>
                                  <w:tab w:val="left" w:pos="1276"/>
                                </w:tabs>
                                <w:spacing w:line="252" w:lineRule="auto"/>
                                <w:ind w:firstLine="709"/>
                                <w:jc w:val="both"/>
                                <w:rPr>
                                  <w:szCs w:val="24"/>
                                </w:rPr>
                              </w:pPr>
                              <w:sdt>
                                <w:sdtPr>
                                  <w:alias w:val="Numeris"/>
                                  <w:tag w:val="nr_4e81ee7960c14d618f9199bb0b2c713b"/>
                                  <w:lock w:val="sdtLocked"/>
                                  <w:richText/>
                                </w:sdtPr>
                                <w:sdtContent>
                                  <w:r>
                                    <w:rPr>
                                      <w:szCs w:val="24"/>
                                    </w:rPr>
                                    <w:t>9.2.2</w:t>
                                  </w:r>
                                </w:sdtContent>
                              </w:sdt>
                              <w:r>
                                <w:rPr>
                                  <w:szCs w:val="24"/>
                                </w:rPr>
                                <w:t xml:space="preserve">. </w:t>
                              </w:r>
                              <w:r>
                                <w:rPr>
                                  <w:szCs w:val="24"/>
                                  <w:lang w:eastAsia="lt-LT"/>
                                </w:rPr>
                                <w:t>palyginamuosius faktinius kitų elektros energetikos įmonių technologinių sąnaudų koeficientus;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3 pp."/>
                            <w:tag w:val="part_a0247dd4219e4a03aeb734360593382e"/>
                            <w:lock w:val="sdtLocked"/>
                            <w:richText/>
                          </w:sdtPr>
                          <w:sdtContent>
                            <w:p>
                              <w:pPr>
                                <w:tabs>
                                  <w:tab w:val="left" w:pos="1276"/>
                                </w:tabs>
                                <w:spacing w:line="252" w:lineRule="auto"/>
                                <w:ind w:firstLine="709"/>
                                <w:jc w:val="both"/>
                                <w:rPr>
                                  <w:szCs w:val="24"/>
                                </w:rPr>
                              </w:pPr>
                              <w:sdt>
                                <w:sdtPr>
                                  <w:alias w:val="Numeris"/>
                                  <w:tag w:val="nr_a0247dd4219e4a03aeb734360593382e"/>
                                  <w:lock w:val="sdtLocked"/>
                                  <w:richText/>
                                </w:sdtPr>
                                <w:sdtContent>
                                  <w:r>
                                    <w:rPr>
                                      <w:szCs w:val="24"/>
                                    </w:rPr>
                                    <w:t>9.2.3</w:t>
                                  </w:r>
                                </w:sdtContent>
                              </w:sdt>
                              <w:r>
                                <w:rPr>
                                  <w:szCs w:val="24"/>
                                </w:rPr>
                                <w:t xml:space="preserve">. </w:t>
                              </w:r>
                              <w:r>
                                <w:rPr>
                                  <w:szCs w:val="24"/>
                                  <w:lang w:eastAsia="lt-LT"/>
                                </w:rPr>
                                <w:t>numatytus planinius investicijų į tinklo plėtrą, rekonstrukciją ir atstatymą įgyvendinimo rodiklius per reguliavimo laikotarpį;</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4 pp."/>
                            <w:tag w:val="part_bdc5bab346e04dd987d5d2f32746c8e5"/>
                            <w:lock w:val="sdtLocked"/>
                            <w:richText/>
                          </w:sdtPr>
                          <w:sdtContent>
                            <w:p>
                              <w:pPr>
                                <w:tabs>
                                  <w:tab w:val="left" w:pos="1276"/>
                                </w:tabs>
                                <w:spacing w:line="252" w:lineRule="auto"/>
                                <w:ind w:firstLine="709"/>
                                <w:jc w:val="both"/>
                                <w:rPr>
                                  <w:szCs w:val="24"/>
                                </w:rPr>
                              </w:pPr>
                              <w:sdt>
                                <w:sdtPr>
                                  <w:alias w:val="Numeris"/>
                                  <w:tag w:val="nr_bdc5bab346e04dd987d5d2f32746c8e5"/>
                                  <w:lock w:val="sdtLocked"/>
                                  <w:richText/>
                                </w:sdtPr>
                                <w:sdtContent>
                                  <w:r>
                                    <w:rPr>
                                      <w:szCs w:val="24"/>
                                    </w:rPr>
                                    <w:t>9.2.4</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5 pp."/>
                            <w:tag w:val="part_42ec0ca900f34763acc67a2c9fb68c51"/>
                            <w:lock w:val="sdtLocked"/>
                            <w:richText/>
                          </w:sdtPr>
                          <w:sdtContent>
                            <w:p>
                              <w:pPr>
                                <w:tabs>
                                  <w:tab w:val="left" w:pos="1276"/>
                                </w:tabs>
                                <w:spacing w:line="252" w:lineRule="auto"/>
                                <w:ind w:firstLine="720"/>
                                <w:jc w:val="both"/>
                                <w:rPr>
                                  <w:szCs w:val="24"/>
                                  <w:lang w:eastAsia="lt-LT"/>
                                </w:rPr>
                              </w:pPr>
                              <w:sdt>
                                <w:sdtPr>
                                  <w:alias w:val="Numeris"/>
                                  <w:tag w:val="nr_42ec0ca900f34763acc67a2c9fb68c51"/>
                                  <w:lock w:val="sdtLocked"/>
                                  <w:richText/>
                                </w:sdtPr>
                                <w:sdtContent>
                                  <w:r>
                                    <w:rPr>
                                      <w:szCs w:val="24"/>
                                      <w:lang w:eastAsia="lt-LT"/>
                                    </w:rPr>
                                    <w:t>9.2.5</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6 pp."/>
                            <w:tag w:val="part_90adc8c0e1fe4f3d95181c90e3a6d1e6"/>
                            <w:lock w:val="sdtLocked"/>
                            <w:richText/>
                          </w:sdtPr>
                          <w:sdtContent>
                            <w:p>
                              <w:pPr>
                                <w:tabs>
                                  <w:tab w:val="left" w:pos="1276"/>
                                </w:tabs>
                                <w:spacing w:line="252" w:lineRule="auto"/>
                                <w:ind w:firstLine="720"/>
                                <w:jc w:val="both"/>
                                <w:rPr>
                                  <w:szCs w:val="24"/>
                                  <w:lang w:eastAsia="lt-LT"/>
                                </w:rPr>
                              </w:pPr>
                              <w:sdt>
                                <w:sdtPr>
                                  <w:alias w:val="Numeris"/>
                                  <w:tag w:val="nr_90adc8c0e1fe4f3d95181c90e3a6d1e6"/>
                                  <w:lock w:val="sdtLocked"/>
                                  <w:richText/>
                                </w:sdtPr>
                                <w:sdtContent>
                                  <w:r>
                                    <w:rPr>
                                      <w:szCs w:val="24"/>
                                      <w:lang w:eastAsia="lt-LT"/>
                                    </w:rPr>
                                    <w:t>9.2.6</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f7884cdfefe94b9f97c7d39bb36f3a34"/>
                        <w:lock w:val="sdtLocked"/>
                        <w:richText/>
                      </w:sdtPr>
                      <w:sdtContent>
                        <w:p>
                          <w:pPr>
                            <w:tabs>
                              <w:tab w:val="left" w:pos="1276"/>
                            </w:tabs>
                            <w:spacing w:line="252" w:lineRule="auto"/>
                            <w:ind w:firstLine="709"/>
                            <w:jc w:val="both"/>
                            <w:rPr>
                              <w:szCs w:val="24"/>
                            </w:rPr>
                          </w:pPr>
                          <w:sdt>
                            <w:sdtPr>
                              <w:alias w:val="Numeris"/>
                              <w:tag w:val="nr_f7884cdfefe94b9f97c7d39bb36f3a34"/>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a80652d7d7f64eafa87862b125571fa0"/>
                            <w:lock w:val="sdtLocked"/>
                            <w:richText/>
                          </w:sdtPr>
                          <w:sdtContent>
                            <w:p>
                              <w:pPr>
                                <w:tabs>
                                  <w:tab w:val="left" w:pos="1276"/>
                                </w:tabs>
                                <w:spacing w:line="252" w:lineRule="auto"/>
                                <w:ind w:firstLine="709"/>
                                <w:jc w:val="both"/>
                                <w:rPr>
                                  <w:szCs w:val="24"/>
                                </w:rPr>
                              </w:pPr>
                              <w:sdt>
                                <w:sdtPr>
                                  <w:alias w:val="Numeris"/>
                                  <w:tag w:val="nr_a80652d7d7f64eafa87862b125571fa0"/>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r>
                                      <w:rPr>
                                        <w:rFonts w:ascii="Cambria Math" w:hAnsi="Cambria Math"/>
                                        <w:szCs w:val="24"/>
                                        <w:lang w:val="en-US" w:eastAsia="sk-SK"/>
                                      </w:rPr>
                                      <m:t>-</m:t>
                                    </m:r>
                                    <m:r>
                                      <w:rPr>
                                        <w:rFonts w:ascii="Cambria Math" w:hAnsi="Cambria Math"/>
                                        <w:szCs w:val="24"/>
                                        <w:lang w:val="en-US" w:eastAsia="sk-SK"/>
                                      </w:rPr>
                                      <m: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34cc8e57c9134ba896a5416a128e0e8f"/>
                            <w:lock w:val="sdtLocked"/>
                            <w:richText/>
                          </w:sdtPr>
                          <w:sdtContent>
                            <w:p>
                              <w:pPr>
                                <w:tabs>
                                  <w:tab w:val="left" w:pos="993"/>
                                </w:tabs>
                                <w:spacing w:line="252" w:lineRule="auto"/>
                                <w:ind w:firstLine="709"/>
                                <w:jc w:val="both"/>
                                <w:rPr>
                                  <w:szCs w:val="24"/>
                                  <w:lang w:eastAsia="sk-SK"/>
                                </w:rPr>
                              </w:pPr>
                              <w:sdt>
                                <w:sdtPr>
                                  <w:alias w:val="Numeris"/>
                                  <w:tag w:val="nr_34cc8e57c9134ba896a5416a128e0e8f"/>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2a7b9006c8ad408696f9e1dbc52f1e5c"/>
                        <w:lock w:val="sdtLocked"/>
                        <w:richText/>
                      </w:sdtPr>
                      <w:sdtContent>
                        <w:p>
                          <w:pPr>
                            <w:tabs>
                              <w:tab w:val="left" w:pos="993"/>
                            </w:tabs>
                            <w:spacing w:line="252" w:lineRule="auto"/>
                            <w:ind w:firstLine="709"/>
                            <w:jc w:val="both"/>
                            <w:rPr>
                              <w:szCs w:val="24"/>
                            </w:rPr>
                          </w:pPr>
                          <w:sdt>
                            <w:sdtPr>
                              <w:alias w:val="Numeris"/>
                              <w:tag w:val="nr_2a7b9006c8ad408696f9e1dbc52f1e5c"/>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de790a27dc2441819d546deb50e9ebba"/>
                        <w:lock w:val="sdtLocked"/>
                        <w:richText/>
                      </w:sdtPr>
                      <w:sdtContent>
                        <w:p>
                          <w:pPr>
                            <w:tabs>
                              <w:tab w:val="left" w:pos="993"/>
                            </w:tabs>
                            <w:spacing w:line="252" w:lineRule="auto"/>
                            <w:ind w:firstLine="709"/>
                            <w:jc w:val="both"/>
                            <w:rPr>
                              <w:szCs w:val="24"/>
                            </w:rPr>
                          </w:pPr>
                          <w:sdt>
                            <w:sdtPr>
                              <w:alias w:val="Numeris"/>
                              <w:tag w:val="nr_de790a27dc2441819d546deb50e9ebba"/>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m:t>
                                    </m:r>
                                    <m:r>
                                      <w:rPr>
                                        <w:rFonts w:ascii="Cambria Math" w:hAnsi="Cambria Math"/>
                                        <w:szCs w:val="24"/>
                                      </w:rPr>
                                      <m:t>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690bd353aaa64d658115199b54142927"/>
                        <w:lock w:val="sdtLocked"/>
                        <w:richText/>
                      </w:sdtPr>
                      <w:sdtContent>
                        <w:p>
                          <w:pPr>
                            <w:spacing w:line="252" w:lineRule="auto"/>
                            <w:ind w:firstLine="709"/>
                            <w:jc w:val="both"/>
                            <w:rPr>
                              <w:szCs w:val="24"/>
                              <w:lang w:eastAsia="lt-LT"/>
                            </w:rPr>
                          </w:pPr>
                          <w:sdt>
                            <w:sdtPr>
                              <w:alias w:val="Numeris"/>
                              <w:tag w:val="nr_690bd353aaa64d658115199b54142927"/>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237ae3e65f4645fcb775028a844fa680"/>
                    <w:lock w:val="sdtLocked"/>
                    <w:richText/>
                  </w:sdtPr>
                  <w:sdtContent>
                    <w:p>
                      <w:pPr>
                        <w:ind w:firstLine="720"/>
                        <w:jc w:val="both"/>
                      </w:pPr>
                      <w:sdt>
                        <w:sdtPr>
                          <w:alias w:val="Numeris"/>
                          <w:tag w:val="nr_237ae3e65f4645fcb775028a844fa680"/>
                          <w:lock w:val="sdtLocked"/>
                          <w:richText/>
                        </w:sdtPr>
                        <w:sdtContent>
                          <w:r>
                            <w:t>14</w:t>
                          </w:r>
                        </w:sdtContent>
                      </w:sdt>
                      <w:r>
                        <w:t>. Įvertinusi papildomų lėšų poreikį investicijoms, numatytoms Įmonės 10 metų investicijų plane, per reguliavimo laikotarpį atlikti, Įmonės prašymu Taryba gali numatyti papildomą dedamąją, didinančią reguliuojamos veiklos pajamų lygį. Papildomos dedamosios intensyvumas gali būti nustatomas iki 100 proc. investicijoms į tinklo atstatymą ir 50 proc. kitoms 10 metų investicijų plano investicijoms. Papildomos dedamosios intensyvumas ne tinklo atstatymo investicijoms gali būti koreguojamas, atsižvelgiant į Įmonės skolinimosi ir investicijų grąžos reinvestavimo politiką. Papildoma dedamoji nustatoma kiekvieniems reguliavimo laikotarpio metams ar visam reguliavimo laikotarpiui įvertinus skirtumą tarp Įmonės 10 metų investicijų plane numatytų investicijų (toliau – CAPEX) poreikio ir Įmonės nusidėvėjimo sąnaudų  ir kitų prieinamų finansavimo šaltinių 10 metų investicijų plano investicijoms atlikti atitinkamais metais,  siekiant išlaikyti tvarų Įmonės įsiskolinimo lygį, kuris apibrėžiamas kaip skolos ir EBITDA</w:t>
                      </w:r>
                      <w:r>
                        <w:rPr>
                          <w:vertAlign w:val="subscript"/>
                        </w:rPr>
                        <w:t>1</w:t>
                      </w:r>
                      <w:r>
                        <w:t xml:space="preserve"> santykis (D/EBITDA</w:t>
                      </w:r>
                      <w:r>
                        <w:rPr>
                          <w:vertAlign w:val="subscript"/>
                        </w:rPr>
                        <w:t>1</w:t>
                      </w:r>
                      <w:r>
                        <w:t xml:space="preserve"> dydis) ne didesnis nei 5,5:</w:t>
                      </w:r>
                    </w:p>
                    <w:sdt>
                      <w:sdtPr>
                        <w:alias w:val="14.1 pp."/>
                        <w:tag w:val="part_477c18254f8b410682935933a1727fa9"/>
                        <w:lock w:val="sdtLocked"/>
                        <w:richText/>
                      </w:sdtPr>
                      <w:sdtContent>
                        <w:p>
                          <w:pPr>
                            <w:ind w:firstLine="720"/>
                            <w:jc w:val="both"/>
                            <w:rPr>
                              <w:szCs w:val="24"/>
                            </w:rPr>
                          </w:pPr>
                          <w:sdt>
                            <w:sdtPr>
                              <w:alias w:val="Numeris"/>
                              <w:tag w:val="nr_477c18254f8b410682935933a1727fa9"/>
                              <w:lock w:val="sdtLocked"/>
                              <w:richText/>
                            </w:sdtPr>
                            <w:sdtContent>
                              <w:r>
                                <w:rPr>
                                  <w:szCs w:val="24"/>
                                </w:rPr>
                                <w:t>14.1</w:t>
                              </w:r>
                            </w:sdtContent>
                          </w:sdt>
                          <w:r>
                            <w:rPr>
                              <w:szCs w:val="24"/>
                            </w:rPr>
                            <w:t>. Kai papildoma dedamoji yra nustatyta visam reguliavimo laikotarpiui, ji kiekvienais metais gali būti koreguojama priklausomai nuo pasikeitusių investicijų plano ir/ar faktinių apimčių ar kitų aplinkybių lemiančių skolos ir EBITDA</w:t>
                          </w:r>
                          <w:r>
                            <w:rPr>
                              <w:szCs w:val="24"/>
                              <w:vertAlign w:val="subscript"/>
                            </w:rPr>
                            <w:t>1</w:t>
                          </w:r>
                          <w:r>
                            <w:rPr>
                              <w:szCs w:val="24"/>
                            </w:rPr>
                            <w:t xml:space="preserve"> santykio  5,5 pokytį. </w:t>
                          </w:r>
                        </w:p>
                      </w:sdtContent>
                    </w:sdt>
                    <w:sdt>
                      <w:sdtPr>
                        <w:alias w:val="14.2 pp."/>
                        <w:tag w:val="part_81992d1a9c4544a5863135ac58420688"/>
                        <w:lock w:val="sdtLocked"/>
                        <w:richText/>
                      </w:sdtPr>
                      <w:sdtContent>
                        <w:p>
                          <w:pPr>
                            <w:ind w:firstLine="720"/>
                            <w:jc w:val="both"/>
                            <w:rPr>
                              <w:szCs w:val="24"/>
                            </w:rPr>
                          </w:pPr>
                          <w:sdt>
                            <w:sdtPr>
                              <w:alias w:val="Numeris"/>
                              <w:tag w:val="nr_81992d1a9c4544a5863135ac58420688"/>
                              <w:lock w:val="sdtLocked"/>
                              <w:richText/>
                            </w:sdtPr>
                            <w:sdtContent>
                              <w:r>
                                <w:rPr>
                                  <w:szCs w:val="24"/>
                                </w:rPr>
                                <w:t>14.2</w:t>
                              </w:r>
                            </w:sdtContent>
                          </w:sdt>
                          <w:r>
                            <w:rPr>
                              <w:szCs w:val="24"/>
                            </w:rPr>
                            <w:t>.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4.3 pp."/>
                        <w:tag w:val="part_6cb71664a4ca4e01be15ab276c4025ad"/>
                        <w:lock w:val="sdtLocked"/>
                        <w:richText/>
                      </w:sdtPr>
                      <w:sdtContent>
                        <w:p>
                          <w:pPr>
                            <w:ind w:firstLine="720"/>
                            <w:jc w:val="both"/>
                            <w:rPr>
                              <w:szCs w:val="24"/>
                            </w:rPr>
                          </w:pPr>
                          <w:sdt>
                            <w:sdtPr>
                              <w:alias w:val="Numeris"/>
                              <w:tag w:val="nr_6cb71664a4ca4e01be15ab276c4025ad"/>
                              <w:lock w:val="sdtLocked"/>
                              <w:richText/>
                            </w:sdtPr>
                            <w:sdtContent>
                              <w:r>
                                <w:rPr>
                                  <w:szCs w:val="24"/>
                                </w:rPr>
                                <w:t>14.3</w:t>
                              </w:r>
                            </w:sdtContent>
                          </w:sdt>
                          <w:r>
                            <w:rPr>
                              <w:szCs w:val="24"/>
                            </w:rPr>
                            <w:t>. Papildomos dedamosios dydis apskaičiuojamas pagal formulę:</w:t>
                          </w:r>
                        </w:p>
                        <w:p>
                          <w:pPr>
                            <w:jc w:val="both"/>
                            <w:textAlignment w:val="baseline"/>
                            <w:rPr>
                              <w:i/>
                              <w:iCs/>
                              <w:szCs w:val="24"/>
                              <w:lang w:eastAsia="lt-LT"/>
                            </w:rPr>
                          </w:pPr>
                        </w:p>
                        <w:p>
                          <w:pPr>
                            <w:jc w:val="both"/>
                            <w:textAlignment w:val="baseline"/>
                            <w:rPr>
                              <w:i/>
                              <w:szCs w:val="24"/>
                              <w:lang w:val="en-US"/>
                            </w:rPr>
                          </w:pPr>
                          <m:oMathPara>
                            <m:oMath>
                              <m:r>
                                <w:rPr>
                                  <w:rFonts w:ascii="Cambria Math" w:hAnsi="Cambria Math"/>
                                  <w:szCs w:val="24"/>
                                </w:rPr>
                                <m:t>Papildoma</m:t>
                              </m:r>
                              <m:r>
                                <w:rPr>
                                  <w:rFonts w:ascii="Cambria Math" w:hAnsi="Cambria Math"/>
                                  <w:szCs w:val="24"/>
                                </w:rPr>
                                <m:t xml:space="preserve"> </m:t>
                              </m:r>
                              <m:r>
                                <w:rPr>
                                  <w:rFonts w:ascii="Cambria Math" w:hAnsi="Cambria Math"/>
                                  <w:szCs w:val="24"/>
                                </w:rPr>
                                <m:t>dedamoji</m:t>
                              </m:r>
                              <m:r>
                                <w:rPr>
                                  <w:rFonts w:ascii="Cambria Math" w:hAnsi="Cambria Math"/>
                                  <w:szCs w:val="24"/>
                                </w:rPr>
                                <m:t>=</m:t>
                              </m:r>
                              <m:f>
                                <m:fPr>
                                  <m:ctrlPr>
                                    <w:rPr>
                                      <w:rFonts w:ascii="Cambria Math" w:eastAsiaTheme="minorHAnsi" w:hAnsi="Cambria Math"/>
                                      <w:i/>
                                      <w:iCs/>
                                      <w:szCs w:val="24"/>
                                    </w:rPr>
                                  </m:ctrlPr>
                                </m:fPr>
                                <m:num>
                                  <m:r>
                                    <w:rPr>
                                      <w:rFonts w:ascii="Cambria Math" w:hAnsi="Cambria Math"/>
                                      <w:szCs w:val="24"/>
                                      <w:lang w:eastAsia="lt-LT"/>
                                    </w:rPr>
                                    <m:t>D</m:t>
                                  </m:r>
                                </m:num>
                                <m:den>
                                  <m:r>
                                    <w:rPr>
                                      <w:rFonts w:ascii="Cambria Math" w:hAnsi="Cambria Math"/>
                                      <w:szCs w:val="24"/>
                                      <w:lang w:eastAsia="lt-LT"/>
                                    </w:rPr>
                                    <m:t>5,5</m:t>
                                  </m:r>
                                </m:den>
                              </m:f>
                              <m:r>
                                <w:rPr>
                                  <w:rFonts w:ascii="Cambria Math" w:hAnsi="Cambria Math"/>
                                  <w:szCs w:val="24"/>
                                </w:rPr>
                                <m:t>-</m:t>
                              </m:r>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oMath>
                          </m:oMathPara>
                        </w:p>
                        <w:p>
                          <w:pPr>
                            <w:jc w:val="both"/>
                            <w:textAlignment w:val="baseline"/>
                            <w:rPr>
                              <w:i/>
                              <w:iCs/>
                              <w:szCs w:val="24"/>
                              <w:lang w:eastAsia="lt-LT"/>
                            </w:rPr>
                          </w:pPr>
                        </w:p>
                        <w:p>
                          <w:pPr>
                            <w:jc w:val="both"/>
                            <w:textAlignment w:val="baseline"/>
                            <w:rPr>
                              <w:i/>
                              <w:iCs/>
                              <w:szCs w:val="24"/>
                              <w:lang w:eastAsia="lt-LT"/>
                            </w:rPr>
                          </w:pPr>
                        </w:p>
                        <w:p>
                          <w:pPr>
                            <w:ind w:firstLine="720"/>
                            <w:jc w:val="both"/>
                            <w:textAlignment w:val="baseline"/>
                            <w:rPr>
                              <w:szCs w:val="24"/>
                              <w:lang w:eastAsia="lt-LT"/>
                            </w:rPr>
                          </w:pPr>
                          <w:r>
                            <w:rPr>
                              <w:szCs w:val="24"/>
                              <w:lang w:eastAsia="lt-LT"/>
                            </w:rPr>
                            <w:t>čia:</w:t>
                          </w:r>
                        </w:p>
                        <w:p>
                          <w:pPr>
                            <w:ind w:firstLine="720"/>
                            <w:jc w:val="both"/>
                            <w:rPr>
                              <w:szCs w:val="24"/>
                              <w:lang w:eastAsia="lt-LT"/>
                            </w:rPr>
                          </w:pPr>
                          <w:r>
                            <w:rPr>
                              <w:color w:val="000000"/>
                              <w:szCs w:val="24"/>
                              <w:bdr w:val="none" w:sz="0" w:space="0" w:color="auto" w:frame="1"/>
                              <w:shd w:val="clear" w:color="auto" w:fill="FFFFFF"/>
                              <w:lang w:eastAsia="lt-LT"/>
                            </w:rPr>
                            <w:t xml:space="preserve">D </w:t>
                          </w:r>
                          <w:r>
                            <w:rPr>
                              <w:color w:val="000000"/>
                              <w:szCs w:val="24"/>
                              <w:lang w:eastAsia="lt-LT"/>
                            </w:rPr>
                            <w:t>–</w:t>
                          </w:r>
                          <w:r>
                            <w:rPr>
                              <w:color w:val="000000"/>
                              <w:szCs w:val="24"/>
                              <w:bdr w:val="none" w:sz="0" w:space="0" w:color="auto" w:frame="1"/>
                              <w:shd w:val="clear" w:color="auto" w:fill="FFFFFF"/>
                              <w:lang w:eastAsia="lt-LT"/>
                            </w:rPr>
                            <w:t xml:space="preserve"> </w:t>
                          </w:r>
                          <w:r>
                            <w:rPr>
                              <w:color w:val="000000"/>
                              <w:szCs w:val="24"/>
                              <w:lang w:eastAsia="lt-LT"/>
                            </w:rPr>
                            <w:t>prognozuojama Įmonės grynoji finansinė skola (Eur), kuri skaičiuojama pagal prognozuojamą ataskaitinio laikotarpio grynosios finansinės skolos t metų pabaigai dydį, vėlesniais laikotarpiais koreguojant pagal faktinį audituotose ataskaitose numatytą šio rodiklio dydį. Prognozuojama Įmonės grynoji finansinė skola apskaičiuojama pagal formulę:</w:t>
                          </w:r>
                        </w:p>
                        <w:p>
                          <w:pPr>
                            <w:jc w:val="both"/>
                            <w:rPr>
                              <w:color w:val="000000"/>
                              <w:szCs w:val="24"/>
                              <w:bdr w:val="none" w:sz="0" w:space="0" w:color="auto" w:frame="1"/>
                              <w:shd w:val="clear" w:color="auto" w:fill="FFFFFF"/>
                              <w:lang w:eastAsia="lt-LT"/>
                            </w:rPr>
                          </w:pPr>
                          <m:oMathPara>
                            <m:oMath>
                              <m:r>
                                <w:rPr>
                                  <w:rFonts w:ascii="Cambria Math" w:hAnsi="Cambria Math"/>
                                  <w:color w:val="000000"/>
                                  <w:szCs w:val="24"/>
                                  <w:lang w:eastAsia="lt-LT"/>
                                </w:rPr>
                                <m:t>D</m:t>
                              </m:r>
                              <m:r>
                                <w:rPr>
                                  <w:rFonts w:ascii="Cambria Math" w:hAnsi="Cambria Math"/>
                                  <w:color w:val="000000"/>
                                  <w:szCs w:val="24"/>
                                  <w:lang w:eastAsia="lt-LT"/>
                                </w:rPr>
                                <m:t>=</m:t>
                              </m:r>
                              <m:r>
                                <w:rPr>
                                  <w:rFonts w:ascii="Cambria Math" w:hAnsi="Cambria Math"/>
                                  <w:color w:val="000000"/>
                                  <w:szCs w:val="24"/>
                                  <w:lang w:eastAsia="lt-LT"/>
                                </w:rPr>
                                <m:t>PI</m:t>
                              </m:r>
                              <m:r>
                                <w:rPr>
                                  <w:rFonts w:ascii="Cambria Math" w:hAnsi="Cambria Math"/>
                                  <w:color w:val="000000"/>
                                  <w:szCs w:val="24"/>
                                  <w:lang w:eastAsia="lt-LT"/>
                                </w:rPr>
                                <m:t>+</m:t>
                              </m:r>
                              <m:r>
                                <w:rPr>
                                  <w:rFonts w:ascii="Cambria Math" w:hAnsi="Cambria Math"/>
                                  <w:color w:val="000000"/>
                                  <w:szCs w:val="24"/>
                                  <w:lang w:eastAsia="lt-LT"/>
                                </w:rPr>
                                <m:t>O</m:t>
                              </m:r>
                              <m:r>
                                <w:rPr>
                                  <w:rFonts w:ascii="Cambria Math" w:hAnsi="Cambria Math"/>
                                  <w:color w:val="000000"/>
                                  <w:szCs w:val="24"/>
                                  <w:lang w:eastAsia="lt-LT"/>
                                </w:rPr>
                                <m:t>+</m:t>
                              </m:r>
                              <m:r>
                                <w:rPr>
                                  <w:rFonts w:ascii="Cambria Math" w:hAnsi="Cambria Math"/>
                                  <w:color w:val="000000"/>
                                  <w:szCs w:val="24"/>
                                  <w:lang w:eastAsia="lt-LT"/>
                                </w:rPr>
                                <m:t>PT</m:t>
                              </m:r>
                              <m:r>
                                <w:rPr>
                                  <w:rFonts w:ascii="Cambria Math" w:hAnsi="Cambria Math"/>
                                  <w:color w:val="000000"/>
                                  <w:szCs w:val="24"/>
                                  <w:lang w:eastAsia="lt-LT"/>
                                </w:rPr>
                                <m:t>-</m:t>
                              </m:r>
                              <m:r>
                                <w:rPr>
                                  <w:rFonts w:ascii="Cambria Math" w:hAnsi="Cambria Math"/>
                                  <w:color w:val="000000"/>
                                  <w:szCs w:val="24"/>
                                  <w:lang w:eastAsia="lt-LT"/>
                                </w:rPr>
                                <m:t>PE</m:t>
                              </m:r>
                              <m:r>
                                <w:rPr>
                                  <w:rFonts w:ascii="Cambria Math" w:hAnsi="Cambria Math"/>
                                  <w:color w:val="000000"/>
                                  <w:szCs w:val="24"/>
                                  <w:lang w:eastAsia="lt-LT"/>
                                </w:rPr>
                                <m:t>-</m:t>
                              </m:r>
                              <m:r>
                                <w:rPr>
                                  <w:rFonts w:ascii="Cambria Math" w:hAnsi="Cambria Math"/>
                                  <w:color w:val="000000"/>
                                  <w:szCs w:val="24"/>
                                  <w:lang w:eastAsia="lt-LT"/>
                                </w:rPr>
                                <m:t>PS</m:t>
                              </m:r>
                            </m:oMath>
                          </m:oMathPara>
                        </w:p>
                        <w:p>
                          <w:pPr>
                            <w:ind w:firstLine="720"/>
                            <w:jc w:val="both"/>
                            <w:rPr>
                              <w:color w:val="000000"/>
                              <w:szCs w:val="24"/>
                              <w:bdr w:val="none" w:sz="0" w:space="0" w:color="auto" w:frame="1"/>
                              <w:shd w:val="clear" w:color="auto" w:fill="FFFFFF"/>
                              <w:lang w:eastAsia="lt-LT"/>
                            </w:rPr>
                          </w:pPr>
                          <w:r>
                            <w:rPr>
                              <w:color w:val="000000"/>
                              <w:szCs w:val="24"/>
                              <w:bdr w:val="none" w:sz="0" w:space="0" w:color="auto" w:frame="1"/>
                              <w:shd w:val="clear" w:color="auto" w:fill="FFFFFF"/>
                              <w:lang w:eastAsia="lt-LT"/>
                            </w:rPr>
                            <w:t>čia:</w:t>
                          </w:r>
                        </w:p>
                        <w:p>
                          <w:pPr>
                            <w:ind w:firstLine="720"/>
                            <w:jc w:val="both"/>
                            <w:rPr>
                              <w:szCs w:val="24"/>
                              <w:bdr w:val="none" w:sz="0" w:space="0" w:color="auto" w:frame="1"/>
                              <w:lang w:eastAsia="lt-LT"/>
                            </w:rPr>
                          </w:pPr>
                          <w:r>
                            <w:rPr>
                              <w:color w:val="000000"/>
                              <w:szCs w:val="24"/>
                              <w:lang w:eastAsia="lt-LT"/>
                            </w:rPr>
                            <w:t>PI – Įmonės ilgalaikės paskolos ir kiti Įmonės ilgalaikiai įsipareigojimai, Eur;</w:t>
                          </w:r>
                        </w:p>
                        <w:p>
                          <w:pPr>
                            <w:ind w:firstLine="720"/>
                            <w:jc w:val="both"/>
                            <w:rPr>
                              <w:szCs w:val="24"/>
                              <w:lang w:eastAsia="lt-LT"/>
                            </w:rPr>
                          </w:pPr>
                          <w:r>
                            <w:rPr>
                              <w:color w:val="000000"/>
                              <w:szCs w:val="24"/>
                              <w:lang w:eastAsia="lt-LT"/>
                            </w:rPr>
                            <w:t>O – Įmonės išleistos obligacijos, Eur;</w:t>
                          </w:r>
                        </w:p>
                        <w:p>
                          <w:pPr>
                            <w:ind w:firstLine="720"/>
                            <w:jc w:val="both"/>
                            <w:rPr>
                              <w:szCs w:val="24"/>
                              <w:lang w:eastAsia="lt-LT"/>
                            </w:rPr>
                          </w:pPr>
                          <w:r>
                            <w:rPr>
                              <w:color w:val="000000"/>
                              <w:szCs w:val="24"/>
                              <w:lang w:eastAsia="lt-LT"/>
                            </w:rPr>
                            <w:t>PT – Įmonės paskolų einamųjų metų dalis ir trumpalaikės paskolos bei kiti Įmonės trumpalaikiai įsipareigojimai, Eur;</w:t>
                          </w:r>
                        </w:p>
                        <w:p>
                          <w:pPr>
                            <w:ind w:firstLine="720"/>
                            <w:jc w:val="both"/>
                            <w:rPr>
                              <w:szCs w:val="24"/>
                              <w:lang w:eastAsia="lt-LT"/>
                            </w:rPr>
                          </w:pPr>
                          <w:r>
                            <w:rPr>
                              <w:color w:val="000000"/>
                              <w:szCs w:val="24"/>
                              <w:lang w:eastAsia="lt-LT"/>
                            </w:rPr>
                            <w:t>PE – Įmonės pinigai ir pinigų ekvivalentai, Eur;</w:t>
                          </w:r>
                        </w:p>
                        <w:p>
                          <w:pPr>
                            <w:ind w:firstLine="720"/>
                            <w:jc w:val="both"/>
                            <w:rPr>
                              <w:szCs w:val="24"/>
                              <w:lang w:eastAsia="lt-LT"/>
                            </w:rPr>
                          </w:pPr>
                          <w:r>
                            <w:rPr>
                              <w:color w:val="000000"/>
                              <w:szCs w:val="24"/>
                              <w:lang w:eastAsia="lt-LT"/>
                            </w:rPr>
                            <w:t>PS – su Įmone susijusiems ūkio subjektams suteiktos paskolos, Eur;</w:t>
                          </w:r>
                        </w:p>
                        <w:p>
                          <w:pPr>
                            <w:ind w:firstLine="720"/>
                            <w:jc w:val="both"/>
                            <w:textAlignment w:val="baseline"/>
                            <w:rPr>
                              <w:szCs w:val="24"/>
                              <w:lang w:eastAsia="lt-LT"/>
                            </w:rPr>
                          </w:pPr>
                          <w:r>
                            <w:rPr>
                              <w:szCs w:val="24"/>
                              <w:lang w:eastAsia="lt-LT"/>
                            </w:rPr>
                            <w:t>EBITDA</w:t>
                          </w:r>
                          <w:r>
                            <w:rPr>
                              <w:szCs w:val="24"/>
                              <w:vertAlign w:val="subscript"/>
                              <w:lang w:eastAsia="lt-LT"/>
                            </w:rPr>
                            <w:t>1</w:t>
                          </w:r>
                          <w:r>
                            <w:rPr>
                              <w:szCs w:val="24"/>
                              <w:lang w:eastAsia="lt-LT"/>
                            </w:rPr>
                            <w:t xml:space="preserve"> - </w:t>
                          </w:r>
                          <w:r>
                            <w:rPr>
                              <w:szCs w:val="24"/>
                            </w:rPr>
                            <w:t>p</w:t>
                          </w:r>
                          <w:r>
                            <w:rPr>
                              <w:szCs w:val="24"/>
                              <w:lang w:eastAsia="lt-LT"/>
                            </w:rPr>
                            <w:t>elnas prieš mokesčius, palūkanas, nusidėvėjimą ir amortizaciją. EBITDA</w:t>
                          </w:r>
                          <w:r>
                            <w:rPr>
                              <w:szCs w:val="24"/>
                              <w:vertAlign w:val="subscript"/>
                              <w:lang w:eastAsia="lt-LT"/>
                            </w:rPr>
                            <w:t>1</w:t>
                          </w:r>
                          <w:r>
                            <w:rPr>
                              <w:szCs w:val="24"/>
                              <w:lang w:eastAsia="lt-LT"/>
                            </w:rPr>
                            <w:t xml:space="preserve"> papildomos dedamosios nustatymui yra skaičiuojamas pagal formulę:</w:t>
                          </w:r>
                        </w:p>
                        <w:p>
                          <w:pPr>
                            <w:jc w:val="both"/>
                            <w:textAlignment w:val="baseline"/>
                            <w:rPr>
                              <w:szCs w:val="24"/>
                              <w:lang w:eastAsia="lt-LT"/>
                            </w:rPr>
                          </w:pPr>
                        </w:p>
                        <w:p>
                          <w:pPr>
                            <w:jc w:val="both"/>
                            <w:rPr>
                              <w:i/>
                              <w:iCs/>
                              <w:color w:val="000000"/>
                              <w:szCs w:val="24"/>
                              <w:bdr w:val="none" w:sz="0" w:space="0" w:color="auto" w:frame="1"/>
                              <w:shd w:val="clear" w:color="auto" w:fill="FFFFFF"/>
                              <w:lang w:eastAsia="lt-LT"/>
                            </w:rPr>
                          </w:pPr>
                          <m:oMathPara>
                            <m:oMath>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N</m:t>
                                  </m:r>
                                </m:e>
                                <m:sub>
                                  <m:r>
                                    <w:rPr>
                                      <w:rFonts w:ascii="Cambria Math" w:hAnsi="Cambria Math"/>
                                      <w:szCs w:val="24"/>
                                      <w:lang w:eastAsia="lt-LT"/>
                                    </w:rPr>
                                    <m:t>t</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ROI</m:t>
                                  </m:r>
                                </m:e>
                                <m:sub>
                                  <m:r>
                                    <w:rPr>
                                      <w:rFonts w:ascii="Cambria Math" w:hAnsi="Cambria Math"/>
                                      <w:szCs w:val="24"/>
                                      <w:lang w:eastAsia="lt-LT"/>
                                    </w:rPr>
                                    <m:t>t</m:t>
                                  </m:r>
                                </m:sub>
                              </m:sSub>
                              <m:r>
                                <w:rPr>
                                  <w:rFonts w:ascii="Cambria Math" w:hAnsi="Cambria Math"/>
                                  <w:szCs w:val="24"/>
                                  <w:lang w:eastAsia="lt-LT"/>
                                </w:rPr>
                                <m:t xml:space="preserve">+/- </m:t>
                              </m:r>
                              <m:sSub>
                                <m:sSubPr>
                                  <m:ctrlPr>
                                    <w:rPr>
                                      <w:rFonts w:ascii="Cambria Math" w:eastAsiaTheme="minorHAnsi" w:hAnsi="Cambria Math"/>
                                      <w:i/>
                                      <w:iCs/>
                                      <w:szCs w:val="24"/>
                                    </w:rPr>
                                  </m:ctrlPr>
                                </m:sSubPr>
                                <m:e>
                                  <m:r>
                                    <w:rPr>
                                      <w:rFonts w:ascii="Cambria Math" w:hAnsi="Cambria Math"/>
                                      <w:szCs w:val="24"/>
                                      <w:lang w:eastAsia="lt-LT"/>
                                    </w:rPr>
                                    <m:t>K</m:t>
                                  </m:r>
                                </m:e>
                                <m:sub>
                                  <m:r>
                                    <w:rPr>
                                      <w:rFonts w:ascii="Cambria Math" w:hAnsi="Cambria Math"/>
                                      <w:szCs w:val="24"/>
                                      <w:lang w:eastAsia="lt-LT"/>
                                    </w:rPr>
                                    <m:t>t</m:t>
                                  </m:r>
                                </m:sub>
                              </m:sSub>
                            </m:oMath>
                          </m:oMathPara>
                        </w:p>
                        <w:p>
                          <w:pPr>
                            <w:ind w:firstLine="720"/>
                            <w:jc w:val="both"/>
                            <w:textAlignment w:val="baseline"/>
                            <w:rPr>
                              <w:szCs w:val="24"/>
                              <w:bdr w:val="none" w:sz="0" w:space="0" w:color="auto" w:frame="1"/>
                              <w:lang w:eastAsia="lt-LT"/>
                            </w:rPr>
                          </w:pPr>
                          <w:r>
                            <w:rPr>
                              <w:szCs w:val="24"/>
                              <w:lang w:eastAsia="lt-LT"/>
                            </w:rPr>
                            <w:t xml:space="preserve">čia: </w:t>
                          </w:r>
                        </w:p>
                        <w:p>
                          <w:pPr>
                            <w:ind w:firstLine="720"/>
                            <w:jc w:val="both"/>
                            <w:textAlignment w:val="baseline"/>
                            <w:rPr>
                              <w:szCs w:val="24"/>
                              <w:lang w:eastAsia="lt-LT"/>
                            </w:rPr>
                          </w:pPr>
                          <w:r>
                            <w:rPr>
                              <w:szCs w:val="24"/>
                              <w:lang w:eastAsia="lt-LT"/>
                            </w:rPr>
                            <w:t>N</w:t>
                          </w:r>
                          <w:r>
                            <w:rPr>
                              <w:szCs w:val="24"/>
                              <w:vertAlign w:val="subscript"/>
                              <w:lang w:eastAsia="lt-LT"/>
                            </w:rPr>
                            <w:t>t</w:t>
                          </w:r>
                          <w:r>
                            <w:rPr>
                              <w:szCs w:val="24"/>
                              <w:lang w:eastAsia="lt-LT"/>
                            </w:rPr>
                            <w:t> – </w:t>
                          </w:r>
                          <w:r>
                            <w:rPr>
                              <w:color w:val="000000"/>
                              <w:szCs w:val="24"/>
                              <w:lang w:eastAsia="lt-LT"/>
                            </w:rPr>
                            <w:t>planuojamos </w:t>
                          </w:r>
                          <w:r>
                            <w:rPr>
                              <w:i/>
                              <w:iCs/>
                              <w:color w:val="000000"/>
                              <w:szCs w:val="24"/>
                              <w:lang w:eastAsia="lt-LT"/>
                            </w:rPr>
                            <w:t>t</w:t>
                          </w:r>
                          <w:r>
                            <w:rPr>
                              <w:color w:val="000000"/>
                              <w:szCs w:val="24"/>
                              <w:lang w:eastAsia="lt-LT"/>
                            </w:rPr>
                            <w:t> metų nusidėvėjimo ir amortizacijos sąnaudos, Eur; </w:t>
                          </w:r>
                        </w:p>
                        <w:p>
                          <w:pPr>
                            <w:ind w:firstLine="720"/>
                            <w:jc w:val="both"/>
                            <w:textAlignment w:val="baseline"/>
                            <w:rPr>
                              <w:color w:val="000000"/>
                              <w:szCs w:val="24"/>
                              <w:lang w:eastAsia="lt-LT"/>
                            </w:rPr>
                          </w:pPr>
                          <w:r>
                            <w:rPr>
                              <w:color w:val="000000"/>
                              <w:szCs w:val="24"/>
                              <w:lang w:eastAsia="lt-LT"/>
                            </w:rPr>
                            <w:t>ROI</w:t>
                          </w:r>
                          <w:r>
                            <w:rPr>
                              <w:color w:val="000000"/>
                              <w:szCs w:val="24"/>
                              <w:vertAlign w:val="subscript"/>
                              <w:lang w:eastAsia="lt-LT"/>
                            </w:rPr>
                            <w:t>t</w:t>
                          </w:r>
                          <w:r>
                            <w:rPr>
                              <w:color w:val="000000"/>
                              <w:szCs w:val="24"/>
                              <w:lang w:eastAsia="lt-LT"/>
                            </w:rPr>
                            <w:t> </w:t>
                          </w:r>
                          <w:r>
                            <w:rPr>
                              <w:szCs w:val="24"/>
                              <w:lang w:eastAsia="lt-LT"/>
                            </w:rPr>
                            <w:t>–</w:t>
                          </w:r>
                          <w:r>
                            <w:rPr>
                              <w:color w:val="000000"/>
                              <w:szCs w:val="24"/>
                              <w:lang w:eastAsia="lt-LT"/>
                            </w:rPr>
                            <w:t> investicijų grąža, apskaičiuota taikant Tarybos </w:t>
                          </w:r>
                          <w:r>
                            <w:rPr>
                              <w:i/>
                              <w:iCs/>
                              <w:color w:val="000000"/>
                              <w:szCs w:val="24"/>
                              <w:lang w:eastAsia="lt-LT"/>
                            </w:rPr>
                            <w:t>t</w:t>
                          </w:r>
                          <w:r>
                            <w:rPr>
                              <w:color w:val="000000"/>
                              <w:szCs w:val="24"/>
                              <w:lang w:eastAsia="lt-LT"/>
                            </w:rPr>
                            <w:t>  metų nustatytą investicijų grąžos normą nuo reguliuojamos turto bazės t metų pradžiai, Eur;</w:t>
                          </w:r>
                        </w:p>
                        <w:p>
                          <w:pPr>
                            <w:ind w:firstLine="720"/>
                            <w:jc w:val="both"/>
                            <w:rPr>
                              <w:rFonts w:eastAsia="Calibri"/>
                              <w:color w:val="000000"/>
                              <w:szCs w:val="24"/>
                            </w:rPr>
                          </w:pPr>
                          <w:r>
                            <w:rPr>
                              <w:i/>
                              <w:iCs/>
                              <w:color w:val="000000"/>
                              <w:szCs w:val="24"/>
                            </w:rPr>
                            <w:t>K</w:t>
                          </w:r>
                          <w:r>
                            <w:rPr>
                              <w:i/>
                              <w:iCs/>
                              <w:color w:val="000000"/>
                              <w:szCs w:val="24"/>
                              <w:vertAlign w:val="subscript"/>
                            </w:rPr>
                            <w:t>t</w:t>
                          </w:r>
                          <w:r>
                            <w:rPr>
                              <w:color w:val="000000"/>
                              <w:szCs w:val="24"/>
                              <w:vertAlign w:val="subscript"/>
                            </w:rPr>
                            <w:t> </w:t>
                          </w:r>
                          <w:r>
                            <w:rPr>
                              <w:color w:val="000000"/>
                              <w:szCs w:val="24"/>
                            </w:rPr>
                            <w:t xml:space="preserve">– </w:t>
                          </w:r>
                          <w:r>
                            <w:rPr>
                              <w:szCs w:val="24"/>
                            </w:rPr>
                            <w:t>už praėjusius metus t metų reguliuojamos veiklos leistiname pajamų lygyje Tarybos vertinamas investicijų grąžos nuokrypio dydis, apskaičiuotas pagal Metodikos 23.8 papunktį ir kuriam taikoma Metodikos 25.2. punkte apibrėžta sąlyga,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b91850475ace41b3ad50c9b1528c2df7"/>
                    <w:lock w:val="sdtLocked"/>
                    <w:richText/>
                  </w:sdtPr>
                  <w:sdtContent>
                    <w:p>
                      <w:pPr>
                        <w:spacing w:line="252" w:lineRule="auto"/>
                        <w:ind w:firstLine="709"/>
                        <w:jc w:val="both"/>
                        <w:rPr>
                          <w:szCs w:val="24"/>
                          <w:lang w:eastAsia="lt-LT"/>
                        </w:rPr>
                      </w:pPr>
                      <w:sdt>
                        <w:sdtPr>
                          <w:alias w:val="Numeris"/>
                          <w:tag w:val="nr_b91850475ace41b3ad50c9b1528c2df7"/>
                          <w:lock w:val="sdtLocked"/>
                          <w:richText/>
                        </w:sdtPr>
                        <w:sdtContent>
                          <w:r>
                            <w:rPr>
                              <w:szCs w:val="24"/>
                            </w:rPr>
                            <w:t>16</w:t>
                          </w:r>
                        </w:sdtContent>
                      </w:sdt>
                      <w:r>
                        <w:rPr>
                          <w:szCs w:val="24"/>
                        </w:rPr>
                        <w:t>. 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left="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 xml:space="preserve"> </m:t>
                        </m:r>
                      </m:oMath>
                      <w:r>
                        <w:rPr>
                          <w:szCs w:val="24"/>
                          <w:lang w:eastAsia="lt-LT"/>
                        </w:rPr>
                        <w:t>(8)</w:t>
                      </w:r>
                    </w:p>
                    <w:p>
                      <w:pPr>
                        <w:spacing w:line="252" w:lineRule="auto"/>
                        <w:ind w:left="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7 p."/>
                    <w:tag w:val="part_4aca46735e2f4e719af68d386f206caf"/>
                    <w:lock w:val="sdtLocked"/>
                    <w:richText/>
                  </w:sdtPr>
                  <w:sdtContent>
                    <w:p>
                      <w:pPr>
                        <w:tabs>
                          <w:tab w:val="left" w:pos="993"/>
                        </w:tabs>
                        <w:spacing w:line="252" w:lineRule="auto"/>
                        <w:ind w:firstLine="709"/>
                        <w:jc w:val="both"/>
                        <w:rPr>
                          <w:szCs w:val="24"/>
                        </w:rPr>
                      </w:pPr>
                      <w:sdt>
                        <w:sdtPr>
                          <w:alias w:val="Numeris"/>
                          <w:tag w:val="nr_4aca46735e2f4e719af68d386f206caf"/>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720"/>
                        <w:jc w:val="center"/>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r>
                          <w:rPr>
                            <w:rFonts w:ascii="Cambria Math" w:hAnsi="Cambria Math"/>
                          </w:rPr>
                          <m:t xml:space="preserve"> </m:t>
                        </m:r>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8 p."/>
                    <w:tag w:val="part_a515cb9fa2fa490f8e558c9df531ef8e"/>
                    <w:lock w:val="sdtLocked"/>
                    <w:richText/>
                  </w:sdtPr>
                  <w:sdtContent>
                    <w:p>
                      <w:pPr>
                        <w:tabs>
                          <w:tab w:val="left" w:pos="993"/>
                          <w:tab w:val="left" w:pos="9356"/>
                        </w:tabs>
                        <w:spacing w:line="252" w:lineRule="auto"/>
                        <w:ind w:firstLine="720"/>
                        <w:jc w:val="both"/>
                        <w:rPr>
                          <w:szCs w:val="24"/>
                        </w:rPr>
                      </w:pPr>
                      <w:sdt>
                        <w:sdtPr>
                          <w:alias w:val="Numeris"/>
                          <w:tag w:val="nr_a515cb9fa2fa490f8e558c9df531ef8e"/>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m:t>
                                    </m:r>
                                    <m:r>
                                      <w:rPr>
                                        <w:rFonts w:ascii="Cambria Math" w:hAnsi="Cambria Math"/>
                                        <w:szCs w:val="24"/>
                                      </w:rPr>
                                      <m:t>ė</m:t>
                                    </m:r>
                                    <m:r>
                                      <w:rPr>
                                        <w:rFonts w:ascii="Cambria Math" w:hAnsi="Cambria Math"/>
                                        <w:szCs w:val="24"/>
                                      </w:rPr>
                                      <m:t>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86b86beb3bfe42b1a659a992e286c7d7"/>
                    <w:lock w:val="sdtLocked"/>
                    <w:richText/>
                  </w:sdtPr>
                  <w:sdtContent>
                    <w:p>
                      <w:pPr>
                        <w:spacing w:line="252" w:lineRule="auto"/>
                        <w:ind w:firstLine="720"/>
                        <w:jc w:val="both"/>
                        <w:rPr>
                          <w:szCs w:val="24"/>
                          <w:lang w:eastAsia="lt-LT"/>
                        </w:rPr>
                      </w:pPr>
                      <w:sdt>
                        <w:sdtPr>
                          <w:alias w:val="Numeris"/>
                          <w:tag w:val="nr_86b86beb3bfe42b1a659a992e286c7d7"/>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atitinkamų metų, kuriais rodiklis pablogėjo,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tolesniam laikotarpiui</w:t>
                      </w:r>
                      <w:r>
                        <w:rPr>
                          <w:b/>
                          <w:bCs/>
                          <w:szCs w:val="24"/>
                          <w:lang w:eastAsia="lt-LT"/>
                        </w:rPr>
                        <w:t xml:space="preserve"> </w:t>
                      </w:r>
                      <w:r>
                        <w:rPr>
                          <w:szCs w:val="24"/>
                          <w:lang w:eastAsia="lt-LT"/>
                        </w:rPr>
                        <w:t>atitinkamai už kiekvieną persiuntimo patikimumo rodiklį: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ee7273d2f49341af97af323c6d4ce499"/>
                    <w:lock w:val="sdtLocked"/>
                    <w:richText/>
                  </w:sdtPr>
                  <w:sdtContent>
                    <w:p>
                      <w:pPr>
                        <w:spacing w:line="252" w:lineRule="auto"/>
                        <w:ind w:firstLine="709"/>
                        <w:jc w:val="both"/>
                        <w:rPr>
                          <w:szCs w:val="24"/>
                          <w:lang w:eastAsia="lt-LT"/>
                        </w:rPr>
                      </w:pPr>
                      <w:sdt>
                        <w:sdtPr>
                          <w:alias w:val="Numeris"/>
                          <w:tag w:val="nr_ee7273d2f49341af97af323c6d4ce499"/>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pasibaigusio reguliavimo laikotarpio metų, kurių persiuntimo patikimumo rodiklis viršijo nustatytą lygį, elektros energijos perdavimo ir skirstymo paslaugų leistina investicijų grąža po viso reguliavimo laikotarpio, įskaitant reguliavimo laikotarpio pratęsimą, sumažinama už kiekvieną persiuntimo patikimumo rodiklį ir įvertinama nustatant elektros energijos perdavimo ar skirstymo paslaugų kainų viršutines ribas einamojo reguliavimo laikotarpio antriems metams:</w:t>
                      </w:r>
                    </w:p>
                    <w:sdt>
                      <w:sdtPr>
                        <w:alias w:val="22.1 pp."/>
                        <w:tag w:val="part_a1065d1730f34437945c105888d4b336"/>
                        <w:lock w:val="sdtLocked"/>
                        <w:richText/>
                      </w:sdtPr>
                      <w:sdtContent>
                        <w:p>
                          <w:pPr>
                            <w:spacing w:line="252" w:lineRule="auto"/>
                            <w:ind w:firstLine="709"/>
                            <w:jc w:val="both"/>
                            <w:rPr>
                              <w:szCs w:val="24"/>
                              <w:lang w:eastAsia="lt-LT"/>
                            </w:rPr>
                          </w:pPr>
                          <w:sdt>
                            <w:sdtPr>
                              <w:alias w:val="Numeris"/>
                              <w:tag w:val="nr_a1065d1730f34437945c105888d4b336"/>
                              <w:lock w:val="sdtLocked"/>
                              <w:richText/>
                            </w:sdtPr>
                            <w:sdtContent>
                              <w:r>
                                <w:rPr>
                                  <w:szCs w:val="24"/>
                                  <w:lang w:eastAsia="lt-LT"/>
                                </w:rPr>
                                <w:t>22.1</w:t>
                              </w:r>
                            </w:sdtContent>
                          </w:sdt>
                          <w:r>
                            <w:rPr>
                              <w:szCs w:val="24"/>
                              <w:lang w:eastAsia="lt-LT"/>
                            </w:rPr>
                            <w:t>. 1 proc., jei visų pasibaigusio reguliavimo laikotarpio metų (įskaitant ir laikotarpio pratęsimą) persiuntimo patikimumo rodiklio, kuriam nustatytas minimalus lygis, vidurkis pablogėjo nuo 5 iki 10 proc., palyginti su Tarybos nustatytu minimaliu lygiu kartu su rodiklio pagerinimo užduotimi;</w:t>
                          </w:r>
                        </w:p>
                      </w:sdtContent>
                    </w:sdt>
                    <w:sdt>
                      <w:sdtPr>
                        <w:alias w:val="22.2 pp."/>
                        <w:tag w:val="part_941b05336eb6434e80d79fef18b207ff"/>
                        <w:lock w:val="sdtLocked"/>
                        <w:richText/>
                      </w:sdtPr>
                      <w:sdtContent>
                        <w:p>
                          <w:pPr>
                            <w:spacing w:line="252" w:lineRule="auto"/>
                            <w:ind w:firstLine="709"/>
                            <w:jc w:val="both"/>
                            <w:rPr>
                              <w:szCs w:val="24"/>
                              <w:lang w:eastAsia="lt-LT"/>
                            </w:rPr>
                          </w:pPr>
                          <w:sdt>
                            <w:sdtPr>
                              <w:alias w:val="Numeris"/>
                              <w:tag w:val="nr_941b05336eb6434e80d79fef18b207ff"/>
                              <w:lock w:val="sdtLocked"/>
                              <w:richText/>
                            </w:sdtPr>
                            <w:sdtContent>
                              <w:r>
                                <w:rPr>
                                  <w:szCs w:val="24"/>
                                  <w:lang w:eastAsia="lt-LT"/>
                                </w:rPr>
                                <w:t>22.2</w:t>
                              </w:r>
                            </w:sdtContent>
                          </w:sdt>
                          <w:r>
                            <w:rPr>
                              <w:szCs w:val="24"/>
                              <w:lang w:eastAsia="lt-LT"/>
                            </w:rPr>
                            <w:t>. 2 proc., jei visų pasibaigusio reguliavimo laikotarpio metų (įskaitant ir laikotarpio pratęsimą) persiuntimo patikimumo rodiklio, kuriam nustatytas minimalus lygis, vidurkis pablogėjo daugiau nei 10 proc., palyginti su Tarybos nustatytu minimaliu lygiu kartu su rodiklio pagerinimo užduotimi.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5b8274f0be8c4dc8ba4043c72804863a"/>
                        <w:lock w:val="sdtLocked"/>
                        <w:richText/>
                      </w:sdtPr>
                      <w:sdtContent>
                        <w:p>
                          <w:pPr>
                            <w:spacing w:line="252" w:lineRule="auto"/>
                            <w:ind w:firstLine="720"/>
                            <w:jc w:val="both"/>
                            <w:rPr>
                              <w:szCs w:val="24"/>
                              <w:lang w:eastAsia="lt-LT"/>
                            </w:rPr>
                          </w:pPr>
                          <w:sdt>
                            <w:sdtPr>
                              <w:alias w:val="Numeris"/>
                              <w:tag w:val="nr_5b8274f0be8c4dc8ba4043c72804863a"/>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m:t>
                                </m:r>
                                <m:r>
                                  <w:rPr>
                                    <w:rFonts w:ascii="Cambria Math" w:hAnsi="Cambria Math"/>
                                  </w:rPr>
                                  <m:t>,</m:t>
                                </m:r>
                                <m:r>
                                  <w:rPr>
                                    <w:rFonts w:ascii="Cambria Math" w:hAnsi="Cambria Math"/>
                                  </w:rPr>
                                  <m:t>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3-1 p."/>
                    <w:tag w:val="part_067f1943b0704ecd865521726825c8d4"/>
                    <w:lock w:val="sdtLocked"/>
                    <w:richText/>
                  </w:sdtPr>
                  <w:sdtContent>
                    <w:p>
                      <w:pPr>
                        <w:tabs>
                          <w:tab w:val="left" w:pos="1080"/>
                          <w:tab w:val="left" w:pos="1260"/>
                        </w:tabs>
                        <w:spacing w:line="252" w:lineRule="auto"/>
                        <w:ind w:firstLine="709"/>
                        <w:jc w:val="both"/>
                        <w:rPr>
                          <w:szCs w:val="24"/>
                        </w:rPr>
                      </w:pPr>
                      <w:sdt>
                        <w:sdtPr>
                          <w:alias w:val="Numeris"/>
                          <w:tag w:val="nr_067f1943b0704ecd865521726825c8d4"/>
                          <w:lock w:val="sdtLocked"/>
                          <w:richText/>
                        </w:sdtPr>
                        <w:sdtContent>
                          <w:r>
                            <w:rPr>
                              <w:rFonts w:eastAsia="MS Mincho"/>
                              <w:szCs w:val="24"/>
                            </w:rPr>
                            <w:t>23</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ac44d2c7e1ed436185302751e3a0b22a"/>
                            <w:lock w:val="sdtLocked"/>
                            <w:richText/>
                          </w:sdtPr>
                          <w:sdtContent>
                            <w:p>
                              <w:pPr>
                                <w:tabs>
                                  <w:tab w:val="left" w:pos="758"/>
                                </w:tabs>
                                <w:spacing w:line="252" w:lineRule="auto"/>
                                <w:ind w:firstLine="709"/>
                                <w:jc w:val="both"/>
                                <w:rPr>
                                  <w:szCs w:val="24"/>
                                </w:rPr>
                              </w:pPr>
                              <w:sdt>
                                <w:sdtPr>
                                  <w:alias w:val="Numeris"/>
                                  <w:tag w:val="nr_ac44d2c7e1ed436185302751e3a0b22a"/>
                                  <w:lock w:val="sdtLocked"/>
                                  <w:richText/>
                                </w:sdtPr>
                                <w:sdtContent>
                                  <w:r>
                                    <w:rPr>
                                      <w:szCs w:val="24"/>
                                    </w:rPr>
                                    <w:t>24.1.1</w:t>
                                  </w:r>
                                </w:sdtContent>
                              </w:sdt>
                              <w:r>
                                <w:rPr>
                                  <w:szCs w:val="24"/>
                                </w:rPr>
                                <w:t>. Metodikos 23.1–23.6 papunkčiuose nurodyti investicijų grąžos viršijimo dydžiui įtakos turintys veiksniai;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3bde5725e2c8495982255a8e59a3a8c9"/>
                            <w:lock w:val="sdtLocked"/>
                            <w:richText/>
                          </w:sdtPr>
                          <w:sdtContent>
                            <w:p>
                              <w:pPr>
                                <w:spacing w:line="252" w:lineRule="auto"/>
                                <w:ind w:firstLine="720"/>
                                <w:jc w:val="both"/>
                                <w:rPr>
                                  <w:szCs w:val="24"/>
                                </w:rPr>
                              </w:pPr>
                              <w:sdt>
                                <w:sdtPr>
                                  <w:alias w:val="Numeris"/>
                                  <w:tag w:val="nr_3bde5725e2c8495982255a8e59a3a8c9"/>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m:t>
                                    </m:r>
                                    <m:r>
                                      <w:rPr>
                                        <w:rFonts w:ascii="Cambria Math" w:hAnsi="Cambria Math"/>
                                        <w:szCs w:val="24"/>
                                      </w:rPr>
                                      <m:t>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m:t>
                                    </m:r>
                                    <m:r>
                                      <w:rPr>
                                        <w:rFonts w:ascii="Cambria Math" w:hAnsi="Cambria Math"/>
                                        <w:szCs w:val="24"/>
                                        <w:vertAlign w:val="subscript"/>
                                      </w:rPr>
                                      <m:t>AICa</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4-1 p."/>
                    <w:tag w:val="part_f73ee11e7d8c46fb804654134166fb86"/>
                    <w:lock w:val="sdtLocked"/>
                    <w:richText/>
                  </w:sdtPr>
                  <w:sdtContent>
                    <w:p>
                      <w:pPr>
                        <w:tabs>
                          <w:tab w:val="left" w:pos="1080"/>
                          <w:tab w:val="left" w:pos="1260"/>
                        </w:tabs>
                        <w:spacing w:line="252" w:lineRule="auto"/>
                        <w:ind w:firstLine="709"/>
                        <w:jc w:val="both"/>
                        <w:rPr>
                          <w:szCs w:val="24"/>
                        </w:rPr>
                      </w:pPr>
                      <w:sdt>
                        <w:sdtPr>
                          <w:alias w:val="Numeris"/>
                          <w:tag w:val="nr_f73ee11e7d8c46fb804654134166fb86"/>
                          <w:lock w:val="sdtLocked"/>
                          <w:richText/>
                        </w:sdtPr>
                        <w:sdtContent>
                          <w:r>
                            <w:rPr>
                              <w:szCs w:val="24"/>
                            </w:rPr>
                            <w:t>24</w:t>
                          </w:r>
                          <w:r>
                            <w:rPr>
                              <w:szCs w:val="24"/>
                              <w:vertAlign w:val="superscript"/>
                            </w:rPr>
                            <w:t>1</w:t>
                          </w:r>
                        </w:sdtContent>
                      </w:sdt>
                      <w:r>
                        <w:rPr>
                          <w:szCs w:val="24"/>
                        </w:rPr>
                        <w:t xml:space="preserve">. </w:t>
                      </w:r>
                      <w:r>
                        <w:rPr>
                          <w:rFonts w:eastAsia="MS Mincho"/>
                          <w:szCs w:val="24"/>
                        </w:rPr>
                        <w:t>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f64cf270abda4f5a909a11e33181ab00"/>
                        <w:lock w:val="sdtLocked"/>
                        <w:richText/>
                      </w:sdtPr>
                      <w:sdtContent>
                        <w:p>
                          <w:pPr>
                            <w:ind w:firstLine="720"/>
                            <w:jc w:val="both"/>
                            <w:rPr>
                              <w:szCs w:val="24"/>
                            </w:rPr>
                          </w:pPr>
                          <w:sdt>
                            <w:sdtPr>
                              <w:alias w:val="Numeris"/>
                              <w:tag w:val="nr_f64cf270abda4f5a909a11e33181ab00"/>
                              <w:lock w:val="sdtLocked"/>
                              <w:richText/>
                            </w:sdtPr>
                            <w:sdtContent>
                              <w:r>
                                <w:rPr>
                                  <w:szCs w:val="24"/>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du reguliavimo periodai.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 pp."/>
                        <w:tag w:val="part_b1e7739dea76462887531cc0fc5d7477"/>
                        <w:lock w:val="sdtLocked"/>
                        <w:richText/>
                      </w:sdtPr>
                      <w:sdtContent>
                        <w:p>
                          <w:pPr>
                            <w:spacing w:line="252" w:lineRule="atLeast"/>
                            <w:ind w:firstLine="720"/>
                            <w:jc w:val="both"/>
                            <w:rPr>
                              <w:color w:val="000000"/>
                              <w:szCs w:val="24"/>
                              <w:lang w:eastAsia="lt-LT"/>
                            </w:rPr>
                          </w:pPr>
                          <w:sdt>
                            <w:sdtPr>
                              <w:alias w:val="Numeris"/>
                              <w:tag w:val="nr_b1e7739dea76462887531cc0fc5d7477"/>
                              <w:lock w:val="sdtLocked"/>
                              <w:richText/>
                            </w:sdtPr>
                            <w:sdtContent>
                              <w:r>
                                <w:rPr>
                                  <w:color w:val="000000"/>
                                  <w:szCs w:val="24"/>
                                  <w:lang w:eastAsia="lt-LT"/>
                                </w:rPr>
                                <w:t>25.3</w:t>
                              </w:r>
                            </w:sdtContent>
                          </w:sdt>
                          <w:r>
                            <w:rPr>
                              <w:color w:val="000000"/>
                              <w:szCs w:val="24"/>
                              <w:lang w:eastAsia="lt-LT"/>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w:t>
                          </w:r>
                          <w:r>
                            <w:rPr>
                              <w:szCs w:val="24"/>
                            </w:rPr>
                            <w:t>:</w:t>
                          </w:r>
                        </w:p>
                        <w:sdt>
                          <w:sdtPr>
                            <w:alias w:val="25.3.1 pp."/>
                            <w:tag w:val="part_8bb6690b91f0422a979e846e848308c4"/>
                            <w:lock w:val="sdtLocked"/>
                            <w:richText/>
                          </w:sdtPr>
                          <w:sdtContent>
                            <w:p>
                              <w:pPr>
                                <w:spacing w:line="252" w:lineRule="atLeast"/>
                                <w:ind w:firstLine="720"/>
                                <w:jc w:val="both"/>
                                <w:rPr>
                                  <w:color w:val="000000"/>
                                  <w:szCs w:val="24"/>
                                  <w:lang w:eastAsia="lt-LT"/>
                                </w:rPr>
                              </w:pPr>
                              <w:sdt>
                                <w:sdtPr>
                                  <w:alias w:val="Numeris"/>
                                  <w:tag w:val="nr_8bb6690b91f0422a979e846e848308c4"/>
                                  <w:lock w:val="sdtLocked"/>
                                  <w:richText/>
                                </w:sdtPr>
                                <w:sdtContent>
                                  <w:r>
                                    <w:rPr>
                                      <w:color w:val="000000"/>
                                      <w:szCs w:val="24"/>
                                      <w:lang w:eastAsia="lt-LT"/>
                                    </w:rPr>
                                    <w:t>25.3.1</w:t>
                                  </w:r>
                                </w:sdtContent>
                              </w:sdt>
                              <w:r>
                                <w:rPr>
                                  <w:color w:val="000000"/>
                                  <w:szCs w:val="24"/>
                                  <w:lang w:eastAsia="lt-LT"/>
                                </w:rPr>
                                <w:t>. užtikrintų 10 metų Įmonės investicijų plane numatytų investicijų įgyvendinimą</w:t>
                              </w:r>
                            </w:p>
                          </w:sdtContent>
                        </w:sdt>
                        <w:sdt>
                          <w:sdtPr>
                            <w:alias w:val="25.3.2 pp."/>
                            <w:tag w:val="part_c8f0824b10db4078874108a5a1e490da"/>
                            <w:lock w:val="sdtLocked"/>
                            <w:richText/>
                          </w:sdtPr>
                          <w:sdtContent>
                            <w:p>
                              <w:pPr>
                                <w:spacing w:line="252" w:lineRule="atLeast"/>
                                <w:ind w:firstLine="720"/>
                                <w:jc w:val="both"/>
                                <w:rPr>
                                  <w:szCs w:val="24"/>
                                  <w:lang w:eastAsia="lt-LT"/>
                                </w:rPr>
                              </w:pPr>
                              <w:sdt>
                                <w:sdtPr>
                                  <w:alias w:val="Numeris"/>
                                  <w:tag w:val="nr_c8f0824b10db4078874108a5a1e490da"/>
                                  <w:lock w:val="sdtLocked"/>
                                  <w:richText/>
                                </w:sdtPr>
                                <w:sdtContent>
                                  <w:r>
                                    <w:rPr>
                                      <w:szCs w:val="24"/>
                                      <w:lang w:eastAsia="lt-LT"/>
                                    </w:rPr>
                                    <w:t>25.3.2</w:t>
                                  </w:r>
                                </w:sdtContent>
                              </w:sdt>
                              <w:r>
                                <w:rPr>
                                  <w:szCs w:val="24"/>
                                  <w:lang w:eastAsia="lt-LT"/>
                                </w:rPr>
                                <w:t xml:space="preserve">.  užtikrintų didžiausią naudą per mažiausius reguliuojamų paslaugų kaštus vartotojams;</w:t>
                              </w:r>
                            </w:p>
                          </w:sdtContent>
                        </w:sdt>
                        <w:sdt>
                          <w:sdtPr>
                            <w:alias w:val="25.3.3 pp."/>
                            <w:tag w:val="part_c8e9bb4723b9450f83cb4572c33c77fb"/>
                            <w:lock w:val="sdtLocked"/>
                            <w:richText/>
                          </w:sdtPr>
                          <w:sdtContent>
                            <w:p>
                              <w:pPr>
                                <w:spacing w:line="252" w:lineRule="atLeast"/>
                                <w:ind w:firstLine="720"/>
                                <w:jc w:val="both"/>
                                <w:rPr>
                                  <w:color w:val="000000"/>
                                  <w:szCs w:val="24"/>
                                  <w:lang w:eastAsia="lt-LT"/>
                                </w:rPr>
                              </w:pPr>
                              <w:sdt>
                                <w:sdtPr>
                                  <w:alias w:val="Numeris"/>
                                  <w:tag w:val="nr_c8e9bb4723b9450f83cb4572c33c77fb"/>
                                  <w:lock w:val="sdtLocked"/>
                                  <w:richText/>
                                </w:sdtPr>
                                <w:sdtContent>
                                  <w:r>
                                    <w:rPr>
                                      <w:color w:val="000000"/>
                                      <w:szCs w:val="24"/>
                                      <w:lang w:eastAsia="lt-LT"/>
                                    </w:rPr>
                                    <w:t>25.3.3</w:t>
                                  </w:r>
                                </w:sdtContent>
                              </w:sdt>
                              <w:r>
                                <w:rPr>
                                  <w:color w:val="000000"/>
                                  <w:szCs w:val="24"/>
                                  <w:lang w:eastAsia="lt-LT"/>
                                </w:rPr>
                                <w:t>. išlaikytų tvarų Įmonės įsiskolinimo lygį, apibrėžtą Metodikos 14 punkte;</w:t>
                              </w:r>
                            </w:p>
                          </w:sdtContent>
                        </w:sdt>
                        <w:sdt>
                          <w:sdtPr>
                            <w:alias w:val="25.3.4 pp."/>
                            <w:tag w:val="part_bb0e1140db2342ebb9cf39108c54216e"/>
                            <w:lock w:val="sdtLocked"/>
                            <w:richText/>
                          </w:sdtPr>
                          <w:sdtContent>
                            <w:p>
                              <w:pPr>
                                <w:spacing w:line="252" w:lineRule="atLeast"/>
                                <w:ind w:firstLine="720"/>
                                <w:jc w:val="both"/>
                                <w:rPr>
                                  <w:color w:val="000000"/>
                                  <w:szCs w:val="24"/>
                                  <w:lang w:eastAsia="lt-LT"/>
                                </w:rPr>
                              </w:pPr>
                              <w:sdt>
                                <w:sdtPr>
                                  <w:alias w:val="Numeris"/>
                                  <w:tag w:val="nr_bb0e1140db2342ebb9cf39108c54216e"/>
                                  <w:lock w:val="sdtLocked"/>
                                  <w:richText/>
                                </w:sdtPr>
                                <w:sdtContent>
                                  <w:r>
                                    <w:rPr>
                                      <w:color w:val="000000"/>
                                      <w:szCs w:val="24"/>
                                      <w:lang w:eastAsia="lt-LT"/>
                                    </w:rPr>
                                    <w:t>25.3.4</w:t>
                                  </w:r>
                                </w:sdtContent>
                              </w:sdt>
                              <w:r>
                                <w:rPr>
                                  <w:color w:val="000000"/>
                                  <w:szCs w:val="24"/>
                                  <w:lang w:eastAsia="lt-LT"/>
                                </w:rPr>
                                <w:t>. užtikrintų Įmonės teikiamų paslaugų patikimumą;</w:t>
                              </w:r>
                            </w:p>
                          </w:sdtContent>
                        </w:sdt>
                        <w:sdt>
                          <w:sdtPr>
                            <w:alias w:val="25.3.5 pp."/>
                            <w:tag w:val="part_38473748c5864b33a00762159855098c"/>
                            <w:lock w:val="sdtLocked"/>
                            <w:richText/>
                          </w:sdtPr>
                          <w:sdtContent>
                            <w:p>
                              <w:pPr>
                                <w:spacing w:line="252" w:lineRule="atLeast"/>
                                <w:ind w:firstLine="709"/>
                                <w:jc w:val="both"/>
                              </w:pPr>
                              <w:sdt>
                                <w:sdtPr>
                                  <w:alias w:val="Numeris"/>
                                  <w:tag w:val="nr_38473748c5864b33a00762159855098c"/>
                                  <w:lock w:val="sdtLocked"/>
                                  <w:richText/>
                                </w:sdtPr>
                                <w:sdtContent>
                                  <w:r>
                                    <w:rPr>
                                      <w:color w:val="000000"/>
                                      <w:szCs w:val="24"/>
                                      <w:lang w:eastAsia="lt-LT"/>
                                    </w:rPr>
                                    <w:t>25.3.5</w:t>
                                  </w:r>
                                </w:sdtContent>
                              </w:sdt>
                              <w:r>
                                <w:rPr>
                                  <w:color w:val="000000"/>
                                  <w:szCs w:val="24"/>
                                  <w:lang w:eastAsia="lt-LT"/>
                                </w:rPr>
                                <w:t>. užtikrintų Įmonės teikiamų paslaugų kokybę.</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1 pp."/>
                        <w:tag w:val="part_40c14e06cd474519b45618b23fa38e11"/>
                        <w:lock w:val="sdtLocked"/>
                        <w:richText/>
                      </w:sdtPr>
                      <w:sdtContent>
                        <w:p>
                          <w:pPr>
                            <w:tabs>
                              <w:tab w:val="left" w:pos="993"/>
                            </w:tabs>
                            <w:ind w:firstLine="709"/>
                            <w:jc w:val="both"/>
                            <w:rPr>
                              <w:szCs w:val="24"/>
                            </w:rPr>
                          </w:pPr>
                          <w:sdt>
                            <w:sdtPr>
                              <w:alias w:val="Numeris"/>
                              <w:tag w:val="nr_40c14e06cd474519b45618b23fa38e11"/>
                              <w:lock w:val="sdtLocked"/>
                              <w:richText/>
                            </w:sdtPr>
                            <w:sdtContent>
                              <w:r>
                                <w:rPr>
                                  <w:szCs w:val="24"/>
                                </w:rPr>
                                <w:t>25.3</w:t>
                              </w:r>
                              <w:r>
                                <w:rPr>
                                  <w:szCs w:val="24"/>
                                  <w:vertAlign w:val="superscript"/>
                                </w:rPr>
                                <w:t>1</w:t>
                              </w:r>
                            </w:sdtContent>
                          </w:sdt>
                          <w:r>
                            <w:rPr>
                              <w:szCs w:val="24"/>
                            </w:rPr>
                            <w:t>. Taryba, vertindama 25.3.1–25.3.5 papunkčiuose numatytas sąlygas, skaičiuoja investicijų grąžos viršijimo dydžio korekcijos dydį kiekvieniems metams ir patvirtina preliminarų grąžinimo planą, kuris toliau tikslinamas kasmet nustatant pajamų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7160ddfbbdc4d5bb856dd6a05a3b8df"/>
                        <w:lock w:val="sdtLocked"/>
                        <w:richText/>
                      </w:sdtPr>
                      <w:sdtContent>
                        <w:p>
                          <w:pPr>
                            <w:widowControl w:val="0"/>
                            <w:tabs>
                              <w:tab w:val="left" w:pos="1276"/>
                              <w:tab w:val="left" w:pos="1843"/>
                            </w:tabs>
                            <w:spacing w:line="252" w:lineRule="auto"/>
                            <w:ind w:firstLine="709"/>
                            <w:jc w:val="both"/>
                            <w:rPr>
                              <w:szCs w:val="24"/>
                            </w:rPr>
                          </w:pPr>
                          <w:sdt>
                            <w:sdtPr>
                              <w:alias w:val="Numeris"/>
                              <w:tag w:val="nr_c7160ddfbbdc4d5bb856dd6a05a3b8df"/>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77086c258836400cade8414e5920ce2c"/>
                            <w:lock w:val="sdtLocked"/>
                            <w:richText/>
                          </w:sdtPr>
                          <w:sdtContent>
                            <w:p>
                              <w:pPr>
                                <w:widowControl w:val="0"/>
                                <w:tabs>
                                  <w:tab w:val="left" w:pos="1276"/>
                                  <w:tab w:val="left" w:pos="1843"/>
                                </w:tabs>
                                <w:spacing w:line="252" w:lineRule="auto"/>
                                <w:ind w:firstLine="709"/>
                                <w:jc w:val="both"/>
                                <w:rPr>
                                  <w:szCs w:val="24"/>
                                </w:rPr>
                              </w:pPr>
                              <w:sdt>
                                <w:sdtPr>
                                  <w:alias w:val="Numeris"/>
                                  <w:tag w:val="nr_77086c258836400cade8414e5920ce2c"/>
                                  <w:lock w:val="sdtLocked"/>
                                  <w:richText/>
                                </w:sdtPr>
                                <w:sdtContent>
                                  <w:r>
                                    <w:rPr>
                                      <w:szCs w:val="24"/>
                                    </w:rPr>
                                    <w:t>29.1.1</w:t>
                                  </w:r>
                                </w:sdtContent>
                              </w:sdt>
                              <w:r>
                                <w:rPr>
                                  <w:szCs w:val="24"/>
                                </w:rPr>
                                <w:t>. Įmonių, besiverčiančių skirstymo veikla, kurių veiklos teritorijoje esančių vartotojų skaičius mažesnis nei 100 tūkstančių atveju:</w:t>
                              </w:r>
                            </w:p>
                            <w:sdt>
                              <w:sdtPr>
                                <w:alias w:val="29.1.1.1 pp."/>
                                <w:tag w:val="part_215bb9c8c98e4332b858acf817729f61"/>
                                <w:lock w:val="sdtLocked"/>
                                <w:richText/>
                              </w:sdtPr>
                              <w:sdtContent>
                                <w:p>
                                  <w:pPr>
                                    <w:tabs>
                                      <w:tab w:val="left" w:pos="993"/>
                                    </w:tabs>
                                    <w:spacing w:line="252" w:lineRule="auto"/>
                                    <w:ind w:firstLine="709"/>
                                    <w:jc w:val="both"/>
                                    <w:rPr>
                                      <w:szCs w:val="24"/>
                                    </w:rPr>
                                  </w:pPr>
                                  <w:sdt>
                                    <w:sdtPr>
                                      <w:alias w:val="Numeris"/>
                                      <w:tag w:val="nr_215bb9c8c98e4332b858acf817729f61"/>
                                      <w:lock w:val="sdtLocked"/>
                                      <w:richText/>
                                    </w:sdtPr>
                                    <w:sdtContent>
                                      <w:r>
                                        <w:rPr>
                                          <w:szCs w:val="24"/>
                                        </w:rPr>
                                        <w:t>29.1.1.1</w:t>
                                      </w:r>
                                    </w:sdtContent>
                                  </w:sdt>
                                  <w:r>
                                    <w:rPr>
                                      <w:szCs w:val="24"/>
                                    </w:rPr>
                                    <w:t xml:space="preserve">. </w:t>
                                  </w:r>
                                  <w:r>
                                    <w:rPr>
                                      <w:color w:val="000000"/>
                                    </w:rPr>
                                    <w:t xml:space="preserve">mažesnę iš šių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1.2 pp."/>
                                <w:tag w:val="part_9f69f1ba96e543aaa69cc662f607e7f5"/>
                                <w:lock w:val="sdtLocked"/>
                                <w:richText/>
                              </w:sdtPr>
                              <w:sdtContent>
                                <w:p>
                                  <w:pPr>
                                    <w:widowControl w:val="0"/>
                                    <w:tabs>
                                      <w:tab w:val="left" w:pos="1418"/>
                                      <w:tab w:val="left" w:pos="1843"/>
                                    </w:tabs>
                                    <w:spacing w:line="252" w:lineRule="auto"/>
                                    <w:ind w:firstLine="709"/>
                                    <w:jc w:val="both"/>
                                    <w:rPr>
                                      <w:szCs w:val="24"/>
                                    </w:rPr>
                                  </w:pPr>
                                  <w:sdt>
                                    <w:sdtPr>
                                      <w:alias w:val="Numeris"/>
                                      <w:tag w:val="nr_9f69f1ba96e543aaa69cc662f607e7f5"/>
                                      <w:lock w:val="sdtLocked"/>
                                      <w:richText/>
                                    </w:sdtPr>
                                    <w:sdtContent>
                                      <w:r>
                                        <w:rPr>
                                          <w:szCs w:val="24"/>
                                        </w:rPr>
                                        <w:t>29.1.1.2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1.3 pp."/>
                                <w:tag w:val="part_e55b7c50752344679d0f0bffce2077a9"/>
                                <w:lock w:val="sdtLocked"/>
                                <w:richText/>
                              </w:sdtPr>
                              <w:sdtContent>
                                <w:p>
                                  <w:pPr>
                                    <w:tabs>
                                      <w:tab w:val="left" w:pos="1134"/>
                                      <w:tab w:val="left" w:pos="1276"/>
                                    </w:tabs>
                                    <w:spacing w:line="252" w:lineRule="auto"/>
                                    <w:ind w:firstLine="709"/>
                                    <w:jc w:val="both"/>
                                    <w:rPr>
                                      <w:szCs w:val="24"/>
                                    </w:rPr>
                                  </w:pPr>
                                  <w:sdt>
                                    <w:sdtPr>
                                      <w:alias w:val="Numeris"/>
                                      <w:tag w:val="nr_e55b7c50752344679d0f0bffce2077a9"/>
                                      <w:lock w:val="sdtLocked"/>
                                      <w:richText/>
                                    </w:sdtPr>
                                    <w:sdtContent>
                                      <w:r>
                                        <w:rPr>
                                          <w:szCs w:val="24"/>
                                        </w:rPr>
                                        <w:t>29.1.1.3</w:t>
                                      </w:r>
                                    </w:sdtContent>
                                  </w:sdt>
                                  <w:r>
                                    <w:rPr>
                                      <w:szCs w:val="24"/>
                                    </w:rPr>
                                    <w:t>. Įmonėms, kurioms Taryba yra atlikusi reguliuojamų paslaugų sąnaudų pagrįstumo (būtinumo) patikrinimą, naujojo reguliavimo laikotarpio pagrįstų metinių OPEX (be DU) dydis nustatomas:</w:t>
                                  </w:r>
                                </w:p>
                                <w:sdt>
                                  <w:sdtPr>
                                    <w:alias w:val="29.1.1.3.1 pp."/>
                                    <w:tag w:val="part_de604b02746e4062a73e11cb28becbe2"/>
                                    <w:lock w:val="sdtLocked"/>
                                    <w:richText/>
                                  </w:sdtPr>
                                  <w:sdtContent>
                                    <w:p>
                                      <w:pPr>
                                        <w:tabs>
                                          <w:tab w:val="left" w:pos="1134"/>
                                          <w:tab w:val="left" w:pos="1276"/>
                                        </w:tabs>
                                        <w:spacing w:line="252" w:lineRule="auto"/>
                                        <w:ind w:firstLine="709"/>
                                        <w:jc w:val="both"/>
                                        <w:rPr>
                                          <w:szCs w:val="24"/>
                                        </w:rPr>
                                      </w:pPr>
                                      <w:sdt>
                                        <w:sdtPr>
                                          <w:alias w:val="Numeris"/>
                                          <w:tag w:val="nr_de604b02746e4062a73e11cb28becbe2"/>
                                          <w:lock w:val="sdtLocked"/>
                                          <w:richText/>
                                        </w:sdtPr>
                                        <w:sdtContent>
                                          <w:r>
                                            <w:rPr>
                                              <w:szCs w:val="24"/>
                                            </w:rPr>
                                            <w:t>29.1.1.3.1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1.3.2 pp."/>
                                    <w:tag w:val="part_2eee5d99f7574e11a48792e969ee002d"/>
                                    <w:lock w:val="sdtLocked"/>
                                    <w:richText/>
                                  </w:sdtPr>
                                  <w:sdtContent>
                                    <w:p>
                                      <w:pPr>
                                        <w:tabs>
                                          <w:tab w:val="left" w:pos="1134"/>
                                          <w:tab w:val="left" w:pos="1276"/>
                                        </w:tabs>
                                        <w:spacing w:line="252" w:lineRule="auto"/>
                                        <w:ind w:firstLine="709"/>
                                        <w:jc w:val="both"/>
                                        <w:rPr>
                                          <w:szCs w:val="24"/>
                                        </w:rPr>
                                      </w:pPr>
                                      <w:sdt>
                                        <w:sdtPr>
                                          <w:alias w:val="Numeris"/>
                                          <w:tag w:val="nr_2eee5d99f7574e11a48792e969ee002d"/>
                                          <w:lock w:val="sdtLocked"/>
                                          <w:richText/>
                                        </w:sdtPr>
                                        <w:sdtContent>
                                          <w:r>
                                            <w:rPr>
                                              <w:szCs w:val="24"/>
                                            </w:rPr>
                                            <w:t>29.1.1.3.2</w:t>
                                          </w:r>
                                        </w:sdtContent>
                                      </w:sdt>
                                      <w:r>
                                        <w:rPr>
                                          <w:szCs w:val="24"/>
                                        </w:rPr>
                                        <w:t>. įvertinus efektyvumo rodiklį, pagal atitinkamais metais galiojusią Metodiką;</w:t>
                                      </w:r>
                                    </w:p>
                                  </w:sdtContent>
                                </w:sdt>
                                <w:sdt>
                                  <w:sdtPr>
                                    <w:alias w:val="29.1.1.3.3 pp."/>
                                    <w:tag w:val="part_f0dbcc8eaa914b74b2a90a71129b1ace"/>
                                    <w:lock w:val="sdtLocked"/>
                                    <w:richText/>
                                  </w:sdtPr>
                                  <w:sdtContent>
                                    <w:p>
                                      <w:pPr>
                                        <w:widowControl w:val="0"/>
                                        <w:tabs>
                                          <w:tab w:val="left" w:pos="1418"/>
                                          <w:tab w:val="left" w:pos="1843"/>
                                        </w:tabs>
                                        <w:spacing w:line="252" w:lineRule="auto"/>
                                        <w:ind w:firstLine="709"/>
                                        <w:jc w:val="both"/>
                                        <w:rPr>
                                          <w:szCs w:val="24"/>
                                        </w:rPr>
                                      </w:pPr>
                                      <w:sdt>
                                        <w:sdtPr>
                                          <w:alias w:val="Numeris"/>
                                          <w:tag w:val="nr_f0dbcc8eaa914b74b2a90a71129b1ace"/>
                                          <w:lock w:val="sdtLocked"/>
                                          <w:richText/>
                                        </w:sdtPr>
                                        <w:sdtContent>
                                          <w:r>
                                            <w:rPr>
                                              <w:szCs w:val="24"/>
                                            </w:rPr>
                                            <w:t>29.1.1.3.3</w:t>
                                          </w:r>
                                        </w:sdtContent>
                                      </w:sdt>
                                      <w:r>
                                        <w:rPr>
                                          <w:szCs w:val="24"/>
                                        </w:rPr>
                                        <w:t>. įvertinus Apraše nustatytą reguliuojamai veiklai vykdyti būtinųjų leistinų sąnaudų procentą;</w:t>
                                      </w:r>
                                    </w:p>
                                  </w:sdtContent>
                                </w:sdt>
                              </w:sdtContent>
                            </w:sdt>
                            <w:sdt>
                              <w:sdtPr>
                                <w:alias w:val="29.1.1.4 pp."/>
                                <w:tag w:val="part_76127c9b0d1147308ed1329d375a7823"/>
                                <w:lock w:val="sdtLocked"/>
                                <w:richText/>
                              </w:sdtPr>
                              <w:sdtContent>
                                <w:p>
                                  <w:pPr>
                                    <w:tabs>
                                      <w:tab w:val="left" w:pos="993"/>
                                      <w:tab w:val="left" w:pos="1134"/>
                                    </w:tabs>
                                    <w:spacing w:line="252" w:lineRule="auto"/>
                                    <w:ind w:firstLine="709"/>
                                    <w:jc w:val="both"/>
                                    <w:rPr>
                                      <w:szCs w:val="24"/>
                                    </w:rPr>
                                  </w:pPr>
                                  <w:sdt>
                                    <w:sdtPr>
                                      <w:alias w:val="Numeris"/>
                                      <w:tag w:val="nr_76127c9b0d1147308ed1329d375a7823"/>
                                      <w:lock w:val="sdtLocked"/>
                                      <w:richText/>
                                    </w:sdtPr>
                                    <w:sdtContent>
                                      <w:r>
                                        <w:rPr>
                                          <w:szCs w:val="24"/>
                                        </w:rPr>
                                        <w:t>29.1.1.4</w:t>
                                      </w:r>
                                    </w:sdtContent>
                                  </w:sdt>
                                  <w:r>
                                    <w:rPr>
                                      <w:szCs w:val="24"/>
                                    </w:rPr>
                                    <w:t>. Ekonomiškai pagrįstas metinis OPEX (be DU) dydis pirmiems reguliavimo laikotarpio metams, išskyrus Metodikos 29.1.1.3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 xml:space="preserve"> </m:t>
                                    </m:r>
                                  </m:oMath>
                                  <w:r>
                                    <w:rPr>
                                      <w:szCs w:val="24"/>
                                    </w:rPr>
                                    <w:t>(13)</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1.5 pp."/>
                                <w:tag w:val="part_af335b69aae442d88f366ef1f27ebb6e"/>
                                <w:lock w:val="sdtLocked"/>
                                <w:richText/>
                              </w:sdtPr>
                              <w:sdtContent>
                                <w:p>
                                  <w:pPr>
                                    <w:spacing w:line="252" w:lineRule="auto"/>
                                    <w:ind w:firstLine="709"/>
                                    <w:jc w:val="both"/>
                                    <w:rPr>
                                      <w:szCs w:val="24"/>
                                    </w:rPr>
                                  </w:pPr>
                                  <w:sdt>
                                    <w:sdtPr>
                                      <w:alias w:val="Numeris"/>
                                      <w:tag w:val="nr_af335b69aae442d88f366ef1f27ebb6e"/>
                                      <w:lock w:val="sdtLocked"/>
                                      <w:richText/>
                                    </w:sdtPr>
                                    <w:sdtContent>
                                      <w:r>
                                        <w:rPr>
                                          <w:szCs w:val="24"/>
                                        </w:rPr>
                                        <w:t>29.1.1.5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1.6 pp."/>
                                <w:tag w:val="part_75340416e88a40bfaf3918b762efe1db"/>
                                <w:lock w:val="sdtLocked"/>
                                <w:richText/>
                              </w:sdtPr>
                              <w:sdtContent>
                                <w:p>
                                  <w:pPr>
                                    <w:tabs>
                                      <w:tab w:val="left" w:pos="993"/>
                                      <w:tab w:val="left" w:pos="1134"/>
                                    </w:tabs>
                                    <w:spacing w:line="252" w:lineRule="auto"/>
                                    <w:ind w:firstLine="709"/>
                                    <w:jc w:val="both"/>
                                    <w:rPr>
                                      <w:szCs w:val="24"/>
                                    </w:rPr>
                                  </w:pPr>
                                  <w:sdt>
                                    <w:sdtPr>
                                      <w:alias w:val="Numeris"/>
                                      <w:tag w:val="nr_75340416e88a40bfaf3918b762efe1db"/>
                                      <w:lock w:val="sdtLocked"/>
                                      <w:richText/>
                                    </w:sdtPr>
                                    <w:sdtContent>
                                      <w:r>
                                        <w:rPr>
                                          <w:szCs w:val="24"/>
                                        </w:rPr>
                                        <w:t>29.1.1.6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1.2 pp."/>
                            <w:tag w:val="part_143eb9daf32f4edc9bf2bc0720ee4faa"/>
                            <w:lock w:val="sdtLocked"/>
                            <w:richText/>
                          </w:sdtPr>
                          <w:sdtContent>
                            <w:p>
                              <w:pPr>
                                <w:widowControl w:val="0"/>
                                <w:tabs>
                                  <w:tab w:val="left" w:pos="1276"/>
                                  <w:tab w:val="left" w:pos="1843"/>
                                </w:tabs>
                                <w:spacing w:line="252" w:lineRule="auto"/>
                                <w:ind w:firstLine="709"/>
                                <w:jc w:val="both"/>
                                <w:rPr>
                                  <w:szCs w:val="24"/>
                                </w:rPr>
                              </w:pPr>
                              <w:sdt>
                                <w:sdtPr>
                                  <w:alias w:val="Numeris"/>
                                  <w:tag w:val="nr_143eb9daf32f4edc9bf2bc0720ee4faa"/>
                                  <w:lock w:val="sdtLocked"/>
                                  <w:richText/>
                                </w:sdtPr>
                                <w:sdtContent>
                                  <w:r>
                                    <w:rPr>
                                      <w:szCs w:val="24"/>
                                    </w:rPr>
                                    <w:t>29.1.2</w:t>
                                  </w:r>
                                </w:sdtContent>
                              </w:sdt>
                              <w:r>
                                <w:rPr>
                                  <w:szCs w:val="24"/>
                                </w:rPr>
                                <w:t>. Įmonių, besiverčiančių visuomeninio tiekimo veikla, atveju:</w:t>
                              </w:r>
                            </w:p>
                            <w:sdt>
                              <w:sdtPr>
                                <w:alias w:val="29.1.2.1 pp."/>
                                <w:tag w:val="part_ae6d4b6c4b6b45cdb1b4df76054775e4"/>
                                <w:lock w:val="sdtLocked"/>
                                <w:richText/>
                              </w:sdtPr>
                              <w:sdtContent>
                                <w:p>
                                  <w:pPr>
                                    <w:widowControl w:val="0"/>
                                    <w:tabs>
                                      <w:tab w:val="left" w:pos="1276"/>
                                      <w:tab w:val="left" w:pos="1843"/>
                                    </w:tabs>
                                    <w:spacing w:line="252" w:lineRule="auto"/>
                                    <w:ind w:firstLine="709"/>
                                    <w:jc w:val="both"/>
                                  </w:pPr>
                                  <w:sdt>
                                    <w:sdtPr>
                                      <w:alias w:val="Numeris"/>
                                      <w:tag w:val="nr_ae6d4b6c4b6b45cdb1b4df76054775e4"/>
                                      <w:lock w:val="sdtLocked"/>
                                      <w:richText/>
                                    </w:sdtPr>
                                    <w:sdtContent>
                                      <w:r>
                                        <w:t>29.1.2.1</w:t>
                                      </w:r>
                                    </w:sdtContent>
                                  </w:sdt>
                                  <w:r>
                                    <w:t xml:space="preserve">. į kintamas sąnaudas </w:t>
                                  </w:r>
                                  <w:r>
                                    <w:rPr>
                                      <w:color w:val="000000"/>
                                    </w:rPr>
                                    <w:t>(OPEX (be DU)</w:t>
                                  </w:r>
                                  <w:r>
                                    <w:rPr>
                                      <w:color w:val="000000"/>
                                      <w:vertAlign w:val="subscript"/>
                                    </w:rPr>
                                    <w:t xml:space="preserve"> kintamos</w:t>
                                  </w:r>
                                  <w:r>
                                    <w:rPr>
                                      <w:color w:val="000000"/>
                                    </w:rPr>
                                    <w:t xml:space="preserve">), </w:t>
                                  </w:r>
                                  <w:r>
                                    <w:t>išskyrus Metodikos 29.4 papunktyje nurodytas OPEX projektų sąnaudas</w:t>
                                  </w:r>
                                  <w:r>
                                    <w:rPr>
                                      <w:color w:val="000000"/>
                                    </w:rPr>
                                    <w:t xml:space="preserve">, kurios nustatomos </w:t>
                                  </w:r>
                                  <w:r>
                                    <w:t>atsižvelgiant į:</w:t>
                                  </w:r>
                                </w:p>
                                <w:sdt>
                                  <w:sdtPr>
                                    <w:alias w:val="29.1.2.1.1 pp."/>
                                    <w:tag w:val="part_4ef85920335f4eb3b8eed3f94c134fb1"/>
                                    <w:lock w:val="sdtLocked"/>
                                    <w:richText/>
                                  </w:sdtPr>
                                  <w:sdtContent>
                                    <w:p>
                                      <w:pPr>
                                        <w:tabs>
                                          <w:tab w:val="left" w:pos="993"/>
                                        </w:tabs>
                                        <w:spacing w:line="252" w:lineRule="auto"/>
                                        <w:ind w:firstLine="709"/>
                                        <w:jc w:val="both"/>
                                      </w:pPr>
                                      <w:sdt>
                                        <w:sdtPr>
                                          <w:alias w:val="Numeris"/>
                                          <w:tag w:val="nr_4ef85920335f4eb3b8eed3f94c134fb1"/>
                                          <w:lock w:val="sdtLocked"/>
                                          <w:richText/>
                                        </w:sdtPr>
                                        <w:sdtContent>
                                          <w:r>
                                            <w:t>29.1.2.1.1</w:t>
                                          </w:r>
                                        </w:sdtContent>
                                      </w:sdt>
                                      <w:r>
                                        <w:t xml:space="preserve">. </w:t>
                                      </w:r>
                                      <w:r>
                                        <w:rPr>
                                          <w:color w:val="000000"/>
                                        </w:rPr>
                                        <w:t>mažesnę iš šių apimčių: praėjusio reguliavimo laikotarpio priešpaskutinių metų Tarybos nustatytą OPEX (be DU)</w:t>
                                      </w:r>
                                      <w:r>
                                        <w:rPr>
                                          <w:color w:val="000000"/>
                                          <w:vertAlign w:val="subscript"/>
                                        </w:rPr>
                                        <w:t xml:space="preserve"> kintamos</w:t>
                                      </w:r>
                                      <w:r>
                                        <w:rPr>
                                          <w:color w:val="000000"/>
                                        </w:rPr>
                                        <w:t xml:space="preserve"> metinę apimtį arba faktinę pagrįstą OPEX (be DU)</w:t>
                                      </w:r>
                                      <w:r>
                                        <w:rPr>
                                          <w:color w:val="000000"/>
                                          <w:vertAlign w:val="subscript"/>
                                        </w:rPr>
                                        <w:t xml:space="preserve"> kintamos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t xml:space="preserve"> Jeigu Įmonė per praėjusį reguliavimo laikotarpį veikė efektyviai, t. y. praėjusio reguliavimo laikotarpio priešpaskutinių metų faktinė pagrįsta OPEX (be DU)</w:t>
                                      </w:r>
                                      <w:r>
                                        <w:rPr>
                                          <w:vertAlign w:val="subscript"/>
                                        </w:rPr>
                                        <w:t xml:space="preserve"> kintamos</w:t>
                                      </w:r>
                                      <w:r>
                                        <w:t xml:space="preserve"> apimtis buvo mažesnė už Tarybos nustatytą, – atsižvelgiama į faktinę pagrįstą OPEX (be DU)</w:t>
                                      </w:r>
                                      <w:r>
                                        <w:rPr>
                                          <w:vertAlign w:val="subscript"/>
                                        </w:rPr>
                                        <w:t xml:space="preserve"> kintamos</w:t>
                                      </w:r>
                                      <w:r>
                                        <w:t xml:space="preserve"> metinę apimtį. Jeigu Įmonė per praėjusį reguliavimo laikotarpį veikė neefektyviai, t. y. praėjusio reguliavimo laikotarpio priešpaskutinių metų OPEX (be DU)</w:t>
                                      </w:r>
                                      <w:r>
                                        <w:rPr>
                                          <w:vertAlign w:val="subscript"/>
                                        </w:rPr>
                                        <w:t xml:space="preserve"> kintamos</w:t>
                                      </w:r>
                                      <w:r>
                                        <w:t xml:space="preserve"> buvo didesnė už Tarybos nustatytą, – atsižvelgiama į faktinę pagrįstą OPEX (be DU)</w:t>
                                      </w:r>
                                      <w:r>
                                        <w:rPr>
                                          <w:vertAlign w:val="subscript"/>
                                        </w:rPr>
                                        <w:t xml:space="preserve"> kintamos</w:t>
                                      </w:r>
                                      <w:r>
                                        <w:t xml:space="preserve"> metinę apimtį; </w:t>
                                      </w:r>
                                    </w:p>
                                  </w:sdtContent>
                                </w:sdt>
                                <w:sdt>
                                  <w:sdtPr>
                                    <w:alias w:val="29.1.2.1.2 pp."/>
                                    <w:tag w:val="part_73bbb1884d4e4211afda9e132f5b25ed"/>
                                    <w:lock w:val="sdtLocked"/>
                                    <w:richText/>
                                  </w:sdtPr>
                                  <w:sdtContent>
                                    <w:p>
                                      <w:pPr>
                                        <w:widowControl w:val="0"/>
                                        <w:tabs>
                                          <w:tab w:val="left" w:pos="1418"/>
                                          <w:tab w:val="left" w:pos="1843"/>
                                        </w:tabs>
                                        <w:spacing w:line="252" w:lineRule="auto"/>
                                        <w:ind w:firstLine="709"/>
                                        <w:jc w:val="both"/>
                                        <w:rPr>
                                          <w:szCs w:val="24"/>
                                        </w:rPr>
                                      </w:pPr>
                                      <w:sdt>
                                        <w:sdtPr>
                                          <w:alias w:val="Numeris"/>
                                          <w:tag w:val="nr_73bbb1884d4e4211afda9e132f5b25ed"/>
                                          <w:lock w:val="sdtLocked"/>
                                          <w:richText/>
                                        </w:sdtPr>
                                        <w:sdtContent>
                                          <w:r>
                                            <w:rPr>
                                              <w:szCs w:val="24"/>
                                            </w:rPr>
                                            <w:t>29.1.2.1.2</w:t>
                                          </w:r>
                                        </w:sdtContent>
                                      </w:sdt>
                                      <w:r>
                                        <w:rPr>
                                          <w:szCs w:val="24"/>
                                        </w:rPr>
                                        <w:t>. priežasčių, kurias Įmonė nurodė kaip lemiančias OPEX </w:t>
                                      </w:r>
                                      <w:r>
                                        <w:t>(be DU)</w:t>
                                      </w:r>
                                      <w:r>
                                        <w:rPr>
                                          <w:vertAlign w:val="subscript"/>
                                        </w:rPr>
                                        <w:t xml:space="preserve"> kintamos</w:t>
                                      </w:r>
                                      <w:r>
                                        <w:rPr>
                                          <w:szCs w:val="24"/>
                                        </w:rPr>
                                        <w:t xml:space="preserve"> apimties pokyčius, pagrįstumą, pateikiant per reguliavimo laikotarpį numatomų remontų planus ir investicijų programą;</w:t>
                                      </w:r>
                                    </w:p>
                                  </w:sdtContent>
                                </w:sdt>
                                <w:sdt>
                                  <w:sdtPr>
                                    <w:alias w:val="29.1.2.1.3 pp."/>
                                    <w:tag w:val="part_142b8499e9574a08af1e260808e8214f"/>
                                    <w:lock w:val="sdtLocked"/>
                                    <w:richText/>
                                  </w:sdtPr>
                                  <w:sdtContent>
                                    <w:p>
                                      <w:pPr>
                                        <w:tabs>
                                          <w:tab w:val="left" w:pos="1134"/>
                                          <w:tab w:val="left" w:pos="1276"/>
                                        </w:tabs>
                                        <w:spacing w:line="252" w:lineRule="auto"/>
                                        <w:ind w:firstLine="709"/>
                                        <w:jc w:val="both"/>
                                        <w:rPr>
                                          <w:szCs w:val="24"/>
                                        </w:rPr>
                                      </w:pPr>
                                      <w:sdt>
                                        <w:sdtPr>
                                          <w:alias w:val="Numeris"/>
                                          <w:tag w:val="nr_142b8499e9574a08af1e260808e8214f"/>
                                          <w:lock w:val="sdtLocked"/>
                                          <w:richText/>
                                        </w:sdtPr>
                                        <w:sdtContent>
                                          <w:r>
                                            <w:rPr>
                                              <w:szCs w:val="24"/>
                                            </w:rPr>
                                            <w:t>29.1.2.1.3</w:t>
                                          </w:r>
                                        </w:sdtContent>
                                      </w:sdt>
                                      <w:r>
                                        <w:rPr>
                                          <w:szCs w:val="24"/>
                                        </w:rPr>
                                        <w:t>. Įmonėms, kurioms Taryba yra atlikusi reguliuojamų paslaugų sąnaudų pagrįstumo (būtinumo) patikrinimą, naujojo reguliavimo laikotarpio pagrįstų metinių OPEX </w:t>
                                      </w:r>
                                      <w:r>
                                        <w:t>(be DU)</w:t>
                                      </w:r>
                                      <w:r>
                                        <w:rPr>
                                          <w:vertAlign w:val="subscript"/>
                                        </w:rPr>
                                        <w:t xml:space="preserve"> kintamos</w:t>
                                      </w:r>
                                      <w:r>
                                        <w:rPr>
                                          <w:szCs w:val="24"/>
                                        </w:rPr>
                                        <w:t xml:space="preserve"> dydis nustatomas:</w:t>
                                      </w:r>
                                    </w:p>
                                    <w:sdt>
                                      <w:sdtPr>
                                        <w:alias w:val="29.1.2.1.3.1 pp."/>
                                        <w:tag w:val="part_b8276c0583074ab69f3ca228401bc571"/>
                                        <w:lock w:val="sdtLocked"/>
                                        <w:richText/>
                                      </w:sdtPr>
                                      <w:sdtContent>
                                        <w:p>
                                          <w:pPr>
                                            <w:tabs>
                                              <w:tab w:val="left" w:pos="1134"/>
                                              <w:tab w:val="left" w:pos="1276"/>
                                            </w:tabs>
                                            <w:spacing w:line="252" w:lineRule="auto"/>
                                            <w:ind w:firstLine="709"/>
                                            <w:jc w:val="both"/>
                                            <w:rPr>
                                              <w:szCs w:val="24"/>
                                            </w:rPr>
                                          </w:pPr>
                                          <w:sdt>
                                            <w:sdtPr>
                                              <w:alias w:val="Numeris"/>
                                              <w:tag w:val="nr_b8276c0583074ab69f3ca228401bc571"/>
                                              <w:lock w:val="sdtLocked"/>
                                              <w:richText/>
                                            </w:sdtPr>
                                            <w:sdtContent>
                                              <w:r>
                                                <w:rPr>
                                                  <w:szCs w:val="24"/>
                                                </w:rPr>
                                                <w:t>29.1.2.1.3.1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1.3.2 pp."/>
                                        <w:tag w:val="part_2731e7a3cffa4100989f09e693b8280a"/>
                                        <w:lock w:val="sdtLocked"/>
                                        <w:richText/>
                                      </w:sdtPr>
                                      <w:sdtContent>
                                        <w:p>
                                          <w:pPr>
                                            <w:tabs>
                                              <w:tab w:val="left" w:pos="1134"/>
                                              <w:tab w:val="left" w:pos="1276"/>
                                            </w:tabs>
                                            <w:spacing w:line="252" w:lineRule="auto"/>
                                            <w:ind w:firstLine="709"/>
                                            <w:jc w:val="both"/>
                                            <w:rPr>
                                              <w:szCs w:val="24"/>
                                            </w:rPr>
                                          </w:pPr>
                                          <w:sdt>
                                            <w:sdtPr>
                                              <w:alias w:val="Numeris"/>
                                              <w:tag w:val="nr_2731e7a3cffa4100989f09e693b8280a"/>
                                              <w:lock w:val="sdtLocked"/>
                                              <w:richText/>
                                            </w:sdtPr>
                                            <w:sdtContent>
                                              <w:r>
                                                <w:rPr>
                                                  <w:szCs w:val="24"/>
                                                </w:rPr>
                                                <w:t>29.1.2.1.3.2</w:t>
                                              </w:r>
                                            </w:sdtContent>
                                          </w:sdt>
                                          <w:r>
                                            <w:rPr>
                                              <w:szCs w:val="24"/>
                                            </w:rPr>
                                            <w:t>. įvertinus efektyvumo rodiklį, pagal atitinkamais metais galiojusią Metodiką;</w:t>
                                          </w:r>
                                        </w:p>
                                      </w:sdtContent>
                                    </w:sdt>
                                    <w:sdt>
                                      <w:sdtPr>
                                        <w:alias w:val="29.1.2.1.3.3 pp."/>
                                        <w:tag w:val="part_4323a5eb1f7c439bae59164ea4e4f7e7"/>
                                        <w:lock w:val="sdtLocked"/>
                                        <w:richText/>
                                      </w:sdtPr>
                                      <w:sdtContent>
                                        <w:p>
                                          <w:pPr>
                                            <w:widowControl w:val="0"/>
                                            <w:tabs>
                                              <w:tab w:val="left" w:pos="1418"/>
                                              <w:tab w:val="left" w:pos="1843"/>
                                            </w:tabs>
                                            <w:spacing w:line="252" w:lineRule="auto"/>
                                            <w:ind w:firstLine="709"/>
                                            <w:jc w:val="both"/>
                                            <w:rPr>
                                              <w:szCs w:val="24"/>
                                            </w:rPr>
                                          </w:pPr>
                                          <w:sdt>
                                            <w:sdtPr>
                                              <w:alias w:val="Numeris"/>
                                              <w:tag w:val="nr_4323a5eb1f7c439bae59164ea4e4f7e7"/>
                                              <w:lock w:val="sdtLocked"/>
                                              <w:richText/>
                                            </w:sdtPr>
                                            <w:sdtContent>
                                              <w:r>
                                                <w:rPr>
                                                  <w:szCs w:val="24"/>
                                                </w:rPr>
                                                <w:t>29.1.2.1.3.3</w:t>
                                              </w:r>
                                            </w:sdtContent>
                                          </w:sdt>
                                          <w:r>
                                            <w:rPr>
                                              <w:szCs w:val="24"/>
                                            </w:rPr>
                                            <w:t>. įvertinus Apraše nustatytą reguliuojamai veiklai vykdyti būtinųjų leistinų sąnaudų procentą;</w:t>
                                          </w:r>
                                        </w:p>
                                      </w:sdtContent>
                                    </w:sdt>
                                  </w:sdtContent>
                                </w:sdt>
                                <w:sdt>
                                  <w:sdtPr>
                                    <w:alias w:val="29.1.2.1.4 pp."/>
                                    <w:tag w:val="part_549cf68216f44744afb9344792de7392"/>
                                    <w:lock w:val="sdtLocked"/>
                                    <w:richText/>
                                  </w:sdtPr>
                                  <w:sdtContent>
                                    <w:p>
                                      <w:pPr>
                                        <w:tabs>
                                          <w:tab w:val="left" w:pos="993"/>
                                          <w:tab w:val="left" w:pos="1134"/>
                                        </w:tabs>
                                        <w:spacing w:line="252" w:lineRule="auto"/>
                                        <w:ind w:firstLine="709"/>
                                        <w:jc w:val="both"/>
                                        <w:rPr>
                                          <w:szCs w:val="24"/>
                                        </w:rPr>
                                      </w:pPr>
                                      <w:sdt>
                                        <w:sdtPr>
                                          <w:alias w:val="Numeris"/>
                                          <w:tag w:val="nr_549cf68216f44744afb9344792de7392"/>
                                          <w:lock w:val="sdtLocked"/>
                                          <w:richText/>
                                        </w:sdtPr>
                                        <w:sdtContent>
                                          <w:r>
                                            <w:rPr>
                                              <w:szCs w:val="24"/>
                                            </w:rPr>
                                            <w:t>29.1.2.1.4</w:t>
                                          </w:r>
                                        </w:sdtContent>
                                      </w:sdt>
                                      <w:r>
                                        <w:rPr>
                                          <w:szCs w:val="24"/>
                                        </w:rPr>
                                        <w:t>. Ekonomiškai pagrįstas metinis OPEX </w:t>
                                      </w:r>
                                      <w:r>
                                        <w:t>(be DU)</w:t>
                                      </w:r>
                                      <w:r>
                                        <w:rPr>
                                          <w:vertAlign w:val="subscript"/>
                                        </w:rPr>
                                        <w:t xml:space="preserve"> kintamos</w:t>
                                      </w:r>
                                      <w:r>
                                        <w:t xml:space="preserve"> </w:t>
                                      </w:r>
                                      <w:r>
                                        <w:rPr>
                                          <w:szCs w:val="24"/>
                                        </w:rPr>
                                        <w:t>dydis pirmiems reguliavimo laikotarpio metams, išskyrus Metodikos 29.1.2.1.3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kintamos</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kintamo</m:t>
                                                </m:r>
                                                <m:r>
                                                  <w:rPr>
                                                    <w:rFonts w:ascii="Cambria Math" w:hAnsi="Cambria Math"/>
                                                    <w:szCs w:val="24"/>
                                                  </w:rPr>
                                                  <m:t>s</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1</w:t>
                                      </w:r>
                                      <w:r>
                                        <w:rPr>
                                          <w:szCs w:val="24"/>
                                        </w:rPr>
                                        <w:t>)</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personalo (išskyrus Metodikos 29.3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personalo (išskyrus Metodikos 29.3 papunktyje nurodytas darbo užmokesčio sąnaudas),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1.5 pp."/>
                                    <w:tag w:val="part_9d016d8f51c84bc1902fd1076ea6271e"/>
                                    <w:lock w:val="sdtLocked"/>
                                    <w:richText/>
                                  </w:sdtPr>
                                  <w:sdtContent>
                                    <w:p>
                                      <w:pPr>
                                        <w:spacing w:line="252" w:lineRule="auto"/>
                                        <w:ind w:firstLine="709"/>
                                        <w:jc w:val="both"/>
                                        <w:rPr>
                                          <w:szCs w:val="24"/>
                                        </w:rPr>
                                      </w:pPr>
                                      <w:sdt>
                                        <w:sdtPr>
                                          <w:alias w:val="Numeris"/>
                                          <w:tag w:val="nr_9d016d8f51c84bc1902fd1076ea6271e"/>
                                          <w:lock w:val="sdtLocked"/>
                                          <w:richText/>
                                        </w:sdtPr>
                                        <w:sdtContent>
                                          <w:r>
                                            <w:rPr>
                                              <w:szCs w:val="24"/>
                                            </w:rPr>
                                            <w:t>29.1.2.1.5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1.6 pp."/>
                                    <w:tag w:val="part_aa0d856b4f7f485cbb0215ab91bd70af"/>
                                    <w:lock w:val="sdtLocked"/>
                                    <w:richText/>
                                  </w:sdtPr>
                                  <w:sdtContent>
                                    <w:p>
                                      <w:pPr>
                                        <w:tabs>
                                          <w:tab w:val="left" w:pos="993"/>
                                          <w:tab w:val="left" w:pos="1134"/>
                                        </w:tabs>
                                        <w:spacing w:line="252" w:lineRule="auto"/>
                                        <w:ind w:firstLine="709"/>
                                        <w:jc w:val="both"/>
                                        <w:rPr>
                                          <w:szCs w:val="24"/>
                                        </w:rPr>
                                      </w:pPr>
                                      <w:sdt>
                                        <w:sdtPr>
                                          <w:alias w:val="Numeris"/>
                                          <w:tag w:val="nr_aa0d856b4f7f485cbb0215ab91bd70af"/>
                                          <w:lock w:val="sdtLocked"/>
                                          <w:richText/>
                                        </w:sdtPr>
                                        <w:sdtContent>
                                          <w:r>
                                            <w:rPr>
                                              <w:szCs w:val="24"/>
                                            </w:rPr>
                                            <w:t>29.1.2.1.6</w:t>
                                          </w:r>
                                        </w:sdtContent>
                                      </w:sdt>
                                      <w:r>
                                        <w:rPr>
                                          <w:szCs w:val="24"/>
                                        </w:rPr>
                                        <w:t>. visais kitais metais, einančiais po pirmųjų naujo reguliavimo laikotarpio metų, OPEX </w:t>
                                      </w:r>
                                      <w:r>
                                        <w:t>(be DU)</w:t>
                                      </w:r>
                                      <w:r>
                                        <w:rPr>
                                          <w:vertAlign w:val="subscript"/>
                                        </w:rPr>
                                        <w:t xml:space="preserve"> kintamos</w:t>
                                      </w:r>
                                      <w:r>
                                        <w:t xml:space="preserve"> </w:t>
                                      </w:r>
                                      <w:r>
                                        <w:rPr>
                                          <w:szCs w:val="24"/>
                                        </w:rPr>
                                        <w:t>apimtis kiekvieniems metams padidinama Finansų ministerijos prognozuojamos metinės infliacijos dydžiu ir sumažinama efektyvumo rodikliu, kuris yra lygus 1 proc.</w:t>
                                      </w:r>
                                    </w:p>
                                  </w:sdtContent>
                                </w:sdt>
                              </w:sdtContent>
                            </w:sdt>
                            <w:sdt>
                              <w:sdtPr>
                                <w:alias w:val="29.1.2.2 pp."/>
                                <w:tag w:val="part_190f0d52ea344fefa7d6c4f68eeeec76"/>
                                <w:lock w:val="sdtLocked"/>
                                <w:richText/>
                              </w:sdtPr>
                              <w:sdtContent>
                                <w:p>
                                  <w:pPr>
                                    <w:widowControl w:val="0"/>
                                    <w:tabs>
                                      <w:tab w:val="left" w:pos="1276"/>
                                      <w:tab w:val="left" w:pos="1843"/>
                                    </w:tabs>
                                    <w:spacing w:line="252" w:lineRule="auto"/>
                                    <w:ind w:firstLine="709"/>
                                    <w:jc w:val="both"/>
                                  </w:pPr>
                                  <w:sdt>
                                    <w:sdtPr>
                                      <w:alias w:val="Numeris"/>
                                      <w:tag w:val="nr_190f0d52ea344fefa7d6c4f68eeeec76"/>
                                      <w:lock w:val="sdtLocked"/>
                                      <w:richText/>
                                    </w:sdtPr>
                                    <w:sdtContent>
                                      <w:r>
                                        <w:t>29.1.2.2</w:t>
                                      </w:r>
                                    </w:sdtContent>
                                  </w:sdt>
                                  <w:r>
                                    <w:t xml:space="preserve">. į pastovias sąnaudas (OPEX (be DU) </w:t>
                                  </w:r>
                                  <w:r>
                                    <w:rPr>
                                      <w:vertAlign w:val="subscript"/>
                                    </w:rPr>
                                    <w:t>pastovios</w:t>
                                  </w:r>
                                  <w:r>
                                    <w:t>), išskyrus Metodikos 29.4 papunktyje nurodytas OPEX projektų sąnaudas, kurios nustatomos atsižvelgiant į:</w:t>
                                  </w:r>
                                </w:p>
                                <w:sdt>
                                  <w:sdtPr>
                                    <w:alias w:val="29.1.2.2.1 pp."/>
                                    <w:tag w:val="part_13eed7e098cf47ba8f53499d4cc15cb4"/>
                                    <w:lock w:val="sdtLocked"/>
                                    <w:richText/>
                                  </w:sdtPr>
                                  <w:sdtContent>
                                    <w:p>
                                      <w:pPr>
                                        <w:tabs>
                                          <w:tab w:val="left" w:pos="993"/>
                                        </w:tabs>
                                        <w:spacing w:line="252" w:lineRule="auto"/>
                                        <w:ind w:firstLine="709"/>
                                        <w:jc w:val="both"/>
                                      </w:pPr>
                                      <w:sdt>
                                        <w:sdtPr>
                                          <w:alias w:val="Numeris"/>
                                          <w:tag w:val="nr_13eed7e098cf47ba8f53499d4cc15cb4"/>
                                          <w:lock w:val="sdtLocked"/>
                                          <w:richText/>
                                        </w:sdtPr>
                                        <w:sdtContent>
                                          <w:r>
                                            <w:t>29.1.2.2.1</w:t>
                                          </w:r>
                                        </w:sdtContent>
                                      </w:sdt>
                                      <w:r>
                                        <w:t xml:space="preserve">. </w:t>
                                      </w:r>
                                      <w:r>
                                        <w:rPr>
                                          <w:color w:val="000000"/>
                                        </w:rPr>
                                        <w:t>mažesnę iš šių apimčių: praėjusio reguliavimo laikotarpio priešpaskutinių metų Tarybos nustatytą OPEX </w:t>
                                      </w:r>
                                      <w:r>
                                        <w:t xml:space="preserve">(be DU) </w:t>
                                      </w:r>
                                      <w:r>
                                        <w:rPr>
                                          <w:vertAlign w:val="subscript"/>
                                        </w:rPr>
                                        <w:t>pastovios</w:t>
                                      </w:r>
                                      <w:r>
                                        <w:rPr>
                                          <w:color w:val="000000"/>
                                        </w:rPr>
                                        <w:t xml:space="preserve"> metinę apimtį arba faktinę pagrįstą OPEX </w:t>
                                      </w:r>
                                      <w:r>
                                        <w:t xml:space="preserve">(be DU) </w:t>
                                      </w:r>
                                      <w:r>
                                        <w:rPr>
                                          <w:vertAlign w:val="subscript"/>
                                        </w:rPr>
                                        <w:t>pastovios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 pajamų nuokrypius, įskaitant ir dėl veiklą reglamentuojančių teisės aktų reikalavimų.</w:t>
                                      </w:r>
                                      <w:r>
                                        <w:t xml:space="preserve"> Jeigu Įmonė per praėjusį reguliavimo laikotarpį veikė efektyviai, t. y. praėjusio reguliavimo laikotarpio priešpaskutinių metų faktinė pagrįsta (be DU) </w:t>
                                      </w:r>
                                      <w:r>
                                        <w:rPr>
                                          <w:vertAlign w:val="subscript"/>
                                        </w:rPr>
                                        <w:t>pastovios</w:t>
                                      </w:r>
                                      <w:r>
                                        <w:t xml:space="preserve"> apimtis buvo mažesnė už Tarybos nustatytą, – atsižvelgiama į faktinę pagrįstą OPEX (be DU) </w:t>
                                      </w:r>
                                      <w:r>
                                        <w:rPr>
                                          <w:vertAlign w:val="subscript"/>
                                        </w:rPr>
                                        <w:t>pastovios</w:t>
                                      </w:r>
                                      <w:r>
                                        <w:t xml:space="preserve"> metinę apimtį. Jeigu Įmonė per praėjusį reguliavimo laikotarpį veikė neefektyviai, t. y. praėjusio reguliavimo laikotarpio priešpaskutinių metų OPEX (be DU) </w:t>
                                      </w:r>
                                      <w:r>
                                        <w:rPr>
                                          <w:vertAlign w:val="subscript"/>
                                        </w:rPr>
                                        <w:t>pastovios</w:t>
                                      </w:r>
                                      <w:r>
                                        <w:t xml:space="preserve"> buvo didesnė už Tarybos nustatytą, – atsižvelgiama Tarybos nustatytą OPEX (be DU) </w:t>
                                      </w:r>
                                      <w:r>
                                        <w:rPr>
                                          <w:vertAlign w:val="subscript"/>
                                        </w:rPr>
                                        <w:t>pastovios</w:t>
                                      </w:r>
                                      <w:r>
                                        <w:t xml:space="preserve"> metinę apimtį; </w:t>
                                      </w:r>
                                    </w:p>
                                  </w:sdtContent>
                                </w:sdt>
                                <w:sdt>
                                  <w:sdtPr>
                                    <w:alias w:val="29.1.2.2.2 pp."/>
                                    <w:tag w:val="part_fd74078028684abf85ea9385b634e8f0"/>
                                    <w:lock w:val="sdtLocked"/>
                                    <w:richText/>
                                  </w:sdtPr>
                                  <w:sdtContent>
                                    <w:p>
                                      <w:pPr>
                                        <w:widowControl w:val="0"/>
                                        <w:tabs>
                                          <w:tab w:val="left" w:pos="1418"/>
                                          <w:tab w:val="left" w:pos="1843"/>
                                        </w:tabs>
                                        <w:spacing w:line="252" w:lineRule="auto"/>
                                        <w:ind w:firstLine="709"/>
                                        <w:jc w:val="both"/>
                                        <w:rPr>
                                          <w:szCs w:val="24"/>
                                        </w:rPr>
                                      </w:pPr>
                                      <w:sdt>
                                        <w:sdtPr>
                                          <w:alias w:val="Numeris"/>
                                          <w:tag w:val="nr_fd74078028684abf85ea9385b634e8f0"/>
                                          <w:lock w:val="sdtLocked"/>
                                          <w:richText/>
                                        </w:sdtPr>
                                        <w:sdtContent>
                                          <w:r>
                                            <w:rPr>
                                              <w:szCs w:val="24"/>
                                            </w:rPr>
                                            <w:t>29.1.2.2.2</w:t>
                                          </w:r>
                                        </w:sdtContent>
                                      </w:sdt>
                                      <w:r>
                                        <w:rPr>
                                          <w:szCs w:val="24"/>
                                        </w:rPr>
                                        <w:t>. priežasčių, kurias Įmonė nurodė kaip lemiančias OPEX </w:t>
                                      </w:r>
                                      <w:r>
                                        <w:t xml:space="preserve">(be DU) </w:t>
                                      </w:r>
                                      <w:r>
                                        <w:rPr>
                                          <w:vertAlign w:val="subscript"/>
                                        </w:rPr>
                                        <w:t>pastovios</w:t>
                                      </w:r>
                                      <w:r>
                                        <w:rPr>
                                          <w:szCs w:val="24"/>
                                        </w:rPr>
                                        <w:t xml:space="preserve"> apimties pokyčius, pagrįstumą, pateikiant per reguliavimo laikotarpį numatomų remontų planus ir investicijų programą, ar kitų nuo Įmonės nepriklausančių veiksnių kylančius sąnaudų / pajamų nuokrypius, įskaitant ir dėl veiklą reglamentuojančių teisės aktų reikalavimų pokyčių;</w:t>
                                      </w:r>
                                    </w:p>
                                  </w:sdtContent>
                                </w:sdt>
                                <w:sdt>
                                  <w:sdtPr>
                                    <w:alias w:val="29.1.2.2.3 pp."/>
                                    <w:tag w:val="part_803095f494d345a98e44541ea3c5e7d7"/>
                                    <w:lock w:val="sdtLocked"/>
                                    <w:richText/>
                                  </w:sdtPr>
                                  <w:sdtContent>
                                    <w:p>
                                      <w:pPr>
                                        <w:tabs>
                                          <w:tab w:val="left" w:pos="1134"/>
                                          <w:tab w:val="left" w:pos="1276"/>
                                        </w:tabs>
                                        <w:spacing w:line="252" w:lineRule="auto"/>
                                        <w:ind w:firstLine="709"/>
                                        <w:jc w:val="both"/>
                                        <w:rPr>
                                          <w:szCs w:val="24"/>
                                        </w:rPr>
                                      </w:pPr>
                                      <w:sdt>
                                        <w:sdtPr>
                                          <w:alias w:val="Numeris"/>
                                          <w:tag w:val="nr_803095f494d345a98e44541ea3c5e7d7"/>
                                          <w:lock w:val="sdtLocked"/>
                                          <w:richText/>
                                        </w:sdtPr>
                                        <w:sdtContent>
                                          <w:r>
                                            <w:rPr>
                                              <w:szCs w:val="24"/>
                                            </w:rPr>
                                            <w:t>29.1.2.2.3</w:t>
                                          </w:r>
                                        </w:sdtContent>
                                      </w:sdt>
                                      <w:r>
                                        <w:rPr>
                                          <w:szCs w:val="24"/>
                                        </w:rPr>
                                        <w:t>. Įmonėms, kurioms Taryba yra atlikusi reguliuojamų paslaugų sąnaudų pagrįstumo (būtinumo) patikrinimą, naujojo reguliavimo laikotarpio pagrįstų metinių OPEX </w:t>
                                      </w:r>
                                      <w:r>
                                        <w:t xml:space="preserve">(be DU) </w:t>
                                      </w:r>
                                      <w:r>
                                        <w:rPr>
                                          <w:vertAlign w:val="subscript"/>
                                        </w:rPr>
                                        <w:t>pastovios</w:t>
                                      </w:r>
                                      <w:r>
                                        <w:rPr>
                                          <w:szCs w:val="24"/>
                                        </w:rPr>
                                        <w:t xml:space="preserve"> dydis nustatomas:</w:t>
                                      </w:r>
                                    </w:p>
                                    <w:sdt>
                                      <w:sdtPr>
                                        <w:alias w:val="29.1.2.2.3.1 pp."/>
                                        <w:tag w:val="part_53166e1b2e444fbe8efa5b82f355ba6f"/>
                                        <w:lock w:val="sdtLocked"/>
                                        <w:richText/>
                                      </w:sdtPr>
                                      <w:sdtContent>
                                        <w:p>
                                          <w:pPr>
                                            <w:tabs>
                                              <w:tab w:val="left" w:pos="1134"/>
                                              <w:tab w:val="left" w:pos="1276"/>
                                            </w:tabs>
                                            <w:spacing w:line="252" w:lineRule="auto"/>
                                            <w:ind w:firstLine="709"/>
                                            <w:jc w:val="both"/>
                                            <w:rPr>
                                              <w:szCs w:val="24"/>
                                            </w:rPr>
                                          </w:pPr>
                                          <w:sdt>
                                            <w:sdtPr>
                                              <w:alias w:val="Numeris"/>
                                              <w:tag w:val="nr_53166e1b2e444fbe8efa5b82f355ba6f"/>
                                              <w:lock w:val="sdtLocked"/>
                                              <w:richText/>
                                            </w:sdtPr>
                                            <w:sdtContent>
                                              <w:r>
                                                <w:rPr>
                                                  <w:szCs w:val="24"/>
                                                </w:rPr>
                                                <w:t>29.1.2.2.3.1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2.3.2 pp."/>
                                        <w:tag w:val="part_5534c4d9751e4b19b891436aeb6d42c7"/>
                                        <w:lock w:val="sdtLocked"/>
                                        <w:richText/>
                                      </w:sdtPr>
                                      <w:sdtContent>
                                        <w:p>
                                          <w:pPr>
                                            <w:tabs>
                                              <w:tab w:val="left" w:pos="1134"/>
                                              <w:tab w:val="left" w:pos="1276"/>
                                            </w:tabs>
                                            <w:spacing w:line="252" w:lineRule="auto"/>
                                            <w:ind w:firstLine="709"/>
                                            <w:jc w:val="both"/>
                                            <w:rPr>
                                              <w:szCs w:val="24"/>
                                            </w:rPr>
                                          </w:pPr>
                                          <w:sdt>
                                            <w:sdtPr>
                                              <w:alias w:val="Numeris"/>
                                              <w:tag w:val="nr_5534c4d9751e4b19b891436aeb6d42c7"/>
                                              <w:lock w:val="sdtLocked"/>
                                              <w:richText/>
                                            </w:sdtPr>
                                            <w:sdtContent>
                                              <w:r>
                                                <w:rPr>
                                                  <w:szCs w:val="24"/>
                                                </w:rPr>
                                                <w:t>29.1.2.2.3.2</w:t>
                                              </w:r>
                                            </w:sdtContent>
                                          </w:sdt>
                                          <w:r>
                                            <w:rPr>
                                              <w:szCs w:val="24"/>
                                            </w:rPr>
                                            <w:t>. įvertinus efektyvumo rodiklį, pagal atitinkamais metais galiojusią Metodiką;</w:t>
                                          </w:r>
                                        </w:p>
                                      </w:sdtContent>
                                    </w:sdt>
                                    <w:sdt>
                                      <w:sdtPr>
                                        <w:alias w:val="29.1.2.2.3.3 pp."/>
                                        <w:tag w:val="part_772fd927c3b84bb2984f762577bf23b0"/>
                                        <w:lock w:val="sdtLocked"/>
                                        <w:richText/>
                                      </w:sdtPr>
                                      <w:sdtContent>
                                        <w:p>
                                          <w:pPr>
                                            <w:widowControl w:val="0"/>
                                            <w:tabs>
                                              <w:tab w:val="left" w:pos="1418"/>
                                              <w:tab w:val="left" w:pos="1843"/>
                                            </w:tabs>
                                            <w:spacing w:line="252" w:lineRule="auto"/>
                                            <w:ind w:firstLine="709"/>
                                            <w:jc w:val="both"/>
                                            <w:rPr>
                                              <w:szCs w:val="24"/>
                                            </w:rPr>
                                          </w:pPr>
                                          <w:sdt>
                                            <w:sdtPr>
                                              <w:alias w:val="Numeris"/>
                                              <w:tag w:val="nr_772fd927c3b84bb2984f762577bf23b0"/>
                                              <w:lock w:val="sdtLocked"/>
                                              <w:richText/>
                                            </w:sdtPr>
                                            <w:sdtContent>
                                              <w:r>
                                                <w:rPr>
                                                  <w:szCs w:val="24"/>
                                                </w:rPr>
                                                <w:t>29.1.2.2.3.3</w:t>
                                              </w:r>
                                            </w:sdtContent>
                                          </w:sdt>
                                          <w:r>
                                            <w:rPr>
                                              <w:szCs w:val="24"/>
                                            </w:rPr>
                                            <w:t>. įvertinus Apraše nustatytą reguliuojamai veiklai vykdyti būtinųjų leistinų sąnaudų procentą;</w:t>
                                          </w:r>
                                        </w:p>
                                      </w:sdtContent>
                                    </w:sdt>
                                  </w:sdtContent>
                                </w:sdt>
                                <w:sdt>
                                  <w:sdtPr>
                                    <w:alias w:val="29.1.2.2.4 pp."/>
                                    <w:tag w:val="part_f6c298d1c15046d4b46449001a5130b0"/>
                                    <w:lock w:val="sdtLocked"/>
                                    <w:richText/>
                                  </w:sdtPr>
                                  <w:sdtContent>
                                    <w:p>
                                      <w:pPr>
                                        <w:tabs>
                                          <w:tab w:val="left" w:pos="993"/>
                                          <w:tab w:val="left" w:pos="1134"/>
                                        </w:tabs>
                                        <w:spacing w:line="252" w:lineRule="auto"/>
                                        <w:ind w:firstLine="709"/>
                                        <w:jc w:val="both"/>
                                        <w:rPr>
                                          <w:szCs w:val="24"/>
                                        </w:rPr>
                                      </w:pPr>
                                      <w:sdt>
                                        <w:sdtPr>
                                          <w:alias w:val="Numeris"/>
                                          <w:tag w:val="nr_f6c298d1c15046d4b46449001a5130b0"/>
                                          <w:lock w:val="sdtLocked"/>
                                          <w:richText/>
                                        </w:sdtPr>
                                        <w:sdtContent>
                                          <w:r>
                                            <w:rPr>
                                              <w:szCs w:val="24"/>
                                            </w:rPr>
                                            <w:t>29.1.2.2.4</w:t>
                                          </w:r>
                                        </w:sdtContent>
                                      </w:sdt>
                                      <w:r>
                                        <w:rPr>
                                          <w:szCs w:val="24"/>
                                        </w:rPr>
                                        <w:t>. Ekonomiškai pagrįstas metinis OPEX </w:t>
                                      </w:r>
                                      <w:r>
                                        <w:t xml:space="preserve">(be DU) </w:t>
                                      </w:r>
                                      <w:r>
                                        <w:rPr>
                                          <w:vertAlign w:val="subscript"/>
                                        </w:rPr>
                                        <w:t>pastovios</w:t>
                                      </w:r>
                                      <w:r>
                                        <w:rPr>
                                          <w:szCs w:val="24"/>
                                        </w:rPr>
                                        <w:t xml:space="preserve"> dydis pirmiems reguliavimo laikotarpio metams, išskyrus Metodikos 29.1.2.2.3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pastovios</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pastovios</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2</w:t>
                                      </w:r>
                                      <w:r>
                                        <w:rPr>
                                          <w:szCs w:val="24"/>
                                        </w:rPr>
                                        <w:t>)</w:t>
                                      </w: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 xml:space="preserve">(be DU) </w:t>
                                      </w:r>
                                      <w:r>
                                        <w:rPr>
                                          <w:i/>
                                          <w:iCs/>
                                          <w:vertAlign w:val="subscript"/>
                                        </w:rPr>
                                        <w:t>pastovios</w:t>
                                      </w:r>
                                      <w:r>
                                        <w:rPr>
                                          <w:i/>
                                          <w:szCs w:val="24"/>
                                        </w:rPr>
                                        <w:t xml:space="preserve">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rPr>
                                        <w:t>(be DU</w:t>
                                      </w:r>
                                      <w:r>
                                        <w:rPr>
                                          <w:i/>
                                          <w:iCs/>
                                        </w:rPr>
                                        <w:t>)</w:t>
                                      </w:r>
                                      <w:r>
                                        <w:rPr>
                                          <w:i/>
                                        </w:rPr>
                                        <w:t xml:space="preserve"> </w:t>
                                      </w:r>
                                      <w:r>
                                        <w:rPr>
                                          <w:i/>
                                          <w:vertAlign w:val="subscript"/>
                                        </w:rPr>
                                        <w:t>pastovios</w:t>
                                      </w:r>
                                      <w:r>
                                        <w:rPr>
                                          <w:i/>
                                          <w:szCs w:val="24"/>
                                        </w:rPr>
                                        <w:t xml:space="preserve">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2.5 pp."/>
                                    <w:tag w:val="part_bc8101916ef94eaaac8b11925e697dc7"/>
                                    <w:lock w:val="sdtLocked"/>
                                    <w:richText/>
                                  </w:sdtPr>
                                  <w:sdtContent>
                                    <w:p>
                                      <w:pPr>
                                        <w:spacing w:line="252" w:lineRule="auto"/>
                                        <w:ind w:firstLine="709"/>
                                        <w:jc w:val="both"/>
                                        <w:rPr>
                                          <w:szCs w:val="24"/>
                                        </w:rPr>
                                      </w:pPr>
                                      <w:sdt>
                                        <w:sdtPr>
                                          <w:alias w:val="Numeris"/>
                                          <w:tag w:val="nr_bc8101916ef94eaaac8b11925e697dc7"/>
                                          <w:lock w:val="sdtLocked"/>
                                          <w:richText/>
                                        </w:sdtPr>
                                        <w:sdtContent>
                                          <w:r>
                                            <w:rPr>
                                              <w:szCs w:val="24"/>
                                            </w:rPr>
                                            <w:t>29.1.2.2.5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2.6 pp."/>
                                    <w:tag w:val="part_758f5456c80c48779856c47a9b93eb42"/>
                                    <w:lock w:val="sdtLocked"/>
                                    <w:richText/>
                                  </w:sdtPr>
                                  <w:sdtContent>
                                    <w:p>
                                      <w:pPr>
                                        <w:tabs>
                                          <w:tab w:val="left" w:pos="993"/>
                                          <w:tab w:val="left" w:pos="1134"/>
                                        </w:tabs>
                                        <w:spacing w:line="252" w:lineRule="auto"/>
                                        <w:ind w:firstLine="709"/>
                                        <w:jc w:val="both"/>
                                        <w:rPr>
                                          <w:szCs w:val="24"/>
                                        </w:rPr>
                                      </w:pPr>
                                      <w:sdt>
                                        <w:sdtPr>
                                          <w:alias w:val="Numeris"/>
                                          <w:tag w:val="nr_758f5456c80c48779856c47a9b93eb42"/>
                                          <w:lock w:val="sdtLocked"/>
                                          <w:richText/>
                                        </w:sdtPr>
                                        <w:sdtContent>
                                          <w:r>
                                            <w:rPr>
                                              <w:szCs w:val="24"/>
                                            </w:rPr>
                                            <w:t>29.1.2.2.6</w:t>
                                          </w:r>
                                        </w:sdtContent>
                                      </w:sdt>
                                      <w:r>
                                        <w:rPr>
                                          <w:szCs w:val="24"/>
                                        </w:rPr>
                                        <w:t>. visais kitais metais, einančiais po pirmųjų naujo reguliavimo laikotarpio metų, OPEX </w:t>
                                      </w:r>
                                      <w:r>
                                        <w:t>(be DU)</w:t>
                                      </w:r>
                                      <w:r>
                                        <w:rPr>
                                          <w:vertAlign w:val="subscript"/>
                                        </w:rPr>
                                        <w:t>pastovios</w:t>
                                      </w:r>
                                      <w:r>
                                        <w:rPr>
                                          <w:szCs w:val="24"/>
                                        </w:rPr>
                                        <w:t xml:space="preserve"> apimtis kiekvieniems metams padidinama Finansų ministerijos prognozuojamos metinės infliacijos dydžiu ir sumažinama efektyvumo rodikliu, kuris yra lygus 1 proc.</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06329c205ce74dacbe32edd1484bd8b1"/>
                            <w:lock w:val="sdtLocked"/>
                            <w:richText/>
                          </w:sdtPr>
                          <w:sdtContent>
                            <w:p>
                              <w:pPr>
                                <w:tabs>
                                  <w:tab w:val="left" w:pos="993"/>
                                </w:tabs>
                                <w:spacing w:line="252" w:lineRule="auto"/>
                                <w:ind w:firstLine="709"/>
                                <w:jc w:val="both"/>
                                <w:rPr>
                                  <w:szCs w:val="24"/>
                                </w:rPr>
                              </w:pPr>
                              <w:sdt>
                                <w:sdtPr>
                                  <w:alias w:val="Numeris"/>
                                  <w:tag w:val="nr_06329c205ce74dacbe32edd1484bd8b1"/>
                                  <w:lock w:val="sdtLocked"/>
                                  <w:richText/>
                                </w:sdtPr>
                                <w:sdtContent>
                                  <w:r>
                                    <w:rPr>
                                      <w:szCs w:val="24"/>
                                    </w:rPr>
                                    <w:t>29.2.1</w:t>
                                  </w:r>
                                </w:sdtContent>
                              </w:sdt>
                              <w:r>
                                <w:rPr>
                                  <w:szCs w:val="24"/>
                                </w:rPr>
                                <w:t xml:space="preserve">. </w:t>
                              </w:r>
                              <w:r>
                                <w:rPr>
                                  <w:color w:val="000000"/>
                                </w:rPr>
                                <w:t>mažesnę iš šių apimčių:</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0a10dadb783a4ae8a24263bfb96c7c63"/>
                            <w:lock w:val="sdtLocked"/>
                            <w:richText/>
                          </w:sdtPr>
                          <w:sdtContent>
                            <w:p>
                              <w:pPr>
                                <w:tabs>
                                  <w:tab w:val="left" w:pos="1134"/>
                                </w:tabs>
                                <w:spacing w:line="252" w:lineRule="auto"/>
                                <w:ind w:firstLine="709"/>
                                <w:jc w:val="both"/>
                                <w:rPr>
                                  <w:szCs w:val="24"/>
                                </w:rPr>
                              </w:pPr>
                              <w:sdt>
                                <w:sdtPr>
                                  <w:alias w:val="Numeris"/>
                                  <w:tag w:val="nr_0a10dadb783a4ae8a24263bfb96c7c63"/>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2675229342594a73832b279c21e57472"/>
                        <w:lock w:val="sdtLocked"/>
                        <w:richText/>
                      </w:sdtPr>
                      <w:sdtContent>
                        <w:p>
                          <w:pPr>
                            <w:tabs>
                              <w:tab w:val="left" w:pos="1276"/>
                            </w:tabs>
                            <w:spacing w:line="252" w:lineRule="auto"/>
                            <w:ind w:firstLine="709"/>
                            <w:jc w:val="both"/>
                            <w:rPr>
                              <w:szCs w:val="24"/>
                            </w:rPr>
                          </w:pPr>
                          <w:sdt>
                            <w:sdtPr>
                              <w:alias w:val="Numeris"/>
                              <w:tag w:val="nr_2675229342594a73832b279c21e57472"/>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42068f6fbdc440578156d93ce208c519"/>
                            <w:lock w:val="sdtLocked"/>
                            <w:richText/>
                          </w:sdtPr>
                          <w:sdtContent>
                            <w:p>
                              <w:pPr>
                                <w:tabs>
                                  <w:tab w:val="left" w:pos="993"/>
                                </w:tabs>
                                <w:spacing w:line="252" w:lineRule="auto"/>
                                <w:ind w:firstLine="709"/>
                                <w:jc w:val="both"/>
                                <w:rPr>
                                  <w:szCs w:val="24"/>
                                </w:rPr>
                              </w:pPr>
                              <w:sdt>
                                <w:sdtPr>
                                  <w:alias w:val="Numeris"/>
                                  <w:tag w:val="nr_42068f6fbdc440578156d93ce208c519"/>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r>
                                          <w:rPr>
                                            <w:rFonts w:ascii="Cambria Math" w:hAnsi="Cambria Math"/>
                                            <w:szCs w:val="24"/>
                                          </w:rPr>
                                          <m:t>,</m:t>
                                        </m:r>
                                        <m:r>
                                          <w:rPr>
                                            <w:rFonts w:ascii="Cambria Math" w:hAnsi="Cambria Math"/>
                                            <w:szCs w:val="24"/>
                                          </w:rPr>
                                          <m:t>INO</m:t>
                                        </m:r>
                                      </m:sub>
                                    </m:sSub>
                                  </m:e>
                                  <m:sub>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 xml:space="preserve">-1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a47b3c7f6f214bbf851f5f08f0531699"/>
                            <w:lock w:val="sdtLocked"/>
                            <w:richText/>
                          </w:sdtPr>
                          <w:sdtContent>
                            <w:p>
                              <w:pPr>
                                <w:spacing w:line="252" w:lineRule="auto"/>
                                <w:ind w:left="142" w:firstLine="567"/>
                                <w:jc w:val="both"/>
                                <w:rPr>
                                  <w:szCs w:val="24"/>
                                  <w:lang w:eastAsia="lt-LT"/>
                                </w:rPr>
                              </w:pPr>
                              <w:sdt>
                                <w:sdtPr>
                                  <w:alias w:val="Numeris"/>
                                  <w:tag w:val="nr_a47b3c7f6f214bbf851f5f08f0531699"/>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left="142" w:firstLine="567"/>
                                <w:jc w:val="both"/>
                                <w:rPr>
                                  <w:szCs w:val="24"/>
                                  <w:lang w:eastAsia="lt-LT"/>
                                </w:rPr>
                              </w:pPr>
                            </w:p>
                            <w:p>
                              <w:pPr>
                                <w:spacing w:line="252" w:lineRule="auto"/>
                                <w:ind w:firstLine="720"/>
                                <w:jc w:val="center"/>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142" w:firstLine="567"/>
                                <w:jc w:val="both"/>
                                <w:rPr>
                                  <w:szCs w:val="24"/>
                                  <w:lang w:eastAsia="lt-LT"/>
                                </w:rPr>
                              </w:pPr>
                            </w:p>
                            <w:p>
                              <w:pPr>
                                <w:tabs>
                                  <w:tab w:val="left" w:pos="993"/>
                                </w:tabs>
                                <w:spacing w:line="252" w:lineRule="auto"/>
                                <w:ind w:left="142" w:firstLine="567"/>
                                <w:jc w:val="both"/>
                                <w:rPr>
                                  <w:i/>
                                  <w:szCs w:val="24"/>
                                </w:rPr>
                              </w:pPr>
                              <w:r>
                                <w:rPr>
                                  <w:i/>
                                  <w:szCs w:val="24"/>
                                </w:rPr>
                                <w:t>čia:</w:t>
                              </w:r>
                            </w:p>
                            <w:p>
                              <w:pPr>
                                <w:tabs>
                                  <w:tab w:val="left" w:pos="993"/>
                                </w:tabs>
                                <w:spacing w:line="252" w:lineRule="auto"/>
                                <w:ind w:left="142" w:firstLine="567"/>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left="142" w:firstLine="567"/>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50 dienų</w:t>
                              </w:r>
                              <w:r>
                                <w:rPr>
                                  <w:szCs w:val="24"/>
                                </w:rPr>
                                <w:t>;</w:t>
                              </w:r>
                            </w:p>
                            <w:p>
                              <w:pPr>
                                <w:tabs>
                                  <w:tab w:val="left" w:pos="993"/>
                                </w:tabs>
                                <w:spacing w:line="252" w:lineRule="auto"/>
                                <w:ind w:left="142" w:firstLine="567"/>
                                <w:jc w:val="both"/>
                                <w:rPr>
                                  <w:szCs w:val="24"/>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 xml:space="preserve">perdavimo paslaugos aukštos įtampos (toliau – AĮ) tinklais, skirstymo paslaugos vidutinės įtampos (toliau – VĮ) ir žemos įtampos (toliau – ŽĮ) tinklais, skirstymo paslaugos buitiniams vartotojams papildomos dedamosios, </w:t>
                              </w:r>
                              <w:r>
                                <w:rPr>
                                  <w:szCs w:val="24"/>
                                  <w:lang w:eastAsia="lt-LT"/>
                                </w:rPr>
                                <w:t xml:space="preserve">VIAP kainą ir </w:t>
                              </w:r>
                              <w:r>
                                <w:rPr>
                                  <w:szCs w:val="24"/>
                                </w:rPr>
                                <w:t>papildomų paslaugų įsigijimo dedamosios prie perdavimo paslaugos</w:t>
                              </w:r>
                              <w:r>
                                <w:rPr>
                                  <w:szCs w:val="24"/>
                                  <w:lang w:eastAsia="lt-LT"/>
                                </w:rPr>
                                <w:t xml:space="preserve"> kainą) bei visuomeninio tiekimo paslaugos sąnaudas</w:t>
                              </w:r>
                              <w:r>
                                <w:rPr>
                                  <w:szCs w:val="24"/>
                                </w:rPr>
                                <w:t>, EUR;</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92c091ba1975466da0222e6689fa04c6"/>
                        <w:lock w:val="sdtLocked"/>
                        <w:richText/>
                      </w:sdtPr>
                      <w:sdtContent>
                        <w:p>
                          <w:pPr>
                            <w:tabs>
                              <w:tab w:val="left" w:pos="1276"/>
                            </w:tabs>
                            <w:spacing w:line="252" w:lineRule="auto"/>
                            <w:ind w:firstLine="709"/>
                            <w:jc w:val="both"/>
                            <w:rPr>
                              <w:szCs w:val="24"/>
                            </w:rPr>
                          </w:pPr>
                          <w:sdt>
                            <w:sdtPr>
                              <w:alias w:val="Numeris"/>
                              <w:tag w:val="nr_92c091ba1975466da0222e6689fa04c6"/>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cdae6bb4a83141688aaf1ae1fdcdec86"/>
                    <w:lock w:val="sdtLocked"/>
                    <w:richText/>
                  </w:sdtPr>
                  <w:sdtContent>
                    <w:p>
                      <w:pPr>
                        <w:tabs>
                          <w:tab w:val="right" w:pos="9638"/>
                        </w:tabs>
                        <w:suppressAutoHyphens/>
                        <w:ind w:firstLine="709"/>
                        <w:jc w:val="both"/>
                        <w:textAlignment w:val="center"/>
                        <w:rPr>
                          <w:szCs w:val="24"/>
                        </w:rPr>
                      </w:pPr>
                      <w:sdt>
                        <w:sdtPr>
                          <w:alias w:val="Numeris"/>
                          <w:tag w:val="nr_cdae6bb4a83141688aaf1ae1fdcdec86"/>
                          <w:lock w:val="sdtLocked"/>
                          <w:richText/>
                        </w:sdtPr>
                        <w:sdtContent>
                          <w:r>
                            <w:rPr>
                              <w:rFonts w:eastAsia="MS Mincho"/>
                              <w:szCs w:val="24"/>
                            </w:rPr>
                            <w:t>36</w:t>
                          </w:r>
                        </w:sdtContent>
                      </w:sdt>
                      <w:r>
                        <w:rPr>
                          <w:szCs w:val="24"/>
                        </w:rPr>
                        <w:t>. Tarybai nustatant reguliuojamų paslaugų sąnaudas,</w:t>
                      </w:r>
                      <w:r>
                        <w:rPr>
                          <w:b/>
                          <w:bCs/>
                          <w:szCs w:val="24"/>
                        </w:rPr>
                        <w:t xml:space="preserve"> </w:t>
                      </w:r>
                      <w:r>
                        <w:rPr>
                          <w:szCs w:val="24"/>
                        </w:rPr>
                        <w:t>laikomasi šių sąlygų:</w:t>
                      </w:r>
                    </w:p>
                    <w:sdt>
                      <w:sdtPr>
                        <w:alias w:val="36.1 pp."/>
                        <w:tag w:val="part_0e5e1af700bc412191e7cc934ff023fc"/>
                        <w:lock w:val="sdtLocked"/>
                        <w:richText/>
                      </w:sdtPr>
                      <w:sdtContent>
                        <w:p>
                          <w:pPr>
                            <w:tabs>
                              <w:tab w:val="right" w:pos="9638"/>
                            </w:tabs>
                            <w:suppressAutoHyphens/>
                            <w:ind w:firstLine="709"/>
                            <w:jc w:val="both"/>
                            <w:textAlignment w:val="center"/>
                            <w:rPr>
                              <w:szCs w:val="24"/>
                            </w:rPr>
                          </w:pPr>
                          <w:sdt>
                            <w:sdtPr>
                              <w:alias w:val="Numeris"/>
                              <w:tag w:val="nr_0e5e1af700bc412191e7cc934ff023fc"/>
                              <w:lock w:val="sdtLocked"/>
                              <w:richText/>
                            </w:sdtPr>
                            <w:sdtContent>
                              <w:r>
                                <w:rPr>
                                  <w:szCs w:val="24"/>
                                </w:rPr>
                                <w:t>36.1</w:t>
                              </w:r>
                            </w:sdtContent>
                          </w:sdt>
                          <w:r>
                            <w:rPr>
                              <w:szCs w:val="24"/>
                            </w:rPr>
                            <w:t xml:space="preserve"> turi būti atsižvelgiama (pakoreguojant leistiną pajamų lygį) į Tarybos atliktų reguliuojamų paslaugų sąnaudų pagrįstumo (būtinumo) patikrinimo rezultatus bei reguliuojamosios veiklos ataskaitų, parengtų pagal Aprašo reikalavimus, patikros ataskaitą;</w:t>
                          </w:r>
                        </w:p>
                      </w:sdtContent>
                    </w:sdt>
                    <w:sdt>
                      <w:sdtPr>
                        <w:alias w:val="36.2 pp."/>
                        <w:tag w:val="part_0ecfa38025214b53b9b367c020a2334f"/>
                        <w:lock w:val="sdtLocked"/>
                        <w:richText/>
                      </w:sdtPr>
                      <w:sdtContent>
                        <w:p>
                          <w:pPr>
                            <w:tabs>
                              <w:tab w:val="right" w:pos="9638"/>
                            </w:tabs>
                            <w:suppressAutoHyphens/>
                            <w:ind w:firstLine="709"/>
                            <w:jc w:val="both"/>
                            <w:textAlignment w:val="center"/>
                            <w:rPr>
                              <w:szCs w:val="24"/>
                            </w:rPr>
                          </w:pPr>
                          <w:sdt>
                            <w:sdtPr>
                              <w:alias w:val="Numeris"/>
                              <w:tag w:val="nr_0ecfa38025214b53b9b367c020a2334f"/>
                              <w:lock w:val="sdtLocked"/>
                              <w:richText/>
                            </w:sdtPr>
                            <w:sdtContent>
                              <w:r>
                                <w:rPr>
                                  <w:szCs w:val="24"/>
                                </w:rPr>
                                <w:t>36.2</w:t>
                              </w:r>
                            </w:sdtContent>
                          </w:sdt>
                          <w:r>
                            <w:rPr>
                              <w:szCs w:val="24"/>
                            </w:rPr>
                            <w:t>.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6.3 pp."/>
                        <w:tag w:val="part_a5c7439d286e43c49be4e94d13eab82c"/>
                        <w:lock w:val="sdtLocked"/>
                        <w:richText/>
                      </w:sdtPr>
                      <w:sdtContent>
                        <w:p>
                          <w:pPr>
                            <w:tabs>
                              <w:tab w:val="right" w:pos="9638"/>
                            </w:tabs>
                            <w:suppressAutoHyphens/>
                            <w:ind w:firstLine="709"/>
                            <w:jc w:val="both"/>
                            <w:textAlignment w:val="center"/>
                            <w:rPr>
                              <w:szCs w:val="24"/>
                            </w:rPr>
                          </w:pPr>
                          <w:sdt>
                            <w:sdtPr>
                              <w:alias w:val="Numeris"/>
                              <w:tag w:val="nr_a5c7439d286e43c49be4e94d13eab82c"/>
                              <w:lock w:val="sdtLocked"/>
                              <w:richText/>
                            </w:sdtPr>
                            <w:sdtContent>
                              <w:r>
                                <w:rPr>
                                  <w:szCs w:val="24"/>
                                </w:rPr>
                                <w:t>36.3</w:t>
                              </w:r>
                            </w:sdtContent>
                          </w:sdt>
                          <w:r>
                            <w:rPr>
                              <w:szCs w:val="24"/>
                            </w:rPr>
                            <w:t>. teisės aktuose nustačius kitus Įmonių veiklos ir vartotojų ar jų grupių aptarnavimo reikalavimus ar terminus bei apimtis, įvertinamos jų įgyvendinimui būtinos Įmonių sąnaudos (pakoreguojant leistiną pajamų lygį).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7 p."/>
                    <w:tag w:val="part_37df5cd9b8a14d648a1dbb1695d7518f"/>
                    <w:lock w:val="sdtLocked"/>
                    <w:richText/>
                  </w:sdtPr>
                  <w:sdtContent>
                    <w:p>
                      <w:pPr>
                        <w:spacing w:line="252" w:lineRule="auto"/>
                        <w:ind w:firstLine="709"/>
                        <w:jc w:val="both"/>
                        <w:rPr>
                          <w:szCs w:val="24"/>
                          <w:lang w:eastAsia="lt-LT"/>
                        </w:rPr>
                      </w:pPr>
                      <w:sdt>
                        <w:sdtPr>
                          <w:alias w:val="Numeris"/>
                          <w:tag w:val="nr_37df5cd9b8a14d648a1dbb1695d7518f"/>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09"/>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 xml:space="preserve"> </m:t>
                        </m:r>
                      </m:oMath>
                      <w:r>
                        <w:rPr>
                          <w:szCs w:val="24"/>
                          <w:lang w:eastAsia="lt-LT"/>
                        </w:rPr>
                        <w:t>(18)</w:t>
                      </w:r>
                    </w:p>
                    <w:p>
                      <w:pPr>
                        <w:spacing w:line="252" w:lineRule="auto"/>
                        <w:ind w:firstLine="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8 p."/>
                    <w:tag w:val="part_3bcd466850be4bd3957e47f2775fa4f7"/>
                    <w:lock w:val="sdtLocked"/>
                    <w:richText/>
                  </w:sdtPr>
                  <w:sdtContent>
                    <w:p>
                      <w:pPr>
                        <w:tabs>
                          <w:tab w:val="left" w:pos="993"/>
                        </w:tabs>
                        <w:spacing w:line="252" w:lineRule="auto"/>
                        <w:ind w:firstLine="709"/>
                        <w:jc w:val="both"/>
                        <w:rPr>
                          <w:szCs w:val="24"/>
                        </w:rPr>
                      </w:pPr>
                      <w:sdt>
                        <w:sdtPr>
                          <w:alias w:val="Numeris"/>
                          <w:tag w:val="nr_3bcd466850be4bd3957e47f2775fa4f7"/>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09"/>
                        <w:jc w:val="both"/>
                        <w:textAlignment w:val="baseline"/>
                        <w:rPr>
                          <w:szCs w:val="24"/>
                          <w:lang w:eastAsia="lt-LT"/>
                        </w:rPr>
                      </w:pPr>
                    </w:p>
                    <w:p>
                      <w:pPr>
                        <w:spacing w:line="252" w:lineRule="auto"/>
                        <w:ind w:firstLine="709"/>
                        <w:jc w:val="center"/>
                        <w:textAlignment w:val="baseline"/>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r>
                          <w:rPr>
                            <w:rFonts w:ascii="Cambria Math" w:hAnsi="Cambria Math"/>
                            <w:szCs w:val="24"/>
                            <w:lang w:eastAsia="lt-LT"/>
                          </w:rPr>
                          <m:t xml:space="preserve"> </m:t>
                        </m:r>
                      </m:oMath>
                      <w:r>
                        <w:rPr>
                          <w:szCs w:val="24"/>
                          <w:lang w:eastAsia="lt-LT"/>
                        </w:rPr>
                        <w:t>(19)</w:t>
                      </w:r>
                    </w:p>
                    <w:p>
                      <w:pPr>
                        <w:spacing w:line="252" w:lineRule="auto"/>
                        <w:ind w:firstLine="709"/>
                        <w:jc w:val="both"/>
                        <w:textAlignment w:val="baseline"/>
                        <w:rPr>
                          <w:i/>
                          <w:szCs w:val="24"/>
                          <w:lang w:eastAsia="lt-LT"/>
                        </w:rPr>
                      </w:pPr>
                    </w:p>
                    <w:p>
                      <w:pPr>
                        <w:spacing w:line="252" w:lineRule="auto"/>
                        <w:ind w:firstLine="709"/>
                        <w:jc w:val="both"/>
                        <w:textAlignment w:val="baseline"/>
                        <w:rPr>
                          <w:szCs w:val="24"/>
                          <w:lang w:eastAsia="lt-LT"/>
                        </w:rPr>
                      </w:pPr>
                      <w:r>
                        <w:rPr>
                          <w:i/>
                          <w:szCs w:val="24"/>
                          <w:lang w:eastAsia="lt-LT"/>
                        </w:rPr>
                        <w:t>čia:</w:t>
                      </w:r>
                      <w:r>
                        <w:rPr>
                          <w:szCs w:val="24"/>
                          <w:lang w:eastAsia="lt-LT"/>
                        </w:rPr>
                        <w:t> </w:t>
                      </w:r>
                    </w:p>
                    <w:p>
                      <w:pPr>
                        <w:spacing w:line="252" w:lineRule="auto"/>
                        <w:ind w:firstLine="709"/>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9 p."/>
                    <w:tag w:val="part_7c2d86c52adf4a579137a0b9878c617c"/>
                    <w:lock w:val="sdtLocked"/>
                    <w:richText/>
                  </w:sdtPr>
                  <w:sdtContent>
                    <w:p>
                      <w:pPr>
                        <w:tabs>
                          <w:tab w:val="left" w:pos="993"/>
                          <w:tab w:val="left" w:pos="9214"/>
                        </w:tabs>
                        <w:spacing w:line="252" w:lineRule="auto"/>
                        <w:ind w:firstLine="709"/>
                        <w:jc w:val="both"/>
                        <w:rPr>
                          <w:szCs w:val="24"/>
                        </w:rPr>
                      </w:pPr>
                      <w:sdt>
                        <w:sdtPr>
                          <w:alias w:val="Numeris"/>
                          <w:tag w:val="nr_7c2d86c52adf4a579137a0b9878c617c"/>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5-1 p."/>
                    <w:tag w:val="part_a98c8cd033374ca6a9b16c46d1467628"/>
                    <w:lock w:val="sdtLocked"/>
                    <w:richText/>
                  </w:sdtPr>
                  <w:sdtContent>
                    <w:p>
                      <w:pPr>
                        <w:tabs>
                          <w:tab w:val="left" w:pos="1080"/>
                          <w:tab w:val="left" w:pos="1260"/>
                        </w:tabs>
                        <w:spacing w:line="252" w:lineRule="auto"/>
                        <w:ind w:firstLine="709"/>
                        <w:jc w:val="both"/>
                        <w:rPr>
                          <w:szCs w:val="24"/>
                        </w:rPr>
                      </w:pPr>
                      <w:sdt>
                        <w:sdtPr>
                          <w:alias w:val="Numeris"/>
                          <w:tag w:val="nr_a98c8cd033374ca6a9b16c46d1467628"/>
                          <w:lock w:val="sdtLocked"/>
                          <w:richText/>
                        </w:sdtPr>
                        <w:sdtContent>
                          <w:r>
                            <w:rPr>
                              <w:rFonts w:eastAsia="MS Mincho"/>
                              <w:szCs w:val="24"/>
                            </w:rPr>
                            <w:t>45</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38b090d8210a4d17ac653551ff42483e"/>
                        <w:lock w:val="sdtLocked"/>
                        <w:richText/>
                      </w:sdtPr>
                      <w:sdtContent>
                        <w:p>
                          <w:pPr>
                            <w:spacing w:line="252" w:lineRule="auto"/>
                            <w:ind w:firstLine="720"/>
                            <w:jc w:val="both"/>
                          </w:pPr>
                          <w:sdt>
                            <w:sdtPr>
                              <w:alias w:val="Numeris"/>
                              <w:tag w:val="nr_38b090d8210a4d17ac653551ff42483e"/>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9568eaee03e64d4f9c0a6a9d43608a08"/>
                        <w:lock w:val="sdtLocked"/>
                        <w:richText/>
                      </w:sdtPr>
                      <w:sdtContent>
                        <w:p>
                          <w:pPr>
                            <w:spacing w:line="252" w:lineRule="auto"/>
                            <w:ind w:firstLine="720"/>
                            <w:jc w:val="both"/>
                          </w:pPr>
                          <w:sdt>
                            <w:sdtPr>
                              <w:alias w:val="Numeris"/>
                              <w:tag w:val="nr_9568eaee03e64d4f9c0a6a9d43608a08"/>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ec2ceff84f38455abb303f2b0b998838"/>
                        <w:lock w:val="sdtLocked"/>
                        <w:richText/>
                      </w:sdtPr>
                      <w:sdtContent>
                        <w:p>
                          <w:pPr>
                            <w:spacing w:line="252" w:lineRule="auto"/>
                            <w:ind w:firstLine="720"/>
                            <w:jc w:val="both"/>
                          </w:pPr>
                          <w:sdt>
                            <w:sdtPr>
                              <w:alias w:val="Numeris"/>
                              <w:tag w:val="nr_ec2ceff84f38455abb303f2b0b998838"/>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0a7f973626924f6ab86785ffe35370f9"/>
                        <w:lock w:val="sdtLocked"/>
                        <w:richText/>
                      </w:sdtPr>
                      <w:sdtContent>
                        <w:p>
                          <w:pPr>
                            <w:pStyle w:val="PlainText"/>
                            <w:ind w:firstLine="567"/>
                            <w:jc w:val="both"/>
                            <w:rPr>
                              <w:rFonts w:ascii="Times New Roman" w:hAnsi="Times New Roman"/>
                              <w:b/>
                              <w:bCs/>
                              <w:sz w:val="22"/>
                            </w:rPr>
                          </w:pPr>
                          <w:r>
                            <w:rPr>
                              <w:rFonts w:ascii="Times New Roman" w:hAnsi="Times New Roman"/>
                              <w:sz w:val="22"/>
                            </w:rPr>
                            <w:t>57.6</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7996d09d75234e98bdbc6b09551accce"/>
                    <w:lock w:val="sdtLocked"/>
                    <w:richText/>
                  </w:sdtPr>
                  <w:sdtContent>
                    <w:p>
                      <w:pPr>
                        <w:tabs>
                          <w:tab w:val="left" w:pos="993"/>
                        </w:tabs>
                        <w:spacing w:line="252" w:lineRule="auto"/>
                        <w:ind w:firstLine="709"/>
                        <w:jc w:val="both"/>
                        <w:rPr>
                          <w:szCs w:val="24"/>
                        </w:rPr>
                      </w:pPr>
                      <w:sdt>
                        <w:sdtPr>
                          <w:alias w:val="Numeris"/>
                          <w:tag w:val="nr_7996d09d75234e98bdbc6b09551accce"/>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m:t>
                                </m:r>
                                <m:r>
                                  <w:rPr>
                                    <w:rFonts w:ascii="Cambria Math" w:eastAsiaTheme="minorHAnsi" w:hAnsi="Cambria Math"/>
                                    <w:szCs w:val="24"/>
                                  </w:rPr>
                                  <m:t xml:space="preserve"> </m:t>
                                </m:r>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m:t>
                            </m:r>
                            <m:r>
                              <w:rPr>
                                <w:rFonts w:ascii="Cambria Math" w:eastAsiaTheme="minorHAnsi" w:hAnsi="Cambria Math"/>
                                <w:szCs w:val="24"/>
                              </w:rPr>
                              <m:t>OPE</m:t>
                            </m:r>
                            <m:r>
                              <w:rPr>
                                <w:rFonts w:ascii="Cambria Math" w:eastAsiaTheme="minorHAnsi" w:hAnsi="Cambria Math"/>
                                <w:szCs w:val="24"/>
                              </w:rPr>
                              <m:t>X</m:t>
                            </m:r>
                          </m:e>
                          <m:sub>
                            <m:r>
                              <w:rPr>
                                <w:rFonts w:ascii="Cambria Math" w:eastAsiaTheme="minorHAnsi" w:hAnsi="Cambria Math"/>
                                <w:szCs w:val="24"/>
                                <w:vertAlign w:val="subscript"/>
                              </w:rPr>
                              <m:t>(</m:t>
                            </m:r>
                            <m:r>
                              <w:rPr>
                                <w:rFonts w:ascii="Cambria Math" w:eastAsiaTheme="minorHAnsi" w:hAnsi="Cambria Math"/>
                                <w:szCs w:val="24"/>
                                <w:vertAlign w:val="subscript"/>
                              </w:rPr>
                              <m:t>PROJ</m:t>
                            </m:r>
                            <m:r>
                              <w:rPr>
                                <w:rFonts w:ascii="Cambria Math" w:eastAsiaTheme="minorHAnsi" w:hAnsi="Cambria Math"/>
                                <w:szCs w:val="24"/>
                                <w:vertAlign w:val="subscript"/>
                              </w:rPr>
                              <m:t>)</m:t>
                            </m:r>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Theme="minorHAnsi" w:hAnsi="Cambria Math"/>
                                <w:szCs w:val="24"/>
                              </w:rPr>
                              <m:t xml:space="preserve">+ </m:t>
                            </m:r>
                            <m:r>
                              <w:rPr>
                                <w:rFonts w:ascii="Cambria Math" w:eastAsiaTheme="minorHAnsi" w:hAnsi="Cambria Math"/>
                                <w:szCs w:val="24"/>
                              </w:rPr>
                              <m:t>ROI</m:t>
                            </m:r>
                          </m:e>
                          <m:sub>
                            <m:r>
                              <w:rPr>
                                <w:rFonts w:ascii="Cambria Math" w:eastAsiaTheme="minorHAnsi" w:hAnsi="Cambria Math"/>
                                <w:szCs w:val="24"/>
                              </w:rPr>
                              <m:t>110,</m:t>
                            </m:r>
                            <m:r>
                              <w:rPr>
                                <w:rFonts w:ascii="Cambria Math" w:eastAsiaTheme="minorHAnsi" w:hAnsi="Cambria Math"/>
                                <w:szCs w:val="24"/>
                              </w:rPr>
                              <m:t>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m:t>
                            </m:r>
                            <m:r>
                              <w:rPr>
                                <w:rFonts w:ascii="Cambria Math" w:hAnsi="Cambria Math"/>
                                <w:vertAlign w:val="subscript"/>
                              </w:rPr>
                              <m:t>110,</m:t>
                            </m:r>
                            <m:r>
                              <w:rPr>
                                <w:rFonts w:ascii="Cambria Math" w:hAnsi="Cambria Math"/>
                                <w:vertAlign w:val="subscript"/>
                              </w:rPr>
                              <m:t>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m:t>
                            </m:r>
                            <m:r>
                              <w:rPr>
                                <w:rFonts w:ascii="Cambria Math" w:eastAsiaTheme="minorHAnsi" w:hAnsi="Cambria Math"/>
                                <w:szCs w:val="24"/>
                              </w:rPr>
                              <m:t>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d64dac6c75f946b090689a7b845bf65b"/>
                    <w:lock w:val="sdtLocked"/>
                    <w:richText/>
                  </w:sdtPr>
                  <w:sdtContent>
                    <w:p>
                      <w:pPr>
                        <w:tabs>
                          <w:tab w:val="left" w:pos="1080"/>
                          <w:tab w:val="left" w:pos="1843"/>
                          <w:tab w:val="left" w:pos="2268"/>
                        </w:tabs>
                        <w:spacing w:line="252" w:lineRule="auto"/>
                        <w:ind w:firstLine="720"/>
                        <w:jc w:val="both"/>
                        <w:rPr>
                          <w:szCs w:val="24"/>
                        </w:rPr>
                      </w:pPr>
                      <w:sdt>
                        <w:sdtPr>
                          <w:alias w:val="Numeris"/>
                          <w:tag w:val="nr_d64dac6c75f946b090689a7b845bf65b"/>
                          <w:lock w:val="sdtLocked"/>
                          <w:richText/>
                        </w:sdtPr>
                        <w:sdtContent>
                          <w:r>
                            <w:rPr>
                              <w:szCs w:val="24"/>
                            </w:rPr>
                            <w:t>60</w:t>
                          </w:r>
                        </w:sdtContent>
                      </w:sdt>
                      <w:r>
                        <w:rPr>
                          <w:szCs w:val="24"/>
                        </w:rPr>
                        <w:t>.</w:t>
                      </w:r>
                      <w:r>
                        <w:t xml:space="preserve"> Planuojamos elektros energijos pirkimo savoms reikmėms padengti sąnaudos apskaičiuojamos pagal formulę</w:t>
                      </w:r>
                      <w:r>
                        <w:rPr>
                          <w:szCs w:val="24"/>
                        </w:rPr>
                        <w:t xml:space="preserve"> :</w:t>
                      </w:r>
                    </w:p>
                    <w:p>
                      <w:pPr>
                        <w:tabs>
                          <w:tab w:val="left" w:pos="9214"/>
                        </w:tabs>
                        <w:spacing w:line="252" w:lineRule="auto"/>
                        <w:ind w:firstLine="771"/>
                        <w:jc w:val="both"/>
                        <w:rPr>
                          <w:szCs w:val="24"/>
                        </w:rPr>
                      </w:pPr>
                    </w:p>
                    <w:p>
                      <w:pPr>
                        <w:tabs>
                          <w:tab w:val="left" w:pos="921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r>
                              <w:rPr>
                                <w:rFonts w:ascii="Cambria Math" w:hAnsi="Cambria Math"/>
                                <w:szCs w:val="24"/>
                              </w:rPr>
                              <m:t xml:space="preserve">  </m:t>
                            </m:r>
                          </m:sub>
                        </m:sSub>
                        <m:r>
                          <w:rPr>
                            <w:rFonts w:ascii="Cambria Math" w:hAnsi="Cambria Math"/>
                            <w:szCs w:val="24"/>
                          </w:rPr>
                          <m:t xml:space="preserve"> </m:t>
                        </m:r>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1 p."/>
                    <w:tag w:val="part_1f396366f57143748783a4812bc8928d"/>
                    <w:lock w:val="sdtLocked"/>
                    <w:richText/>
                  </w:sdtPr>
                  <w:sdtContent>
                    <w:p>
                      <w:pPr>
                        <w:tabs>
                          <w:tab w:val="left" w:pos="1191"/>
                          <w:tab w:val="right" w:pos="9638"/>
                        </w:tabs>
                        <w:suppressAutoHyphens/>
                        <w:ind w:firstLine="709"/>
                        <w:jc w:val="both"/>
                        <w:textAlignment w:val="center"/>
                        <w:rPr>
                          <w:szCs w:val="24"/>
                        </w:rPr>
                      </w:pPr>
                      <w:sdt>
                        <w:sdtPr>
                          <w:alias w:val="Numeris"/>
                          <w:tag w:val="nr_1f396366f57143748783a4812bc8928d"/>
                          <w:lock w:val="sdtLocked"/>
                          <w:richText/>
                        </w:sdtPr>
                        <w:sdtContent>
                          <w:r>
                            <w:rPr>
                              <w:szCs w:val="24"/>
                            </w:rPr>
                            <w:t>61</w:t>
                          </w:r>
                        </w:sdtContent>
                      </w:sdt>
                      <w:r>
                        <w:rPr>
                          <w:szCs w:val="24"/>
                        </w:rPr>
                        <w:t xml:space="preserve">. Planuojamos elektros energijos pirkimo sąnaudos technologinėms sąnaudoms įrenginiuose padengti apskaičiuojamos pagal formulę: </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center"/>
                        <w:textAlignment w:val="center"/>
                        <w:rPr>
                          <w:szCs w:val="24"/>
                        </w:rPr>
                      </w:pPr>
                      <w:r>
                        <w:rPr>
                          <w:szCs w:val="24"/>
                        </w:rPr>
                        <w:t>S(n110,t) = E_(n110v,t)×T_(g110,t) (26)</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both"/>
                        <w:textAlignment w:val="center"/>
                        <w:rPr>
                          <w:szCs w:val="24"/>
                        </w:rPr>
                      </w:pPr>
                      <w:r>
                        <w:rPr>
                          <w:szCs w:val="24"/>
                        </w:rPr>
                        <w:t xml:space="preserve">čia: </w:t>
                      </w:r>
                    </w:p>
                    <w:p>
                      <w:pPr>
                        <w:tabs>
                          <w:tab w:val="left" w:pos="1191"/>
                          <w:tab w:val="right" w:pos="9638"/>
                        </w:tabs>
                        <w:suppressAutoHyphens/>
                        <w:ind w:firstLine="709"/>
                        <w:jc w:val="both"/>
                        <w:textAlignment w:val="center"/>
                        <w:rPr>
                          <w:szCs w:val="24"/>
                        </w:rPr>
                      </w:pPr>
                      <w:r>
                        <w:rPr>
                          <w:szCs w:val="24"/>
                        </w:rPr>
                        <w:t xml:space="preserve">Sn110,t – </w:t>
                      </w:r>
                      <w:r>
                        <w:rPr>
                          <w:i/>
                          <w:iCs/>
                          <w:szCs w:val="24"/>
                        </w:rPr>
                        <w:t>t</w:t>
                      </w:r>
                      <w:r>
                        <w:rPr>
                          <w:szCs w:val="24"/>
                        </w:rPr>
                        <w:t xml:space="preserve"> metų planuojami elektros energijos įsigijimo sąnaudos technologinėms sąnaudoms įrenginiuose padengti, EUR; </w:t>
                      </w:r>
                    </w:p>
                    <w:p>
                      <w:pPr>
                        <w:tabs>
                          <w:tab w:val="left" w:pos="1191"/>
                          <w:tab w:val="right" w:pos="9638"/>
                        </w:tabs>
                        <w:suppressAutoHyphens/>
                        <w:ind w:firstLine="709"/>
                        <w:jc w:val="both"/>
                        <w:textAlignment w:val="center"/>
                        <w:rPr>
                          <w:szCs w:val="24"/>
                        </w:rPr>
                      </w:pPr>
                      <w:r>
                        <w:rPr>
                          <w:szCs w:val="24"/>
                        </w:rPr>
                        <w:t xml:space="preserve">En110v,t – elektros energijos suvartojimas technologiniuose įrenginiuose perduodant elektros energiją, kWh; </w:t>
                      </w:r>
                    </w:p>
                    <w:p>
                      <w:pPr>
                        <w:tabs>
                          <w:tab w:val="left" w:pos="1191"/>
                          <w:tab w:val="right" w:pos="9638"/>
                        </w:tabs>
                        <w:suppressAutoHyphens/>
                        <w:ind w:firstLine="709"/>
                        <w:jc w:val="both"/>
                        <w:textAlignment w:val="center"/>
                        <w:rPr>
                          <w:szCs w:val="24"/>
                        </w:rPr>
                      </w:pPr>
                      <w:r>
                        <w:rPr>
                          <w:szCs w:val="24"/>
                        </w:rPr>
                        <w:t xml:space="preserve">Tg110,t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2 p."/>
                    <w:tag w:val="part_064cce36cec64f96bf17f5a0bca14efb"/>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3 p."/>
                    <w:tag w:val="part_4e6d7d3d9c9545779a1e079ab32dba81"/>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f0bb86b360b54e3fab5b44012547a1dc"/>
                    <w:lock w:val="sdtLocked"/>
                    <w:richText/>
                  </w:sdtPr>
                  <w:sdtContent>
                    <w:p>
                      <w:pPr>
                        <w:tabs>
                          <w:tab w:val="left" w:pos="1080"/>
                          <w:tab w:val="left" w:pos="1843"/>
                          <w:tab w:val="left" w:pos="2268"/>
                        </w:tabs>
                        <w:spacing w:line="252" w:lineRule="auto"/>
                        <w:ind w:firstLine="720"/>
                        <w:jc w:val="both"/>
                        <w:rPr>
                          <w:szCs w:val="24"/>
                        </w:rPr>
                      </w:pPr>
                      <w:sdt>
                        <w:sdtPr>
                          <w:alias w:val="Numeris"/>
                          <w:tag w:val="nr_f0bb86b360b54e3fab5b44012547a1dc"/>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m:t>
                                </m:r>
                                <m:r>
                                  <w:rPr>
                                    <w:rFonts w:ascii="Cambria Math" w:hAnsi="Cambria Math"/>
                                  </w:rPr>
                                  <m:t xml:space="preserve">110, </m:t>
                                </m:r>
                                <m:r>
                                  <w:rPr>
                                    <w:rFonts w:ascii="Cambria Math" w:hAnsi="Cambria Math"/>
                                  </w:rPr>
                                  <m:t>t</m:t>
                                </m:r>
                              </m:sub>
                            </m:sSub>
                            <m:r>
                              <w:rPr>
                                <w:rFonts w:ascii="Cambria Math" w:hAnsi="Cambria Math"/>
                              </w:rPr>
                              <m:t>+</m:t>
                            </m:r>
                            <m:r>
                              <w:rPr>
                                <w:rFonts w:ascii="Cambria Math" w:hAnsi="Cambria Math"/>
                              </w:rPr>
                              <m:t>PD</m:t>
                            </m:r>
                          </m:e>
                          <m:sub>
                            <m:r>
                              <w:rPr>
                                <w:rFonts w:ascii="Cambria Math" w:hAnsi="Cambria Math"/>
                              </w:rPr>
                              <m:t>110,</m:t>
                            </m:r>
                            <m:r>
                              <w:rPr>
                                <w:rFonts w:ascii="Cambria Math" w:hAnsi="Cambria Math"/>
                              </w:rPr>
                              <m:t>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4b25c6fc9c1f462ba46d7856bf8aa456"/>
                    <w:lock w:val="sdtLocked"/>
                    <w:richText/>
                  </w:sdtPr>
                  <w:sdtContent>
                    <w:p>
                      <w:pPr>
                        <w:tabs>
                          <w:tab w:val="left" w:pos="1134"/>
                        </w:tabs>
                        <w:spacing w:line="252" w:lineRule="auto"/>
                        <w:ind w:firstLine="709"/>
                        <w:jc w:val="both"/>
                        <w:rPr>
                          <w:szCs w:val="24"/>
                        </w:rPr>
                      </w:pPr>
                      <w:sdt>
                        <w:sdtPr>
                          <w:alias w:val="Numeris"/>
                          <w:tag w:val="nr_4b25c6fc9c1f462ba46d7856bf8aa456"/>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IK</m:t>
                            </m:r>
                          </m:e>
                          <m:sub>
                            <m:r>
                              <w:rPr>
                                <w:rFonts w:ascii="Cambria Math" w:hAnsi="Cambria Math"/>
                              </w:rPr>
                              <m:t xml:space="preserve"> </m:t>
                            </m:r>
                            <m:r>
                              <w:rPr>
                                <w:rFonts w:ascii="Cambria Math" w:hAnsi="Cambria Math"/>
                              </w:rPr>
                              <m:t>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67c10f851a934af7a8f6dc6c6c612bc8"/>
                    <w:lock w:val="sdtLocked"/>
                    <w:richText/>
                  </w:sdtPr>
                  <w:sdtContent>
                    <w:p>
                      <w:pPr>
                        <w:tabs>
                          <w:tab w:val="left" w:pos="1134"/>
                        </w:tabs>
                        <w:spacing w:line="252" w:lineRule="auto"/>
                        <w:ind w:firstLine="709"/>
                        <w:jc w:val="both"/>
                        <w:rPr>
                          <w:szCs w:val="24"/>
                        </w:rPr>
                      </w:pPr>
                      <w:sdt>
                        <w:sdtPr>
                          <w:alias w:val="Numeris"/>
                          <w:tag w:val="nr_67c10f851a934af7a8f6dc6c6c612bc8"/>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m:t>
                                </m:r>
                                <m:r>
                                  <w:rPr>
                                    <w:rFonts w:ascii="Cambria Math" w:hAnsi="Cambria Math"/>
                                  </w:rPr>
                                  <m:t>DU</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912f9c686bb74923b2121bc6b2264c6c"/>
                    <w:lock w:val="sdtLocked"/>
                    <w:richText/>
                  </w:sdtPr>
                  <w:sdtContent>
                    <w:p>
                      <w:pPr>
                        <w:tabs>
                          <w:tab w:val="left" w:pos="1080"/>
                          <w:tab w:val="left" w:pos="1843"/>
                          <w:tab w:val="left" w:pos="2268"/>
                        </w:tabs>
                        <w:spacing w:line="252" w:lineRule="auto"/>
                        <w:ind w:firstLine="720"/>
                        <w:jc w:val="both"/>
                        <w:rPr>
                          <w:szCs w:val="24"/>
                        </w:rPr>
                      </w:pPr>
                      <w:sdt>
                        <w:sdtPr>
                          <w:alias w:val="Numeris"/>
                          <w:tag w:val="nr_912f9c686bb74923b2121bc6b2264c6c"/>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fcb220515b34404f80f2b68b3b920ba5"/>
                        <w:lock w:val="sdtLocked"/>
                        <w:richText/>
                      </w:sdtPr>
                      <w:sdtContent>
                        <w:p>
                          <w:pPr>
                            <w:spacing w:line="252" w:lineRule="auto"/>
                            <w:ind w:firstLine="720"/>
                            <w:jc w:val="both"/>
                            <w:rPr>
                              <w:szCs w:val="24"/>
                            </w:rPr>
                          </w:pPr>
                          <w:sdt>
                            <w:sdtPr>
                              <w:alias w:val="Numeris"/>
                              <w:tag w:val="nr_fcb220515b34404f80f2b68b3b920ba5"/>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e1f00cc4ac544dd2998c7f8035e5ad0f"/>
                        <w:lock w:val="sdtLocked"/>
                        <w:richText/>
                      </w:sdtPr>
                      <w:sdtContent>
                        <w:p>
                          <w:pPr>
                            <w:spacing w:line="252" w:lineRule="auto"/>
                            <w:ind w:firstLine="720"/>
                            <w:jc w:val="both"/>
                            <w:rPr>
                              <w:szCs w:val="24"/>
                            </w:rPr>
                          </w:pPr>
                          <w:sdt>
                            <w:sdtPr>
                              <w:alias w:val="Numeris"/>
                              <w:tag w:val="nr_e1f00cc4ac544dd2998c7f8035e5ad0f"/>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970672610a614f268990879a15d4e748"/>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970672610a614f268990879a15d4e748"/>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r>
                          <w:rPr>
                            <w:rFonts w:ascii="Cambria Math" w:hAnsi="Cambria Math"/>
                            <w:szCs w:val="24"/>
                          </w:rPr>
                          <m:t xml:space="preserve"> </m:t>
                        </m:r>
                      </m:oMath>
                      <w:r>
                        <w:rPr>
                          <w:szCs w:val="24"/>
                        </w:rPr>
                        <w:t>(38)</w:t>
                      </w:r>
                    </w:p>
                    <w:p>
                      <w:pPr>
                        <w:tabs>
                          <w:tab w:val="left" w:pos="9214"/>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both"/>
                        <w:rPr>
                          <w:i/>
                          <w:szCs w:val="24"/>
                        </w:rPr>
                      </w:pPr>
                      <w:r>
                        <w:rPr>
                          <w:i/>
                          <w:szCs w:val="24"/>
                        </w:rPr>
                        <w:t>čia:</w:t>
                      </w:r>
                    </w:p>
                    <w:p>
                      <w:pPr>
                        <w:tabs>
                          <w:tab w:val="left" w:pos="1080"/>
                          <w:tab w:val="left" w:pos="1134"/>
                          <w:tab w:val="left" w:pos="1843"/>
                          <w:tab w:val="left" w:pos="2268"/>
                        </w:tabs>
                        <w:suppressAutoHyphen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uppressAutoHyphens/>
                        <w:spacing w:line="252" w:lineRule="auto"/>
                        <w:ind w:firstLine="709"/>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ppd,t-1</w:t>
                      </w:r>
                      <w:r>
                        <w:rPr>
                          <w:szCs w:val="24"/>
                        </w:rPr>
                        <w:t xml:space="preserve"> – papildomų paslaugų įsigijimo dedamosios prie perdavimo paslaugos kaina, apskaičiuota vadovaujantis Tarybos 2012 m. liepos 27 d. nutarimu Nr. O3-200 „Dėl Papildomų paslaugų įsigijimo dedamosios prie perdavimo paslaugos kainos nustatymo metodikos patvirtinimo“ patvirtinta Papildomų paslaugų įsigijimo dedamosios prie perdavimo paslaugos kainos nustatymo metodika (toliau – Papildomų paslaugų įsigijimo dedamosios prie perdavimo paslaugos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viap,t</w:t>
                      </w:r>
                      <w:r>
                        <w:rPr>
                          <w:szCs w:val="24"/>
                          <w:vertAlign w:val="subscript"/>
                        </w:rPr>
                        <w:t xml:space="preserve">-1 </w:t>
                      </w:r>
                      <w:r>
                        <w:rPr>
                          <w:szCs w:val="24"/>
                        </w:rPr>
                        <w:t>– VIAP kaina, apskaičiuota vadovaujantis Viešuosius interesus atitinkančių paslaugų elektros energetikos sektoriuje kainos nustatymo metodika, patvirtinta Tarybos 2012 m. rugsėjo 28 d. nutarimu Nr. O3-279 „Dėl Viešuosius interesus atitinkančių paslaugų elektros energetikos sektoriuje kainos nustatymo metodikos patvirtinimo“ (toliau – VIAP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pPr>
                        <w:tabs>
                          <w:tab w:val="left" w:pos="1080"/>
                          <w:tab w:val="left" w:pos="1134"/>
                          <w:tab w:val="left" w:pos="1843"/>
                          <w:tab w:val="left" w:pos="2268"/>
                        </w:tabs>
                        <w:suppressAutoHyphens/>
                        <w:spacing w:line="252" w:lineRule="auto"/>
                        <w:ind w:firstLine="709"/>
                        <w:jc w:val="both"/>
                        <w:rPr>
                          <w:szCs w:val="24"/>
                        </w:rPr>
                      </w:pPr>
                      <w:r>
                        <w:rPr>
                          <w:i/>
                          <w:iCs/>
                        </w:rPr>
                        <w:t>T</w:t>
                      </w:r>
                      <w:r>
                        <w:t xml:space="preserve"> metų VIAP ir </w:t>
                      </w:r>
                      <w:r>
                        <w:rPr>
                          <w:szCs w:val="24"/>
                        </w:rPr>
                        <w:t xml:space="preserve">papildomų paslaugų įsigijimo dedamosios prie perdavimo paslaugos </w:t>
                      </w:r>
                      <w:r>
                        <w:t xml:space="preserve">kainos yra naudojamos, kai jos kainų nustatymo, koregavimo metu yra patvirtintos arba nurodytos atitinkamo Tarybos struktūrinio padalinio parengtoje pažymoje, kuri kartu su nutarimo projektu Tarybos nustatyta tvarka yra pateikta Tarybos posėdžiui.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5 p."/>
                    <w:tag w:val="part_ebcf5cac4efd444096e49293a5018a7a"/>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ebcf5cac4efd444096e49293a5018a7a"/>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r>
                          <w:rPr>
                            <w:rFonts w:ascii="Cambria Math" w:hAnsi="Cambria Math"/>
                          </w:rPr>
                          <m:t xml:space="preserve">  </m:t>
                        </m:r>
                      </m:oMath>
                      <w:r>
                        <w:rPr>
                          <w:szCs w:val="24"/>
                        </w:rPr>
                        <w:t>(39)</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uppressAutoHyphens/>
                        <w:spacing w:line="252" w:lineRule="auto"/>
                        <w:ind w:firstLine="720"/>
                        <w:jc w:val="both"/>
                        <w:rPr>
                          <w:bCs/>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įskaitant balansavimo energijos kainą, kuri negali būti didesnės nei 4 proc. nuo </w:t>
                      </w:r>
                      <w:r>
                        <w:rPr>
                          <w:bCs/>
                          <w:i/>
                          <w:szCs w:val="24"/>
                        </w:rPr>
                        <w:t>t</w:t>
                      </w:r>
                      <w:r>
                        <w:rPr>
                          <w:bCs/>
                          <w:szCs w:val="24"/>
                        </w:rPr>
                        <w:t xml:space="preserve"> metų rinkos kainos, EUR/kWh </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szCs w:val="24"/>
                          <w:vertAlign w:val="subscript"/>
                        </w:rPr>
                        <w:t>110,</w:t>
                      </w:r>
                      <w:r>
                        <w:rPr>
                          <w:bCs/>
                          <w:i/>
                          <w:szCs w:val="24"/>
                          <w:vertAlign w:val="subscript"/>
                        </w:rPr>
                        <w:t>t</w:t>
                      </w:r>
                      <w:r>
                        <w:rPr>
                          <w:bCs/>
                          <w:szCs w:val="24"/>
                        </w:rPr>
                        <w:t xml:space="preserve"> – </w:t>
                      </w:r>
                      <w:r>
                        <w:rPr>
                          <w:bCs/>
                          <w:i/>
                          <w:szCs w:val="24"/>
                        </w:rPr>
                        <w:t xml:space="preserve">t </w:t>
                      </w:r>
                      <w:r>
                        <w:rPr>
                          <w:bCs/>
                          <w:szCs w:val="24"/>
                        </w:rPr>
                        <w:t>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i/>
                          <w:szCs w:val="24"/>
                          <w:vertAlign w:val="subscript"/>
                        </w:rPr>
                        <w:t>ppd,t-1</w:t>
                      </w:r>
                      <w:r>
                        <w:rPr>
                          <w:bCs/>
                          <w:szCs w:val="24"/>
                        </w:rPr>
                        <w:t xml:space="preserve"> – papildomų paslaugų įsigijimo dedamosios prie perdavimo paslaugos kaina</w:t>
                      </w:r>
                      <w:r>
                        <w:rPr>
                          <w:bCs/>
                          <w:strike/>
                          <w:szCs w:val="24"/>
                        </w:rPr>
                        <w:t xml:space="preserve"> </w:t>
                      </w:r>
                      <w:r>
                        <w:rPr>
                          <w:bCs/>
                          <w:szCs w:val="24"/>
                        </w:rPr>
                        <w:t>Papildomų paslaugų įsigijimo dedamosios prie perdavimo paslaugos kainos nustatymo metodika, </w:t>
                      </w:r>
                      <w:r>
                        <w:rPr>
                          <w:bCs/>
                          <w:i/>
                          <w:szCs w:val="24"/>
                        </w:rPr>
                        <w:t xml:space="preserve"> t</w:t>
                      </w:r>
                      <w:r>
                        <w:rPr>
                          <w:bCs/>
                          <w:szCs w:val="24"/>
                        </w:rPr>
                        <w:t xml:space="preserve">-1 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bCs/>
                          <w:szCs w:val="24"/>
                        </w:rPr>
                      </w:pPr>
                      <w:r>
                        <w:rPr>
                          <w:bCs/>
                          <w:i/>
                          <w:szCs w:val="24"/>
                        </w:rPr>
                        <w:t>T</w:t>
                      </w:r>
                      <w:r>
                        <w:rPr>
                          <w:bCs/>
                          <w:i/>
                          <w:szCs w:val="24"/>
                          <w:vertAlign w:val="subscript"/>
                        </w:rPr>
                        <w:t>viap,t</w:t>
                      </w:r>
                      <w:r>
                        <w:rPr>
                          <w:bCs/>
                          <w:szCs w:val="24"/>
                          <w:vertAlign w:val="subscript"/>
                        </w:rPr>
                        <w:t xml:space="preserve">-1 </w:t>
                      </w:r>
                      <w:r>
                        <w:rPr>
                          <w:bCs/>
                          <w:szCs w:val="24"/>
                        </w:rPr>
                        <w:t>–VIAP kaina, apskaičiuota vadovaujantis VIAP kainos nustatymo metodika, </w:t>
                      </w:r>
                      <w:r>
                        <w:rPr>
                          <w:bCs/>
                          <w:i/>
                          <w:szCs w:val="24"/>
                        </w:rPr>
                        <w:t>t</w:t>
                      </w:r>
                      <w:r>
                        <w:rPr>
                          <w:bCs/>
                          <w:szCs w:val="24"/>
                        </w:rPr>
                        <w:t>-1</w:t>
                      </w:r>
                      <w:r>
                        <w:rPr>
                          <w:bCs/>
                          <w:i/>
                          <w:szCs w:val="24"/>
                        </w:rPr>
                        <w:t> </w:t>
                      </w:r>
                      <w:r>
                        <w:rPr>
                          <w:bCs/>
                          <w:szCs w:val="24"/>
                        </w:rPr>
                        <w:t xml:space="preserve">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bCs/>
                          <w:i/>
                          <w:iCs/>
                        </w:rPr>
                        <w:t>T</w:t>
                      </w:r>
                      <w:r>
                        <w:rPr>
                          <w:bCs/>
                        </w:rPr>
                        <w:t xml:space="preserve"> metų VIAP ir </w:t>
                      </w:r>
                      <w:r>
                        <w:rPr>
                          <w:bCs/>
                          <w:szCs w:val="24"/>
                        </w:rPr>
                        <w:t xml:space="preserve">papildomų paslaugų įsigijimo dedamosios prie perdavimo paslaugos </w:t>
                      </w:r>
                      <w:r>
                        <w:rPr>
                          <w:bCs/>
                        </w:rPr>
                        <w:t>kainos yra naudojamos, kai jos kainų nustatymo, koregavimo metu yra patvirtintos</w:t>
                      </w:r>
                      <w:r>
                        <w:t xml:space="preserve"> </w:t>
                      </w:r>
                      <w:r>
                        <w:rPr>
                          <w:szCs w:val="24"/>
                        </w:rPr>
                        <w:t>arba nurodytos atitinkamo Tarybos struktūrinio padalinio parengtoje pažymoje, kuri kartu su nutarimo projektu Tarybos nustatyta tvarka yra pateikta Tarybos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6 p."/>
                    <w:tag w:val="part_3401b15b7ef04d269831442e0a5e7fd0"/>
                    <w:lock w:val="sdtLocked"/>
                    <w:richText/>
                  </w:sdtPr>
                  <w:sdtContent>
                    <w:p>
                      <w:pPr>
                        <w:tabs>
                          <w:tab w:val="left" w:pos="1134"/>
                          <w:tab w:val="left" w:pos="1843"/>
                          <w:tab w:val="left" w:pos="2268"/>
                        </w:tabs>
                        <w:spacing w:line="252" w:lineRule="auto"/>
                        <w:ind w:firstLine="709"/>
                        <w:jc w:val="both"/>
                        <w:rPr>
                          <w:szCs w:val="24"/>
                        </w:rPr>
                      </w:pPr>
                      <w:sdt>
                        <w:sdtPr>
                          <w:alias w:val="Numeris"/>
                          <w:tag w:val="nr_3401b15b7ef04d269831442e0a5e7fd0"/>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e>
                        </m:d>
                        <m:r>
                          <w:rPr>
                            <w:rFonts w:ascii="Cambria Math" w:hAnsi="Cambria Math"/>
                          </w:rPr>
                          <m:t xml:space="preserve"> </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7 p."/>
                    <w:tag w:val="part_f466ce44180a4ebf989cef624423683d"/>
                    <w:lock w:val="sdtLocked"/>
                    <w:richText/>
                  </w:sdtPr>
                  <w:sdtContent>
                    <w:p>
                      <w:pPr>
                        <w:tabs>
                          <w:tab w:val="left" w:pos="1134"/>
                          <w:tab w:val="left" w:pos="1843"/>
                          <w:tab w:val="left" w:pos="2268"/>
                        </w:tabs>
                        <w:spacing w:line="252" w:lineRule="auto"/>
                        <w:ind w:firstLine="709"/>
                        <w:jc w:val="both"/>
                        <w:rPr>
                          <w:szCs w:val="24"/>
                        </w:rPr>
                      </w:pPr>
                      <w:sdt>
                        <w:sdtPr>
                          <w:alias w:val="Numeris"/>
                          <w:tag w:val="nr_f466ce44180a4ebf989cef624423683d"/>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e>
                        </m:d>
                        <m:r>
                          <w:rPr>
                            <w:rFonts w:ascii="Cambria Math" w:hAnsi="Cambria Math"/>
                          </w:rPr>
                          <m:t xml:space="preserve">  </m:t>
                        </m:r>
                      </m:oMath>
                      <w:r>
                        <w:rPr>
                          <w:szCs w:val="24"/>
                        </w:rPr>
                        <w:t>(41)</w:t>
                      </w: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cd62d376045d49c394c49553ded86c98"/>
                    <w:lock w:val="sdtLocked"/>
                    <w:richText/>
                  </w:sdtPr>
                  <w:sdtContent>
                    <w:p>
                      <w:pPr>
                        <w:tabs>
                          <w:tab w:val="left" w:pos="1080"/>
                          <w:tab w:val="left" w:pos="1843"/>
                          <w:tab w:val="left" w:pos="2268"/>
                        </w:tabs>
                        <w:spacing w:line="252" w:lineRule="auto"/>
                        <w:ind w:firstLine="720"/>
                        <w:jc w:val="both"/>
                        <w:rPr>
                          <w:szCs w:val="24"/>
                        </w:rPr>
                      </w:pPr>
                      <w:sdt>
                        <w:sdtPr>
                          <w:alias w:val="Numeris"/>
                          <w:tag w:val="nr_cd62d376045d49c394c49553ded86c98"/>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m:t>
                            </m:r>
                            <m:r>
                              <w:rPr>
                                <w:rFonts w:ascii="Cambria Math" w:hAnsi="Cambria Math"/>
                                <w:szCs w:val="24"/>
                              </w:rPr>
                              <m:t>NO</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w:rPr>
                                <w:rFonts w:ascii="Cambria Math" w:hAnsi="Cambria Math"/>
                                <w:lang w:val="en-US"/>
                              </w:rPr>
                              <m:t>+</m:t>
                            </m:r>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m:t>
                            </m:r>
                            <m:r>
                              <w:rPr>
                                <w:rFonts w:ascii="Cambria Math" w:hAnsi="Cambria Math"/>
                                <w:lang w:val="en-US"/>
                              </w:rPr>
                              <m:t>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343f5265c8d745f79e997d0a34b84501"/>
                    <w:lock w:val="sdtLocked"/>
                    <w:richText/>
                  </w:sdtPr>
                  <w:sdtContent>
                    <w:p>
                      <w:pPr>
                        <w:tabs>
                          <w:tab w:val="left" w:pos="1134"/>
                        </w:tabs>
                        <w:spacing w:line="252" w:lineRule="auto"/>
                        <w:ind w:firstLine="709"/>
                        <w:jc w:val="both"/>
                        <w:rPr>
                          <w:szCs w:val="24"/>
                        </w:rPr>
                      </w:pPr>
                      <w:sdt>
                        <w:sdtPr>
                          <w:alias w:val="Numeris"/>
                          <w:tag w:val="nr_343f5265c8d745f79e997d0a34b84501"/>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0b44f8c285c5422d9f420bd5d3c3d8bb"/>
                    <w:lock w:val="sdtLocked"/>
                    <w:richText/>
                  </w:sdtPr>
                  <w:sdtContent>
                    <w:p>
                      <w:pPr>
                        <w:tabs>
                          <w:tab w:val="left" w:pos="1134"/>
                        </w:tabs>
                        <w:spacing w:line="252" w:lineRule="auto"/>
                        <w:ind w:firstLine="709"/>
                        <w:jc w:val="both"/>
                        <w:rPr>
                          <w:szCs w:val="24"/>
                        </w:rPr>
                      </w:pPr>
                      <w:sdt>
                        <w:sdtPr>
                          <w:alias w:val="Numeris"/>
                          <w:tag w:val="nr_0b44f8c285c5422d9f420bd5d3c3d8bb"/>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m:t>
                            </m:r>
                            <m:r>
                              <w:rPr>
                                <w:rFonts w:ascii="Cambria Math" w:hAnsi="Cambria Math"/>
                                <w:szCs w:val="24"/>
                              </w:rPr>
                              <m:t>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4461794904be4ca98e2d342b38925286"/>
                    <w:lock w:val="sdtLocked"/>
                    <w:richText/>
                  </w:sdtPr>
                  <w:sdtContent>
                    <w:p>
                      <w:pPr>
                        <w:tabs>
                          <w:tab w:val="left" w:pos="1134"/>
                          <w:tab w:val="left" w:pos="1843"/>
                          <w:tab w:val="left" w:pos="2268"/>
                        </w:tabs>
                        <w:spacing w:line="252" w:lineRule="auto"/>
                        <w:ind w:firstLine="720"/>
                        <w:jc w:val="both"/>
                        <w:rPr>
                          <w:szCs w:val="24"/>
                        </w:rPr>
                      </w:pPr>
                      <w:sdt>
                        <w:sdtPr>
                          <w:alias w:val="Numeris"/>
                          <w:tag w:val="nr_4461794904be4ca98e2d342b38925286"/>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a7a37b86623d470eb9e73feba2970e25"/>
                <w:lock w:val="sdtLocked"/>
                <w:richText/>
              </w:sdtPr>
              <w:sdtContent>
                <w:p>
                  <w:pPr>
                    <w:tabs>
                      <w:tab w:val="left" w:pos="1080"/>
                      <w:tab w:val="left" w:pos="1843"/>
                      <w:tab w:val="left" w:pos="2268"/>
                    </w:tabs>
                    <w:spacing w:line="252" w:lineRule="auto"/>
                    <w:ind w:firstLine="720"/>
                    <w:jc w:val="both"/>
                    <w:rPr>
                      <w:szCs w:val="24"/>
                    </w:rPr>
                  </w:pPr>
                  <w:sdt>
                    <w:sdtPr>
                      <w:alias w:val="Numeris"/>
                      <w:tag w:val="nr_a7a37b86623d470eb9e73feba2970e25"/>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0</m:t>
                        </m:r>
                        <m:r>
                          <w:rPr>
                            <w:rFonts w:ascii="Cambria Math" w:hAnsi="Cambria Math"/>
                          </w:rPr>
                          <m:t>4,</m:t>
                        </m:r>
                        <m:r>
                          <w:rPr>
                            <w:rFonts w:ascii="Cambria Math" w:hAnsi="Cambria Math"/>
                          </w:rPr>
                          <m:t>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10,</m:t>
                        </m:r>
                        <m:r>
                          <w:rPr>
                            <w:rFonts w:ascii="Cambria Math" w:hAnsi="Cambria Math"/>
                          </w:rPr>
                          <m:t>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5b4da977efd340558b358706b6b9817b"/>
                <w:lock w:val="sdtLocked"/>
                <w:richText/>
              </w:sdtPr>
              <w:sdtContent>
                <w:p>
                  <w:pPr>
                    <w:tabs>
                      <w:tab w:val="left" w:pos="1080"/>
                      <w:tab w:val="left" w:pos="1843"/>
                      <w:tab w:val="left" w:pos="2268"/>
                    </w:tabs>
                    <w:spacing w:line="252" w:lineRule="auto"/>
                    <w:ind w:firstLine="720"/>
                    <w:jc w:val="both"/>
                    <w:rPr>
                      <w:szCs w:val="24"/>
                    </w:rPr>
                  </w:pPr>
                  <w:sdt>
                    <w:sdtPr>
                      <w:alias w:val="Numeris"/>
                      <w:tag w:val="nr_5b4da977efd340558b358706b6b9817b"/>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b07b7ddc7e6a444f84860e9eb4334d6c"/>
                <w:lock w:val="sdtLocked"/>
                <w:richText/>
              </w:sdtPr>
              <w:sdtContent>
                <w:p>
                  <w:pPr>
                    <w:tabs>
                      <w:tab w:val="left" w:pos="1080"/>
                      <w:tab w:val="left" w:pos="1843"/>
                      <w:tab w:val="left" w:pos="2268"/>
                    </w:tabs>
                    <w:spacing w:line="252" w:lineRule="auto"/>
                    <w:ind w:firstLine="720"/>
                    <w:jc w:val="both"/>
                    <w:rPr>
                      <w:szCs w:val="24"/>
                    </w:rPr>
                  </w:pPr>
                  <w:sdt>
                    <w:sdtPr>
                      <w:alias w:val="Numeris"/>
                      <w:tag w:val="nr_b07b7ddc7e6a444f84860e9eb4334d6c"/>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d5b26ea4e6504544a4d8c76af4a146da"/>
                <w:lock w:val="sdtLocked"/>
                <w:richText/>
              </w:sdtPr>
              <w:sdtContent>
                <w:p>
                  <w:pPr>
                    <w:tabs>
                      <w:tab w:val="left" w:pos="1080"/>
                      <w:tab w:val="left" w:pos="1843"/>
                      <w:tab w:val="left" w:pos="2268"/>
                    </w:tabs>
                    <w:spacing w:line="252" w:lineRule="auto"/>
                    <w:ind w:firstLine="720"/>
                    <w:jc w:val="both"/>
                    <w:rPr>
                      <w:szCs w:val="24"/>
                    </w:rPr>
                  </w:pPr>
                  <w:sdt>
                    <w:sdtPr>
                      <w:alias w:val="Numeris"/>
                      <w:tag w:val="nr_d5b26ea4e6504544a4d8c76af4a146da"/>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8aa93882bf004fcfb9633702ca658aba"/>
                <w:lock w:val="sdtLocked"/>
                <w:richText/>
              </w:sdtPr>
              <w:sdtContent>
                <w:p>
                  <w:pPr>
                    <w:spacing w:line="252" w:lineRule="auto"/>
                    <w:ind w:firstLine="709"/>
                    <w:jc w:val="both"/>
                    <w:rPr>
                      <w:szCs w:val="24"/>
                    </w:rPr>
                  </w:pPr>
                  <w:sdt>
                    <w:sdtPr>
                      <w:alias w:val="Numeris"/>
                      <w:tag w:val="nr_8aa93882bf004fcfb9633702ca658aba"/>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2029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709"/>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t</m:t>
                                </m:r>
                                <m:r>
                                  <w:rPr>
                                    <w:rFonts w:ascii="Cambria Math" w:hAnsi="Cambria Math"/>
                                    <w:szCs w:val="24"/>
                                  </w:rPr>
                                  <m:t xml:space="preserve"> </m:t>
                                </m:r>
                              </m:sub>
                            </m:sSub>
                            <m:r>
                              <w:rPr>
                                <w:rFonts w:ascii="Cambria Math" w:hAnsi="Cambria Math"/>
                                <w:szCs w:val="24"/>
                              </w:rPr>
                              <m:t>-</m:t>
                            </m:r>
                            <m:r>
                              <w:rPr>
                                <w:rFonts w:ascii="Cambria Math" w:hAnsi="Cambria Math"/>
                                <w:szCs w:val="24"/>
                              </w:rPr>
                              <m:t>P</m:t>
                            </m:r>
                          </m:e>
                          <m:sub>
                            <m:r>
                              <w:rPr>
                                <w:rFonts w:ascii="Cambria Math" w:hAnsi="Cambria Math"/>
                                <w:szCs w:val="24"/>
                              </w:rPr>
                              <m:t>t</m:t>
                            </m:r>
                            <m:r>
                              <w:rPr>
                                <w:rFonts w:ascii="Cambria Math" w:hAnsi="Cambria Math"/>
                                <w:szCs w:val="24"/>
                              </w:rPr>
                              <m:t xml:space="preserve">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adm</m:t>
                            </m:r>
                            <m:r>
                              <w:rPr>
                                <w:rFonts w:ascii="Cambria Math" w:hAnsi="Cambria Math"/>
                                <w:szCs w:val="24"/>
                              </w:rPr>
                              <m:t>,</m:t>
                            </m:r>
                            <m:r>
                              <w:rPr>
                                <w:rFonts w:ascii="Cambria Math" w:hAnsi="Cambria Math"/>
                                <w:szCs w:val="24"/>
                              </w:rPr>
                              <m:t>t</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r>
                      <w:rPr>
                        <w:rFonts w:ascii="Cambria Math" w:hAnsi="Cambria Math"/>
                        <w:szCs w:val="24"/>
                      </w:rPr>
                      <m:t xml:space="preserve"> </m:t>
                    </m:r>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af15ff5b9b5f406cb581b86bb4644225"/>
                    <w:lock w:val="sdtLocked"/>
                    <w:richText/>
                  </w:sdtPr>
                  <w:sdtContent>
                    <w:p>
                      <w:pPr>
                        <w:tabs>
                          <w:tab w:val="left" w:pos="993"/>
                        </w:tabs>
                        <w:ind w:firstLine="709"/>
                        <w:jc w:val="both"/>
                        <w:rPr>
                          <w:color w:val="000000"/>
                        </w:rPr>
                      </w:pPr>
                      <w:sdt>
                        <w:sdtPr>
                          <w:alias w:val="Numeris"/>
                          <w:tag w:val="nr_af15ff5b9b5f406cb581b86bb4644225"/>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kuris nebuvo įvertintas nustatant visuomeninės elektros energijos kainos viršutinę ribą,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120 ir 129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STO licencijuojamos veiklos teritorijose, apskaičiuoto vadovaujantis Metodikos 128 punktu, susidariusi sąnaudų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2 pp."/>
                    <w:tag w:val="part_04fd699fa221430080e6441f02b6f547"/>
                    <w:lock w:val="sdtLocked"/>
                    <w:richText/>
                  </w:sdtPr>
                  <w:sdtContent>
                    <w:p>
                      <w:pPr>
                        <w:tabs>
                          <w:tab w:val="right" w:pos="9638"/>
                        </w:tabs>
                        <w:suppressAutoHyphens/>
                        <w:ind w:firstLine="709"/>
                        <w:jc w:val="both"/>
                        <w:textAlignment w:val="center"/>
                        <w:rPr>
                          <w:color w:val="000000"/>
                        </w:rPr>
                      </w:pPr>
                      <w:sdt>
                        <w:sdtPr>
                          <w:alias w:val="Numeris"/>
                          <w:tag w:val="nr_04fd699fa221430080e6441f02b6f547"/>
                          <w:lock w:val="sdtLocked"/>
                          <w:richText/>
                        </w:sdtPr>
                        <w:sdtContent>
                          <w:r>
                            <w:rPr>
                              <w:szCs w:val="24"/>
                            </w:rPr>
                            <w:t>97.2</w:t>
                          </w:r>
                        </w:sdtContent>
                      </w:sdt>
                      <w:r>
                        <w:rPr>
                          <w:szCs w:val="24"/>
                        </w:rPr>
                        <w:t xml:space="preserve">. prognozuojamas skirtumas tarp visuomeniniam tiekėjui leistinų gauti lėšų ir numatomų patirti sąnaudų, už </w:t>
                      </w:r>
                      <w:r>
                        <w:rPr>
                          <w:i/>
                          <w:iCs/>
                          <w:szCs w:val="24"/>
                        </w:rPr>
                        <w:t>t-</w:t>
                      </w:r>
                      <w:r>
                        <w:rPr>
                          <w:szCs w:val="24"/>
                        </w:rPr>
                        <w:t>1 metų likusį laikotarpį, kuriam galioja nustatyti visuomeniniai elektros energijos tarifai. Apskaičiuojant skirtumą, pagal Metodikos 130 punktą,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ce6125282cdb4f7aaeb03559b021a3e0"/>
                <w:lock w:val="sdtLocked"/>
                <w:richText/>
              </w:sdtPr>
              <w:sdtContent>
                <w:p>
                  <w:pPr>
                    <w:spacing w:line="252" w:lineRule="auto"/>
                    <w:ind w:firstLine="709"/>
                    <w:jc w:val="both"/>
                    <w:rPr>
                      <w:szCs w:val="24"/>
                      <w:lang w:eastAsia="lt-LT"/>
                    </w:rPr>
                  </w:pPr>
                  <w:sdt>
                    <w:sdtPr>
                      <w:alias w:val="Numeris"/>
                      <w:tag w:val="nr_ce6125282cdb4f7aaeb03559b021a3e0"/>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2034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tolesniais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a707b68f46c64e519029b78cad1522bc"/>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a707b68f46c64e519029b78cad1522bc"/>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m:t>
                            </m:r>
                            <m:r>
                              <w:rPr>
                                <w:rFonts w:ascii="Cambria Math" w:hAnsi="Cambria Math"/>
                                <w:szCs w:val="24"/>
                              </w:rPr>
                              <m:t xml:space="preserve">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84e6b328a2764fc094b9f68eb024251f"/>
                <w:lock w:val="sdtLocked"/>
                <w:richText/>
              </w:sdtPr>
              <w:sdtContent>
                <w:p>
                  <w:pPr>
                    <w:tabs>
                      <w:tab w:val="left" w:pos="1080"/>
                      <w:tab w:val="left" w:pos="1843"/>
                      <w:tab w:val="left" w:pos="2268"/>
                    </w:tabs>
                    <w:spacing w:line="252" w:lineRule="auto"/>
                    <w:ind w:firstLine="720"/>
                    <w:jc w:val="both"/>
                    <w:rPr>
                      <w:szCs w:val="24"/>
                    </w:rPr>
                  </w:pPr>
                  <w:sdt>
                    <w:sdtPr>
                      <w:alias w:val="Numeris"/>
                      <w:tag w:val="nr_84e6b328a2764fc094b9f68eb024251f"/>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center"/>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OPEX</m:t>
                        </m:r>
                        <m:d>
                          <m:dPr>
                            <m:ctrlPr>
                              <w:rPr>
                                <w:rFonts w:ascii="Cambria Math" w:hAnsi="Cambria Math"/>
                                <w:i/>
                                <w:szCs w:val="24"/>
                              </w:rPr>
                            </m:ctrlPr>
                          </m:dPr>
                          <m:e>
                            <m:r>
                              <w:rPr>
                                <w:rFonts w:ascii="Cambria Math" w:hAnsi="Cambria Math"/>
                                <w:szCs w:val="24"/>
                              </w:rPr>
                              <m:t>b</m:t>
                            </m:r>
                            <m:r>
                              <w:rPr>
                                <w:rFonts w:ascii="Cambria Math" w:hAnsi="Cambria Math"/>
                                <w:szCs w:val="24"/>
                              </w:rPr>
                              <m:t>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kintamos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pastovios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r>
                      <w:rPr>
                        <w:rFonts w:ascii="Cambria Math" w:hAnsi="Cambria Math"/>
                        <w:lang w:eastAsia="lt-LT" w:bidi="bn-IN"/>
                      </w:rPr>
                      <m:t>O</m:t>
                    </m:r>
                    <m:sSub>
                      <m:sSubPr>
                        <m:ctrlPr>
                          <w:rPr>
                            <w:rFonts w:ascii="Cambria Math" w:hAnsi="Cambria Math"/>
                            <w:i/>
                            <w:szCs w:val="24"/>
                          </w:rPr>
                        </m:ctrlPr>
                      </m:sSubPr>
                      <m:e>
                        <m:r>
                          <w:rPr>
                            <w:rFonts w:ascii="Cambria Math" w:hAnsi="Cambria Math"/>
                            <w:szCs w:val="24"/>
                          </w:rPr>
                          <m:t>PEX</m:t>
                        </m:r>
                        <m:d>
                          <m:dPr>
                            <m:ctrlPr>
                              <w:rPr>
                                <w:rFonts w:ascii="Cambria Math" w:hAnsi="Cambria Math"/>
                                <w:i/>
                                <w:szCs w:val="24"/>
                              </w:rPr>
                            </m:ctrlPr>
                          </m:dPr>
                          <m:e>
                            <m:r>
                              <w:rPr>
                                <w:rFonts w:ascii="Cambria Math" w:hAnsi="Cambria Math"/>
                                <w:szCs w:val="24"/>
                              </w:rPr>
                              <m:t>PROJ</m:t>
                            </m:r>
                          </m:e>
                        </m:d>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w:t>
                  </w:r>
                  <w:r>
                    <w:rPr>
                      <w:szCs w:val="24"/>
                      <w:vertAlign w:val="subscript"/>
                      <w:lang w:eastAsia="lt-LT"/>
                    </w:rPr>
                    <w:t>kintamos</w:t>
                  </w:r>
                  <w:r>
                    <w:rPr>
                      <w:szCs w:val="24"/>
                      <w:lang w:eastAsia="lt-LT"/>
                    </w:rPr>
                    <w:t xml:space="preserve">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i/>
                      <w:iCs/>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iCs/>
                      <w:szCs w:val="24"/>
                      <w:lang w:eastAsia="lt-LT"/>
                    </w:rPr>
                    <w:t>OPEX </w:t>
                  </w:r>
                  <w:r>
                    <w:rPr>
                      <w:i/>
                      <w:iCs/>
                    </w:rPr>
                    <w:t>(be DU)</w:t>
                  </w:r>
                  <w:r>
                    <w:rPr>
                      <w:i/>
                      <w:iCs/>
                      <w:szCs w:val="24"/>
                      <w:lang w:val="en-US" w:eastAsia="lt-LT"/>
                    </w:rPr>
                    <w:t>’</w:t>
                  </w:r>
                  <w:r>
                    <w:rPr>
                      <w:vertAlign w:val="subscript"/>
                    </w:rPr>
                    <w:t xml:space="preserve"> pastovios</w:t>
                  </w:r>
                  <w:r>
                    <w:rPr>
                      <w:i/>
                      <w:iCs/>
                      <w:szCs w:val="24"/>
                      <w:vertAlign w:val="subscript"/>
                      <w:lang w:eastAsia="lt-LT"/>
                    </w:rPr>
                    <w:t xml:space="preserve">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w:t>
                  </w:r>
                  <w:r>
                    <w:t xml:space="preserve">(be DU) </w:t>
                  </w:r>
                  <w:r>
                    <w:rPr>
                      <w:vertAlign w:val="subscript"/>
                    </w:rPr>
                    <w:t>pastovios</w:t>
                  </w:r>
                  <w:r>
                    <w:rPr>
                      <w:szCs w:val="24"/>
                      <w:lang w:eastAsia="lt-LT"/>
                    </w:rPr>
                    <w:t xml:space="preserve"> sąnaudos, EUR;</w:t>
                  </w:r>
                </w:p>
                <w:p>
                  <w:pPr>
                    <w:tabs>
                      <w:tab w:val="left" w:pos="1080"/>
                      <w:tab w:val="left" w:pos="1843"/>
                      <w:tab w:val="left" w:pos="2268"/>
                    </w:tabs>
                    <w:spacing w:line="252" w:lineRule="auto"/>
                    <w:ind w:firstLine="720"/>
                    <w:jc w:val="both"/>
                    <w:rPr>
                      <w:lang w:eastAsia="lt-LT"/>
                    </w:rPr>
                  </w:pPr>
                  <w:r>
                    <w:rPr>
                      <w:i/>
                      <w:lang w:eastAsia="lt-LT" w:bidi="bn-IN"/>
                    </w:rPr>
                    <w:t>OPEX(PROJ)</w:t>
                  </w:r>
                  <w:r>
                    <w:rPr>
                      <w:i/>
                      <w:vertAlign w:val="subscript"/>
                      <w:lang w:eastAsia="lt-LT"/>
                    </w:rPr>
                    <w:t>vt,t</w:t>
                  </w:r>
                  <w:r>
                    <w:rPr>
                      <w:vertAlign w:val="subscript"/>
                      <w:lang w:eastAsia="lt-LT"/>
                    </w:rPr>
                    <w:t xml:space="preserve"> </w:t>
                  </w:r>
                  <w:r>
                    <w:rPr>
                      <w:lang w:eastAsia="lt-LT"/>
                    </w:rPr>
                    <w:t xml:space="preserve">– </w:t>
                  </w:r>
                  <w:r>
                    <w:t>su Taryba suderintų visuomeninio tiekėjo OPEX projektų sąnaudos, EUR;</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6 p."/>
                <w:tag w:val="part_1185ac731f89465a867a2522e97e06b0"/>
                <w:lock w:val="sdtLocked"/>
                <w:richText/>
              </w:sdtPr>
              <w:sdtContent>
                <w:p>
                  <w:pPr>
                    <w:tabs>
                      <w:tab w:val="left" w:pos="1260"/>
                      <w:tab w:val="left" w:pos="1843"/>
                      <w:tab w:val="left" w:pos="2268"/>
                    </w:tabs>
                    <w:spacing w:line="252" w:lineRule="auto"/>
                    <w:ind w:firstLine="720"/>
                    <w:jc w:val="both"/>
                    <w:rPr>
                      <w:szCs w:val="24"/>
                    </w:rPr>
                  </w:pPr>
                  <w:sdt>
                    <w:sdtPr>
                      <w:alias w:val="Numeris"/>
                      <w:tag w:val="nr_1185ac731f89465a867a2522e97e06b0"/>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(be DU)</w:t>
                  </w:r>
                  <w:r>
                    <w:rPr>
                      <w:szCs w:val="24"/>
                      <w:vertAlign w:val="subscript"/>
                      <w:lang w:eastAsia="lt-LT"/>
                    </w:rPr>
                    <w:t xml:space="preserve"> kintamos</w:t>
                  </w:r>
                  <w:r>
                    <w:rPr>
                      <w:szCs w:val="24"/>
                      <w:lang w:eastAsia="lt-LT"/>
                    </w:rPr>
                    <w:t xml:space="preserve"> ir OPEX</w:t>
                  </w:r>
                  <w:r>
                    <w:rPr>
                      <w:szCs w:val="24"/>
                      <w:vertAlign w:val="superscript"/>
                      <w:lang w:val="en-US" w:eastAsia="lt-LT"/>
                    </w:rPr>
                    <w:t>’</w:t>
                  </w:r>
                  <w:r>
                    <w:rPr>
                      <w:szCs w:val="24"/>
                      <w:lang w:eastAsia="lt-LT"/>
                    </w:rPr>
                    <w:t> </w:t>
                  </w:r>
                  <w:r>
                    <w:t xml:space="preserve">(be DU) </w:t>
                  </w:r>
                  <w:r>
                    <w:rPr>
                      <w:vertAlign w:val="subscript"/>
                    </w:rPr>
                    <w:t>pastovios</w:t>
                  </w:r>
                  <w:r>
                    <w:rPr>
                      <w:szCs w:val="24"/>
                      <w:lang w:eastAsia="lt-LT"/>
                    </w:rPr>
                    <w:t xml:space="preserve"> sąnaudos </w:t>
                  </w:r>
                  <w:r>
                    <w:rPr>
                      <w:szCs w:val="24"/>
                    </w:rPr>
                    <w:t>apskaičiuojamos atitinkamai pagal formules:</w:t>
                  </w:r>
                </w:p>
                <w:p>
                  <w:pPr>
                    <w:tabs>
                      <w:tab w:val="left" w:pos="1134"/>
                    </w:tabs>
                    <w:spacing w:line="252" w:lineRule="auto"/>
                    <w:ind w:firstLine="709"/>
                    <w:jc w:val="both"/>
                    <w:rPr>
                      <w:szCs w:val="24"/>
                    </w:rPr>
                  </w:pP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kintamos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kinatmos</m:t>
                        </m:r>
                        <m:r>
                          <w:rPr>
                            <w:rFonts w:ascii="Cambria Math" w:hAnsi="Cambria Math"/>
                            <w:szCs w:val="24"/>
                          </w:rPr>
                          <m:t xml:space="preserve"> </m:t>
                        </m:r>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xml:space="preserve">  </m:t>
                    </m:r>
                  </m:oMath>
                  <w:r>
                    <w:rPr>
                      <w:szCs w:val="24"/>
                    </w:rPr>
                    <w:t>(69)</w:t>
                  </w: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pastovios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pastovi</m:t>
                        </m:r>
                        <m:r>
                          <w:rPr>
                            <w:rFonts w:ascii="Cambria Math" w:hAnsi="Cambria Math"/>
                            <w:szCs w:val="24"/>
                          </w:rPr>
                          <m:t>os</m:t>
                        </m:r>
                        <m:r>
                          <w:rPr>
                            <w:rFonts w:ascii="Cambria Math" w:hAnsi="Cambria Math"/>
                            <w:szCs w:val="24"/>
                          </w:rPr>
                          <m:t xml:space="preserve"> </m:t>
                        </m:r>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xml:space="preserve"> </m:t>
                    </m:r>
                  </m:oMath>
                  <w:r>
                    <w:rPr>
                      <w:szCs w:val="24"/>
                    </w:rPr>
                    <w:t>(69</w:t>
                  </w:r>
                  <w:r>
                    <w:rPr>
                      <w:szCs w:val="24"/>
                      <w:vertAlign w:val="superscript"/>
                    </w:rPr>
                    <w:t>1</w:t>
                  </w:r>
                  <w:r>
                    <w:rPr>
                      <w:szCs w:val="24"/>
                    </w:rPr>
                    <w:t>)</w:t>
                  </w:r>
                </w:p>
                <w:p>
                  <w:pPr>
                    <w:tabs>
                      <w:tab w:val="left" w:pos="1134"/>
                    </w:tabs>
                    <w:spacing w:line="252" w:lineRule="auto"/>
                    <w:ind w:firstLine="3004"/>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w:t>
                  </w:r>
                  <w:r>
                    <w:rPr>
                      <w:szCs w:val="24"/>
                      <w:vertAlign w:val="subscript"/>
                      <w:lang w:eastAsia="lt-LT"/>
                    </w:rPr>
                    <w:t xml:space="preserve">kintamos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kintamos vt</w:t>
                  </w:r>
                  <w:r>
                    <w:rPr>
                      <w:szCs w:val="24"/>
                      <w:vertAlign w:val="subscript"/>
                      <w:lang w:eastAsia="lt-LT"/>
                    </w:rPr>
                    <w:t xml:space="preserve"> </w:t>
                  </w:r>
                  <w:r>
                    <w:rPr>
                      <w:szCs w:val="24"/>
                      <w:lang w:eastAsia="lt-LT"/>
                    </w:rPr>
                    <w:t xml:space="preserve">– reguliavimo laikotarpio bazinės OPEX (be DU) </w:t>
                  </w:r>
                  <w:r>
                    <w:rPr>
                      <w:szCs w:val="24"/>
                      <w:vertAlign w:val="subscript"/>
                      <w:lang w:eastAsia="lt-LT"/>
                    </w:rPr>
                    <w:t>kintamos</w:t>
                  </w:r>
                  <w:r>
                    <w:rPr>
                      <w:i/>
                      <w:iCs/>
                      <w:szCs w:val="24"/>
                      <w:lang w:eastAsia="lt-LT"/>
                    </w:rPr>
                    <w:t xml:space="preserve">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val="en-US" w:eastAsia="lt-LT"/>
                    </w:rPr>
                    <w:t>pastovios</w:t>
                  </w:r>
                  <w:r>
                    <w:rPr>
                      <w:i/>
                      <w:szCs w:val="24"/>
                      <w:lang w:val="en-US" w:eastAsia="lt-LT"/>
                    </w:rPr>
                    <w:t xml:space="preserve"> </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val="en-US" w:eastAsia="lt-LT"/>
                    </w:rPr>
                    <w:t>pastovios</w:t>
                  </w:r>
                  <w:r>
                    <w:rPr>
                      <w:i/>
                      <w:szCs w:val="24"/>
                      <w:lang w:val="en-US" w:eastAsia="lt-LT"/>
                    </w:rPr>
                    <w:t xml:space="preserve"> </w:t>
                  </w:r>
                  <w:r>
                    <w:rPr>
                      <w:i/>
                      <w:szCs w:val="24"/>
                      <w:vertAlign w:val="subscript"/>
                      <w:lang w:eastAsia="lt-LT"/>
                    </w:rPr>
                    <w:t xml:space="preserve">vt </w:t>
                  </w:r>
                  <w:r>
                    <w:rPr>
                      <w:szCs w:val="24"/>
                      <w:lang w:eastAsia="lt-LT"/>
                    </w:rPr>
                    <w:t>– reguliavimo laikotarpio bazinės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709"/>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sąnaudoms, nustatytoms pagal Metodikos 29.1.2.1.4 papunktį, </w:t>
                  </w:r>
                  <w:r>
                    <w:rPr>
                      <w:szCs w:val="24"/>
                    </w:rPr>
                    <w:t xml:space="preserve">įvertinus </w:t>
                  </w:r>
                  <w:r>
                    <w:rPr>
                      <w:szCs w:val="24"/>
                      <w:lang w:eastAsia="lt-LT"/>
                    </w:rPr>
                    <w:t>infliacijos koeficientą,</w:t>
                  </w:r>
                  <w:r>
                    <w:rPr>
                      <w:szCs w:val="24"/>
                    </w:rPr>
                    <w:t xml:space="preserve"> apskaičiuotą </w:t>
                  </w:r>
                  <w:r>
                    <w:rPr>
                      <w:szCs w:val="24"/>
                      <w:lang w:eastAsia="lt-LT"/>
                    </w:rPr>
                    <w:t xml:space="preserve">pagal Metodikos 29.1.2.1.4 papunktyje numatytą formulę, o sąnaudoms, nustatytoms pagal Metodikos 29.1.2.2.4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29.1.2.2.4 papunktyje numatytą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7 p."/>
                <w:tag w:val="part_ce201bbccd334beb86f7e1bb476788bb"/>
                <w:lock w:val="sdtLocked"/>
                <w:richText/>
              </w:sdtPr>
              <w:sdtContent>
                <w:p>
                  <w:pPr>
                    <w:tabs>
                      <w:tab w:val="left" w:pos="1260"/>
                      <w:tab w:val="left" w:pos="1843"/>
                      <w:tab w:val="left" w:pos="2268"/>
                    </w:tabs>
                    <w:spacing w:line="252" w:lineRule="auto"/>
                    <w:ind w:firstLine="720"/>
                    <w:jc w:val="both"/>
                    <w:rPr>
                      <w:szCs w:val="24"/>
                    </w:rPr>
                  </w:pPr>
                  <w:sdt>
                    <w:sdtPr>
                      <w:alias w:val="Numeris"/>
                      <w:tag w:val="nr_ce201bbccd334beb86f7e1bb476788bb"/>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fcbcbce6186b476ba072600c71b122a9"/>
                <w:lock w:val="sdtLocked"/>
                <w:richText/>
              </w:sdtPr>
              <w:sdtContent>
                <w:p>
                  <w:pPr>
                    <w:spacing w:line="252" w:lineRule="auto"/>
                    <w:ind w:firstLine="720"/>
                    <w:jc w:val="both"/>
                    <w:rPr>
                      <w:szCs w:val="24"/>
                      <w:lang w:eastAsia="lt-LT"/>
                    </w:rPr>
                  </w:pPr>
                  <w:sdt>
                    <w:sdtPr>
                      <w:alias w:val="Numeris"/>
                      <w:tag w:val="nr_fcbcbce6186b476ba072600c71b122a9"/>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720"/>
                    <w:jc w:val="center"/>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r>
                      <m:rPr>
                        <m:sty m:val="bi"/>
                      </m:rP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1</m:t>
                            </m:r>
                            <m:r>
                              <w:rPr>
                                <w:rFonts w:ascii="Cambria Math" w:hAnsi="Cambria Math"/>
                                <w:szCs w:val="24"/>
                              </w:rPr>
                              <m:t>+</m:t>
                            </m:r>
                          </m:sub>
                        </m:sSub>
                        <m:sSub>
                          <m:sSubPr>
                            <m:ctrlPr>
                              <w:rPr>
                                <w:rFonts w:ascii="Cambria Math" w:hAnsi="Cambria Math"/>
                                <w:b/>
                                <w:bCs/>
                                <w:i/>
                                <w:szCs w:val="24"/>
                              </w:rPr>
                            </m:ctrlPr>
                          </m:sSubPr>
                          <m:e>
                            <m:r>
                              <m:rPr>
                                <m:sty m:val="bi"/>
                              </m:rP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 </m:t>
                            </m:r>
                            <m:r>
                              <m:rPr>
                                <m:sty m:val="bi"/>
                              </m:rPr>
                              <w:rPr>
                                <w:rFonts w:ascii="Cambria Math" w:hAnsi="Cambria Math"/>
                                <w:szCs w:val="24"/>
                              </w:rPr>
                              <m:t>2025</m:t>
                            </m:r>
                          </m:sub>
                        </m:sSub>
                      </m:den>
                    </m:f>
                    <m:r>
                      <w:rPr>
                        <w:rFonts w:ascii="Cambria Math" w:hAnsi="Cambria Math"/>
                        <w:szCs w:val="24"/>
                      </w:rPr>
                      <m:t xml:space="preserve"> </m:t>
                    </m:r>
                    <m:r>
                      <m:rPr>
                        <m:sty m:val="bi"/>
                      </m:rPr>
                      <w:rPr>
                        <w:rFonts w:ascii="Cambria Math" w:hAnsi="Cambria Math"/>
                        <w:szCs w:val="24"/>
                      </w:rPr>
                      <m:t>)/</m:t>
                    </m:r>
                    <m:r>
                      <w:rPr>
                        <w:rFonts w:ascii="Cambria Math" w:hAnsi="Cambria Math"/>
                        <w:szCs w:val="24"/>
                      </w:rPr>
                      <m:t>2</m:t>
                    </m:r>
                    <m:r>
                      <m:rPr>
                        <m:sty m:val="bi"/>
                      </m:rP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b/>
                      <w:bCs/>
                      <w:i/>
                      <w:szCs w:val="24"/>
                      <w:vertAlign w:val="subscript"/>
                    </w:rPr>
                    <w:t>2025</w:t>
                  </w:r>
                  <w:r>
                    <w:rPr>
                      <w:i/>
                      <w:szCs w:val="24"/>
                      <w:vertAlign w:val="subscript"/>
                    </w:rPr>
                    <w:t xml:space="preserve"> </w:t>
                  </w:r>
                  <w:r>
                    <w:rPr>
                      <w:szCs w:val="24"/>
                    </w:rPr>
                    <w:t>– objektų, kuriems visuomeninis tiekėjas teikė elektros energijos tiekimo paslaugą 2025 metų pradžioje, skaičius, vnt.;</w:t>
                  </w:r>
                </w:p>
                <w:p>
                  <w:pPr>
                    <w:spacing w:line="252" w:lineRule="auto"/>
                    <w:ind w:firstLine="709"/>
                    <w:jc w:val="both"/>
                    <w:rPr>
                      <w:szCs w:val="24"/>
                    </w:rPr>
                  </w:pPr>
                  <w:r>
                    <w:rPr>
                      <w:i/>
                      <w:szCs w:val="24"/>
                    </w:rPr>
                    <w:t>P</w:t>
                  </w:r>
                  <w:r>
                    <w:rPr>
                      <w:i/>
                      <w:szCs w:val="24"/>
                      <w:vertAlign w:val="subscript"/>
                    </w:rPr>
                    <w:t>t1</w:t>
                  </w:r>
                  <w:r>
                    <w:rPr>
                      <w:szCs w:val="24"/>
                    </w:rPr>
                    <w:t xml:space="preserve"> – prognozuojamas objektų, kuriems </w:t>
                  </w:r>
                  <w:r>
                    <w:rPr>
                      <w:i/>
                      <w:szCs w:val="24"/>
                    </w:rPr>
                    <w:t xml:space="preserve">t </w:t>
                  </w:r>
                  <w:r>
                    <w:rPr>
                      <w:szCs w:val="24"/>
                    </w:rPr>
                    <w:t>metų pradžioje visuomeninis tiekėjas teiks elektros energijos tiekimo paslaugą, įvertinus Elektros energetikos įstatymo 43 straipsnio 1 dalies nuostatas ir kitas žinomas aplinkybes, skaičius, vnt.</w:t>
                  </w:r>
                </w:p>
                <w:p>
                  <w:pPr>
                    <w:spacing w:line="252" w:lineRule="auto"/>
                    <w:ind w:firstLine="709"/>
                    <w:jc w:val="both"/>
                    <w:rPr>
                      <w:szCs w:val="24"/>
                    </w:rPr>
                  </w:pPr>
                  <w:r>
                    <w:rPr>
                      <w:i/>
                      <w:szCs w:val="24"/>
                    </w:rPr>
                    <w:t>P</w:t>
                  </w:r>
                  <w:r>
                    <w:rPr>
                      <w:i/>
                      <w:szCs w:val="24"/>
                      <w:vertAlign w:val="subscript"/>
                    </w:rPr>
                    <w:t>t2</w:t>
                  </w:r>
                  <w:r>
                    <w:rPr>
                      <w:szCs w:val="24"/>
                    </w:rPr>
                    <w:t xml:space="preserve"> – prognozuojamas objektų, kuriems </w:t>
                  </w:r>
                  <w:r>
                    <w:rPr>
                      <w:i/>
                      <w:szCs w:val="24"/>
                    </w:rPr>
                    <w:t xml:space="preserve">t </w:t>
                  </w:r>
                  <w:r>
                    <w:rPr>
                      <w:szCs w:val="24"/>
                    </w:rPr>
                    <w:t xml:space="preserve">metų pabaigoje visuomeninis tiekėjas teiks elektros energijos tiekimo paslaugą, įvertinus Elektros energetikos įstatymo 43 straipsnio 1 dalies nuostatas ir kitas žinomas aplinkybes, skaičius, vnt.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10 p."/>
                <w:tag w:val="part_09c90857ef6445bf9fac2cc66146efce"/>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09c90857ef6445bf9fac2cc66146efce"/>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957c179d2ab4457281a2ed2bef6bf19a"/>
            <w:lock w:val="sdtLocked"/>
            <w:richText/>
          </w:sdtPr>
          <w:sdtContent>
            <w:p>
              <w:pPr>
                <w:tabs>
                  <w:tab w:val="left" w:pos="1134"/>
                  <w:tab w:val="left" w:pos="1843"/>
                  <w:tab w:val="left" w:pos="2268"/>
                </w:tabs>
                <w:spacing w:line="252" w:lineRule="auto"/>
                <w:jc w:val="center"/>
                <w:rPr>
                  <w:bCs/>
                  <w:szCs w:val="24"/>
                </w:rPr>
              </w:pPr>
              <w:sdt>
                <w:sdtPr>
                  <w:alias w:val="Numeris"/>
                  <w:tag w:val="nr_957c179d2ab4457281a2ed2bef6bf19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b/>
                  <w:szCs w:val="24"/>
                </w:rPr>
              </w:pPr>
              <w:sdt>
                <w:sdtPr>
                  <w:alias w:val="Pavadinimas"/>
                  <w:tag w:val="title_957c179d2ab4457281a2ed2bef6bf19a"/>
                  <w:lock w:val="sdtLocked"/>
                  <w:richText/>
                </w:sdtPr>
                <w:sdtContent>
                  <w:r>
                    <w:rPr>
                      <w:b/>
                      <w:szCs w:val="24"/>
                    </w:rPr>
                    <w:t>VISUOMENINIŲ ELEKTROS ENERGIJOS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c0056f8a843b44fdb23c33ae0752218a"/>
                <w:lock w:val="sdtLocked"/>
                <w:richText/>
              </w:sdtPr>
              <w:sdtContent>
                <w:p>
                  <w:pPr>
                    <w:ind w:firstLine="709"/>
                    <w:jc w:val="both"/>
                    <w:rPr>
                      <w:color w:val="000000"/>
                    </w:rPr>
                  </w:pPr>
                  <w:sdt>
                    <w:sdtPr>
                      <w:alias w:val="Numeris"/>
                      <w:tag w:val="nr_c0056f8a843b44fdb23c33ae0752218a"/>
                      <w:lock w:val="sdtLocked"/>
                      <w:richText/>
                    </w:sdtPr>
                    <w:sdtContent>
                      <w:r>
                        <w:rPr>
                          <w:color w:val="000000"/>
                        </w:rPr>
                        <w:t>111</w:t>
                      </w:r>
                    </w:sdtContent>
                  </w:sdt>
                  <w:r>
                    <w:rPr>
                      <w:color w:val="000000"/>
                    </w:rPr>
                    <w:t xml:space="preserve">. Vartotojams, kuriems pagal Elektros energetikos įstatymą ir kitus teisės aktus visuomeninis tiekėjas privalo tiekti elektros energiją, visuomeninės elektros energijos kainos viršutinė riba nustatoma </w:t>
                  </w:r>
                  <w:r>
                    <w:rPr>
                      <w:szCs w:val="24"/>
                      <w:lang w:eastAsia="lt-LT"/>
                    </w:rPr>
                    <w:t xml:space="preserve">6 kalendoriniams mėnesiams ir </w:t>
                  </w:r>
                  <w:r>
                    <w:rPr>
                      <w:color w:val="000000"/>
                    </w:rPr>
                    <w:t xml:space="preserve">skaičiuojama sumuojant </w:t>
                  </w:r>
                  <w:r>
                    <w:rPr>
                      <w:szCs w:val="24"/>
                      <w:lang w:eastAsia="lt-LT"/>
                    </w:rPr>
                    <w:t xml:space="preserve">Tarybos paskelbto elektros energijos persiuntimo paslaugos tarifų plano, taikomo ne mažiau kaip 2/3 visuomeninio tiekėjo vartotojų, tarifų svertinį vidurkį </w:t>
                  </w:r>
                  <w:r>
                    <w:rPr>
                      <w:i/>
                      <w:iCs/>
                      <w:szCs w:val="24"/>
                      <w:lang w:eastAsia="lt-LT"/>
                    </w:rPr>
                    <w:t>t</w:t>
                  </w:r>
                  <w:r>
                    <w:rPr>
                      <w:szCs w:val="24"/>
                      <w:lang w:eastAsia="lt-LT"/>
                    </w:rPr>
                    <w:t xml:space="preserve"> metais,</w:t>
                  </w:r>
                  <w:r>
                    <w:rPr>
                      <w:color w:val="000000"/>
                    </w:rPr>
                    <w:t xml:space="preserve"> visuomeninio tiekimo paslaugos, VIAP kainas ir papildomas dedamąsias, nustatytas pagal Metodikos 96 punktą, bei </w:t>
                  </w:r>
                  <w:r>
                    <w:rPr>
                      <w:rFonts w:eastAsia="MS Mincho"/>
                      <w:szCs w:val="24"/>
                      <w:lang w:eastAsia="lt-LT"/>
                    </w:rPr>
                    <w:t>prognozuojamą elektros energijos įsigijimo kainą,</w:t>
                  </w:r>
                  <w:r>
                    <w:rPr>
                      <w:color w:val="000000"/>
                    </w:rPr>
                    <w:t xml:space="preserve"> sumažinant gautą sumą suvartotos elektros energijos išlaidų dalinio kompensavimo buitiniams vartotojams dydžiais, nustatytais pagal Energetikos įstatymo 19</w:t>
                  </w:r>
                  <w:r>
                    <w:rPr>
                      <w:color w:val="000000"/>
                      <w:vertAlign w:val="superscript"/>
                    </w:rPr>
                    <w:t>2</w:t>
                  </w:r>
                  <w:r>
                    <w:rPr>
                      <w:color w:val="000000"/>
                    </w:rPr>
                    <w:t> straipsnį. Visuomeninių elektros energijos kainų viršutinės ribos apskaičiuojamos pagal formulę:</w:t>
                  </w:r>
                </w:p>
                <w:p>
                  <w:pPr>
                    <w:spacing w:line="252" w:lineRule="atLeast"/>
                    <w:ind w:firstLine="720"/>
                    <w:jc w:val="both"/>
                    <w:rPr>
                      <w:color w:val="000000"/>
                    </w:rPr>
                  </w:pPr>
                </w:p>
                <w:p>
                  <w:pPr>
                    <w:spacing w:line="252" w:lineRule="auto"/>
                    <w:ind w:firstLine="720"/>
                    <w:jc w:val="center"/>
                    <w:rPr>
                      <w:bCs/>
                      <w:szCs w:val="24"/>
                      <w:lang w:eastAsia="lt-LT"/>
                    </w:rPr>
                  </w:pPr>
                  <m:oMath>
                    <m:sSub>
                      <m:sSubPr>
                        <m:ctrlPr>
                          <w:rPr>
                            <w:rFonts w:ascii="Cambria Math" w:hAnsi="Cambria Math"/>
                            <w:bCs/>
                            <w:i/>
                            <w:szCs w:val="24"/>
                            <w:lang w:val="en-US"/>
                          </w:rPr>
                        </m:ctrlPr>
                      </m:sSubPr>
                      <m:e>
                        <m:r>
                          <w:rPr>
                            <w:rFonts w:ascii="Cambria Math" w:hAnsi="Cambria Math"/>
                            <w:szCs w:val="24"/>
                          </w:rPr>
                          <m:t>VT</m:t>
                        </m:r>
                      </m:e>
                      <m:sub>
                        <m:r>
                          <w:rPr>
                            <w:rFonts w:ascii="Cambria Math" w:hAnsi="Cambria Math"/>
                            <w:szCs w:val="24"/>
                          </w:rPr>
                          <m:t>(10,04),t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bCs/>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Pr>
                      <w:bCs/>
                      <w:szCs w:val="24"/>
                      <w:lang w:eastAsia="lt-LT"/>
                    </w:rPr>
                    <w:t>(75)</w:t>
                  </w:r>
                </w:p>
                <w:p>
                  <w:pPr>
                    <w:spacing w:line="252" w:lineRule="atLeast"/>
                    <w:ind w:firstLine="842"/>
                    <w:jc w:val="both"/>
                    <w:rPr>
                      <w:color w:val="000000"/>
                    </w:rPr>
                  </w:pPr>
                </w:p>
                <w:p>
                  <w:pPr>
                    <w:spacing w:line="252" w:lineRule="atLeast"/>
                    <w:ind w:firstLine="709"/>
                    <w:jc w:val="both"/>
                    <w:rPr>
                      <w:color w:val="000000"/>
                    </w:rPr>
                  </w:pPr>
                  <w:r>
                    <w:rPr>
                      <w:i/>
                      <w:iCs/>
                      <w:color w:val="000000"/>
                    </w:rPr>
                    <w:t>čia:</w:t>
                  </w:r>
                </w:p>
                <w:p>
                  <w:pPr>
                    <w:spacing w:line="252" w:lineRule="atLeast"/>
                    <w:ind w:firstLine="709"/>
                    <w:jc w:val="both"/>
                    <w:rPr>
                      <w:color w:val="000000"/>
                    </w:rPr>
                  </w:pPr>
                  <w:r>
                    <w:rPr>
                      <w:i/>
                      <w:iCs/>
                      <w:color w:val="000000"/>
                    </w:rPr>
                    <w:t>VT</w:t>
                  </w:r>
                  <w:r>
                    <w:rPr>
                      <w:color w:val="000000"/>
                      <w:vertAlign w:val="subscript"/>
                    </w:rPr>
                    <w:t>(10,04),</w:t>
                  </w:r>
                  <w:r>
                    <w:rPr>
                      <w:i/>
                      <w:iCs/>
                      <w:color w:val="000000"/>
                      <w:vertAlign w:val="subscript"/>
                    </w:rPr>
                    <w:t>t</w:t>
                  </w:r>
                  <w:r>
                    <w:rPr>
                      <w:color w:val="000000"/>
                    </w:rPr>
                    <w:t> – visuomeninių elektros energijos kainų viršutinės ribos vartotojams, gaunantiems elektros energiją iš skirstymo atitinkamai VĮ ir ŽĮ tinklų </w:t>
                  </w:r>
                  <w:r>
                    <w:rPr>
                      <w:i/>
                      <w:iCs/>
                      <w:color w:val="000000"/>
                    </w:rPr>
                    <w:t>t </w:t>
                  </w:r>
                  <w:r>
                    <w:rPr>
                      <w:color w:val="000000"/>
                    </w:rPr>
                    <w:t>metais, EUR/kWh;</w:t>
                  </w:r>
                </w:p>
                <w:p>
                  <w:pPr>
                    <w:spacing w:line="252" w:lineRule="atLeast"/>
                    <w:ind w:firstLine="709"/>
                    <w:jc w:val="both"/>
                    <w:rPr>
                      <w:color w:val="000000"/>
                    </w:rPr>
                  </w:pPr>
                  <w:r>
                    <w:rPr>
                      <w:i/>
                      <w:iCs/>
                      <w:color w:val="000000"/>
                    </w:rPr>
                    <w:t>T</w:t>
                  </w:r>
                  <w:r>
                    <w:rPr>
                      <w:color w:val="000000"/>
                      <w:vertAlign w:val="subscript"/>
                    </w:rPr>
                    <w:t>,</w:t>
                  </w:r>
                  <w:r>
                    <w:rPr>
                      <w:i/>
                      <w:iCs/>
                      <w:color w:val="000000"/>
                      <w:vertAlign w:val="subscript"/>
                    </w:rPr>
                    <w:t>t</w:t>
                  </w:r>
                  <w:r>
                    <w:rPr>
                      <w:color w:val="000000"/>
                    </w:rPr>
                    <w:t> – visuomeninio tiekėjo prognozuojama elektros energijos įsigijimo kaina </w:t>
                  </w:r>
                  <w:r>
                    <w:rPr>
                      <w:i/>
                      <w:iCs/>
                      <w:color w:val="000000"/>
                    </w:rPr>
                    <w:t>t</w:t>
                  </w:r>
                  <w:r>
                    <w:rPr>
                      <w:color w:val="000000"/>
                    </w:rPr>
                    <w:t> metais, EUR/kWh;</w:t>
                  </w:r>
                </w:p>
                <w:p>
                  <w:pPr>
                    <w:spacing w:line="252" w:lineRule="atLeast"/>
                    <w:ind w:firstLine="709"/>
                    <w:jc w:val="both"/>
                    <w:rPr>
                      <w:color w:val="000000"/>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xml:space="preserve"> </w:t>
                  </w:r>
                  <w:r>
                    <w:rPr>
                      <w:color w:val="000000"/>
                    </w:rPr>
                    <w:t>– elektros energijos visuomeninio tiekimo paslaugos kainos viršutinė riba </w:t>
                  </w:r>
                  <w:r>
                    <w:rPr>
                      <w:i/>
                      <w:iCs/>
                      <w:color w:val="000000"/>
                    </w:rPr>
                    <w:t>t </w:t>
                  </w:r>
                  <w:r>
                    <w:rPr>
                      <w:color w:val="000000"/>
                    </w:rPr>
                    <w:t>metais, EUR/kWh;</w:t>
                  </w:r>
                </w:p>
                <w:p>
                  <w:pPr>
                    <w:spacing w:line="252" w:lineRule="atLeast"/>
                    <w:ind w:firstLine="709"/>
                    <w:jc w:val="both"/>
                    <w:rPr>
                      <w:color w:val="000000"/>
                    </w:rPr>
                  </w:pPr>
                  <w:r>
                    <w:rPr>
                      <w:i/>
                      <w:iCs/>
                      <w:color w:val="000000"/>
                    </w:rPr>
                    <w:t>T</w:t>
                  </w:r>
                  <w:r>
                    <w:rPr>
                      <w:i/>
                      <w:iCs/>
                      <w:color w:val="000000"/>
                      <w:vertAlign w:val="subscript"/>
                    </w:rPr>
                    <w:t>pers</w:t>
                  </w:r>
                  <w:r>
                    <w:rPr>
                      <w:color w:val="000000"/>
                      <w:vertAlign w:val="subscript"/>
                    </w:rPr>
                    <w:t>,</w:t>
                  </w:r>
                  <w:r>
                    <w:rPr>
                      <w:i/>
                      <w:iCs/>
                      <w:color w:val="000000"/>
                      <w:vertAlign w:val="subscript"/>
                    </w:rPr>
                    <w:t>t</w:t>
                  </w:r>
                  <w:r>
                    <w:rPr>
                      <w:color w:val="000000"/>
                      <w:vertAlign w:val="subscript"/>
                    </w:rPr>
                    <w:t> </w:t>
                  </w:r>
                  <w:r>
                    <w:rPr>
                      <w:color w:val="000000"/>
                    </w:rPr>
                    <w:t xml:space="preserve">– Tarybos paskelbto elektros energijos persiuntimo paslaugos tarifų plano, taikomo ne mažiau kaip  2/3 visuomeninio tiekėjo vartotojų, tarifų svertinis vidurkis </w:t>
                  </w:r>
                  <w:r>
                    <w:rPr>
                      <w:i/>
                      <w:iCs/>
                      <w:color w:val="000000"/>
                    </w:rPr>
                    <w:t>t </w:t>
                  </w:r>
                  <w:r>
                    <w:rPr>
                      <w:color w:val="000000"/>
                    </w:rPr>
                    <w:t>metais, EUR/kWh;</w:t>
                  </w:r>
                </w:p>
                <w:p>
                  <w:pPr>
                    <w:spacing w:line="252" w:lineRule="atLeast"/>
                    <w:ind w:firstLine="709"/>
                    <w:jc w:val="both"/>
                    <w:rPr>
                      <w:color w:val="000000"/>
                    </w:rPr>
                  </w:pPr>
                  <w:r>
                    <w:rPr>
                      <w:i/>
                      <w:iCs/>
                      <w:color w:val="000000"/>
                    </w:rPr>
                    <w:t>T</w:t>
                  </w:r>
                  <w:r>
                    <w:rPr>
                      <w:i/>
                      <w:iCs/>
                      <w:color w:val="000000"/>
                      <w:vertAlign w:val="subscript"/>
                    </w:rPr>
                    <w:t>viap,t</w:t>
                  </w:r>
                  <w:r>
                    <w:rPr>
                      <w:color w:val="000000"/>
                    </w:rPr>
                    <w:t> –VIAP kaina, apskaičiuota vadovaujantis VIAP kainos nustatymo metodika, </w:t>
                  </w:r>
                  <w:r>
                    <w:rPr>
                      <w:i/>
                      <w:iCs/>
                      <w:color w:val="000000"/>
                    </w:rPr>
                    <w:t>t </w:t>
                  </w:r>
                  <w:r>
                    <w:rPr>
                      <w:color w:val="000000"/>
                    </w:rPr>
                    <w:t>metais, EUR/kWh;</w:t>
                  </w:r>
                </w:p>
                <w:p>
                  <w:pPr>
                    <w:spacing w:line="252" w:lineRule="atLeast"/>
                    <w:ind w:firstLine="709"/>
                    <w:jc w:val="both"/>
                    <w:rPr>
                      <w:color w:val="000000"/>
                    </w:rPr>
                  </w:pPr>
                  <w:r>
                    <w:rPr>
                      <w:i/>
                      <w:iCs/>
                      <w:color w:val="000000"/>
                    </w:rPr>
                    <w:t>ST</w:t>
                  </w:r>
                  <w:r>
                    <w:rPr>
                      <w:i/>
                      <w:iCs/>
                      <w:color w:val="000000"/>
                      <w:vertAlign w:val="subscript"/>
                    </w:rPr>
                    <w:t>t</w:t>
                  </w:r>
                  <w:r>
                    <w:rPr>
                      <w:color w:val="000000"/>
                    </w:rPr>
                    <w:t> – skirstymo paslaugos </w:t>
                  </w:r>
                  <w:r>
                    <w:rPr>
                      <w:i/>
                      <w:iCs/>
                      <w:color w:val="000000"/>
                    </w:rPr>
                    <w:t>t</w:t>
                  </w:r>
                  <w:r>
                    <w:rPr>
                      <w:color w:val="000000"/>
                    </w:rPr>
                    <w:t> metų kainos buitiniams vartotojams papildoma dedamoji, EUR/kWh.</w:t>
                  </w:r>
                </w:p>
                <w:p>
                  <w:pPr>
                    <w:ind w:firstLine="709"/>
                    <w:jc w:val="both"/>
                    <w:rPr>
                      <w:color w:val="000000"/>
                    </w:rPr>
                  </w:pPr>
                  <w:r>
                    <w:rPr>
                      <w:color w:val="000000"/>
                    </w:rPr>
                    <w:t>Energetikos įstatymo 19</w:t>
                  </w:r>
                  <w:r>
                    <w:rPr>
                      <w:color w:val="000000"/>
                      <w:vertAlign w:val="superscript"/>
                    </w:rPr>
                    <w:t>2</w:t>
                  </w:r>
                  <w:r>
                    <w:rPr>
                      <w:color w:val="000000"/>
                    </w:rPr>
                    <w:t> straipsnio 2 dalies 1 punkto a papunktyje nurodyta dalinė kompensacija įvertinama sumažinant </w:t>
                  </w:r>
                  <w:r>
                    <w:rPr>
                      <w:i/>
                      <w:iCs/>
                      <w:color w:val="000000"/>
                    </w:rPr>
                    <w:t>ST</w:t>
                  </w:r>
                  <w:r>
                    <w:rPr>
                      <w:i/>
                      <w:iCs/>
                      <w:color w:val="000000"/>
                      <w:vertAlign w:val="subscript"/>
                    </w:rPr>
                    <w:t>t</w:t>
                  </w:r>
                  <w:r>
                    <w:rPr>
                      <w:i/>
                      <w:iCs/>
                      <w:color w:val="000000"/>
                    </w:rPr>
                    <w:t> </w:t>
                  </w:r>
                  <w:r>
                    <w:rPr>
                      <w:color w:val="000000"/>
                    </w:rPr>
                    <w:t>dedamąją. To paties straipsnio 2 dalies</w:t>
                    <w:br/>
                    <w:t>1 punkto b papunktyje nurodyta dalinė kompensacija įvertinama mažinant 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p>
              </w:sdtContent>
            </w:sdt>
            <w:sdt>
              <w:sdtPr>
                <w:alias w:val="112 p."/>
                <w:tag w:val="part_5113990e2ee34c148fc15febb335616d"/>
                <w:lock w:val="sdtLocked"/>
                <w:richText/>
              </w:sdtPr>
              <w:sdtContent>
                <w:p>
                  <w:pPr>
                    <w:spacing w:line="252" w:lineRule="auto"/>
                    <w:ind w:firstLine="709"/>
                    <w:jc w:val="both"/>
                    <w:rPr>
                      <w:i/>
                      <w:szCs w:val="24"/>
                      <w:lang w:eastAsia="lt-LT"/>
                    </w:rPr>
                  </w:pPr>
                  <w:sdt>
                    <w:sdtPr>
                      <w:alias w:val="Numeris"/>
                      <w:tag w:val="nr_5113990e2ee34c148fc15febb335616d"/>
                      <w:lock w:val="sdtLocked"/>
                      <w:richText/>
                    </w:sdtPr>
                    <w:sdtContent>
                      <w:r>
                        <w:rPr>
                          <w:iCs/>
                          <w:szCs w:val="24"/>
                          <w:lang w:eastAsia="lt-LT"/>
                        </w:rPr>
                        <w:t>112</w:t>
                      </w:r>
                    </w:sdtContent>
                  </w:sdt>
                  <w:r>
                    <w:rPr>
                      <w:iCs/>
                      <w:szCs w:val="24"/>
                      <w:lang w:eastAsia="lt-LT"/>
                    </w:rPr>
                    <w:t xml:space="preserve">. </w:t>
                  </w:r>
                  <w:r>
                    <w:rPr>
                      <w:szCs w:val="24"/>
                      <w:lang w:eastAsia="lt-LT"/>
                    </w:rPr>
                    <w:t xml:space="preserve">Kai visuomeninis tiekėjas teikia visuomeninio tiekimo paslaugą kelių STO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STO elektros energijos skirstymo paslaugų, priklausomai nuo to, iš kurios įtampos tinklų vartotojas gauna elektros energiją, kainos. Skirtumas tarp visuomeninio tiekėjo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128 punkte nustatytą formulę ir įvertinamas apskaičiuojant prognozuojamos elektros energijos įsigijimo kainą.</w:t>
                  </w:r>
                  <w:r>
                    <w:rPr>
                      <w:szCs w:val="24"/>
                    </w:rPr>
                    <w:t xml:space="preserve"> </w:t>
                  </w:r>
                </w:p>
              </w:sdtContent>
            </w:sdt>
            <w:sdt>
              <w:sdtPr>
                <w:alias w:val="113 p."/>
                <w:tag w:val="part_41876029bf014d67860de78d9e698401"/>
                <w:lock w:val="sdtLocked"/>
                <w:richText/>
              </w:sdtPr>
              <w:sdtContent>
                <w:p>
                  <w:pPr>
                    <w:ind w:firstLine="709"/>
                    <w:jc w:val="both"/>
                  </w:pPr>
                  <w:sdt>
                    <w:sdtPr>
                      <w:alias w:val="Numeris"/>
                      <w:tag w:val="nr_41876029bf014d67860de78d9e698401"/>
                      <w:lock w:val="sdtLocked"/>
                      <w:richText/>
                    </w:sdtPr>
                    <w:sdtContent>
                      <w:r>
                        <w:rPr>
                          <w:iCs/>
                        </w:rPr>
                        <w:t>113</w:t>
                      </w:r>
                    </w:sdtContent>
                  </w:sdt>
                  <w:r>
                    <w:rPr>
                      <w:iCs/>
                    </w:rPr>
                    <w:t xml:space="preserve">. </w:t>
                  </w:r>
                  <w:r>
                    <w:t>Prognozuojama elektros energijos įsigijimo visuomeninė elektros energijos kaina nustatoma, įvertinus:</w:t>
                  </w:r>
                </w:p>
                <w:sdt>
                  <w:sdtPr>
                    <w:alias w:val="113.1 pp."/>
                    <w:tag w:val="part_dd9fcb6f98ce404db38a4dcd90d81a7e"/>
                    <w:lock w:val="sdtLocked"/>
                    <w:richText/>
                  </w:sdtPr>
                  <w:sdtContent>
                    <w:p>
                      <w:pPr>
                        <w:ind w:firstLine="709"/>
                        <w:jc w:val="both"/>
                      </w:pPr>
                      <w:sdt>
                        <w:sdtPr>
                          <w:alias w:val="Numeris"/>
                          <w:tag w:val="nr_dd9fcb6f98ce404db38a4dcd90d81a7e"/>
                          <w:lock w:val="sdtLocked"/>
                          <w:richText/>
                        </w:sdtPr>
                        <w:sdtContent>
                          <w:r>
                            <w:t>113.1</w:t>
                          </w:r>
                        </w:sdtContent>
                      </w:sdt>
                      <w:r>
                        <w:t>. prognozuojamas elektros energijos įsigijimo sąnaudas pagal visuomeninio tiekėjo sudarytas ir planuojamas sudaryti dvišales elektros energijos įsigijimo sutartis (toliau – dvišalė sutartis) ir pagal visuomeninio tiekėjo prognozuojamą elektros energijos biržoje įsigyjamos elektros energijos kainą (toliau – biržoje įsigyjamos elektros energijos kaina),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visuomeninės elektros energijos kainų rizikas;</w:t>
                      </w:r>
                    </w:p>
                  </w:sdtContent>
                </w:sdt>
                <w:sdt>
                  <w:sdtPr>
                    <w:alias w:val="113.2 pp."/>
                    <w:tag w:val="part_5adb7e20067749f7b6213c32a1901857"/>
                    <w:lock w:val="sdtLocked"/>
                    <w:richText/>
                  </w:sdtPr>
                  <w:sdtContent>
                    <w:p>
                      <w:pPr>
                        <w:ind w:firstLine="709"/>
                        <w:jc w:val="both"/>
                      </w:pPr>
                      <w:sdt>
                        <w:sdtPr>
                          <w:alias w:val="Numeris"/>
                          <w:tag w:val="nr_5adb7e20067749f7b6213c32a1901857"/>
                          <w:lock w:val="sdtLocked"/>
                          <w:richText/>
                        </w:sdtPr>
                        <w:sdtContent>
                          <w:r>
                            <w:t>113.2</w:t>
                          </w:r>
                        </w:sdtContent>
                      </w:sdt>
                      <w:r>
                        <w:t>. prognozuojamas biržos mokesčių sąnaudas;</w:t>
                      </w:r>
                    </w:p>
                  </w:sdtContent>
                </w:sdt>
                <w:sdt>
                  <w:sdtPr>
                    <w:alias w:val="113.3 pp."/>
                    <w:tag w:val="part_fd41005d70be41e5b5e9193b2277e846"/>
                    <w:lock w:val="sdtLocked"/>
                    <w:richText/>
                  </w:sdtPr>
                  <w:sdtContent>
                    <w:p>
                      <w:pPr>
                        <w:ind w:firstLine="709"/>
                        <w:jc w:val="both"/>
                      </w:pPr>
                      <w:sdt>
                        <w:sdtPr>
                          <w:alias w:val="Numeris"/>
                          <w:tag w:val="nr_fd41005d70be41e5b5e9193b2277e846"/>
                          <w:lock w:val="sdtLocked"/>
                          <w:richText/>
                        </w:sdtPr>
                        <w:sdtContent>
                          <w:r>
                            <w:t>113.3</w:t>
                          </w:r>
                        </w:sdtContent>
                      </w:sdt>
                      <w:r>
                        <w:t>. prognozuojamas disbalanso elektros energijos rinkoje sąnaudas;</w:t>
                      </w:r>
                    </w:p>
                  </w:sdtContent>
                </w:sdt>
                <w:sdt>
                  <w:sdtPr>
                    <w:alias w:val="113.4 pp."/>
                    <w:tag w:val="part_833ed7b3feaf4f26b151c9c2758f0187"/>
                    <w:lock w:val="sdtLocked"/>
                    <w:richText/>
                  </w:sdtPr>
                  <w:sdtContent>
                    <w:p>
                      <w:pPr>
                        <w:ind w:firstLine="709"/>
                        <w:jc w:val="both"/>
                      </w:pPr>
                      <w:sdt>
                        <w:sdtPr>
                          <w:alias w:val="Numeris"/>
                          <w:tag w:val="nr_833ed7b3feaf4f26b151c9c2758f0187"/>
                          <w:lock w:val="sdtLocked"/>
                          <w:richText/>
                        </w:sdtPr>
                        <w:sdtContent>
                          <w:r>
                            <w:t>113.4</w:t>
                          </w:r>
                        </w:sdtContent>
                      </w:sdt>
                      <w:r>
                        <w:t>. prognozuojamas taikomų išvestinių finansinių priemonių ar kitų pagrįstų priemonių, padedančias valdyti visuomeninės elektros energijos kainų rizikas, įsigijimo (taikymo) sąnaudas;</w:t>
                      </w:r>
                    </w:p>
                  </w:sdtContent>
                </w:sdt>
                <w:sdt>
                  <w:sdtPr>
                    <w:alias w:val="113.5 pp."/>
                    <w:tag w:val="part_0fbf85614b40416fa3403de4edfd0fcb"/>
                    <w:lock w:val="sdtLocked"/>
                    <w:richText/>
                  </w:sdtPr>
                  <w:sdtContent>
                    <w:p>
                      <w:pPr>
                        <w:ind w:firstLine="709"/>
                        <w:jc w:val="both"/>
                      </w:pPr>
                      <w:sdt>
                        <w:sdtPr>
                          <w:alias w:val="Numeris"/>
                          <w:tag w:val="nr_0fbf85614b40416fa3403de4edfd0fcb"/>
                          <w:lock w:val="sdtLocked"/>
                          <w:richText/>
                        </w:sdtPr>
                        <w:sdtContent>
                          <w:r>
                            <w:t>113.5</w:t>
                          </w:r>
                        </w:sdtContent>
                      </w:sdt>
                      <w:r>
                        <w:t xml:space="preserve">. prognozuojamą patiekti elektros energijos kiekį visuomeninio tiekimo vartotojams. </w:t>
                      </w:r>
                    </w:p>
                  </w:sdtContent>
                </w:sdt>
              </w:sdtContent>
            </w:sdt>
            <w:sdt>
              <w:sdtPr>
                <w:alias w:val="114 p."/>
                <w:tag w:val="part_9b0fd17fba1c4e6b8865c549ff24658d"/>
                <w:lock w:val="sdtLocked"/>
                <w:richText/>
              </w:sdtPr>
              <w:sdtContent>
                <w:p>
                  <w:pPr>
                    <w:ind w:firstLine="709"/>
                    <w:jc w:val="both"/>
                    <w:rPr>
                      <w:szCs w:val="24"/>
                    </w:rPr>
                  </w:pPr>
                  <w:sdt>
                    <w:sdtPr>
                      <w:alias w:val="Numeris"/>
                      <w:tag w:val="nr_9b0fd17fba1c4e6b8865c549ff24658d"/>
                      <w:lock w:val="sdtLocked"/>
                      <w:richText/>
                    </w:sdtPr>
                    <w:sdtContent>
                      <w:r>
                        <w:rPr>
                          <w:iCs/>
                          <w:szCs w:val="24"/>
                        </w:rPr>
                        <w:t>114</w:t>
                      </w:r>
                    </w:sdtContent>
                  </w:sdt>
                  <w:r>
                    <w:rPr>
                      <w:iCs/>
                      <w:szCs w:val="24"/>
                    </w:rPr>
                    <w:t xml:space="preserve">. </w:t>
                  </w:r>
                  <w:r>
                    <w:rPr>
                      <w:szCs w:val="24"/>
                    </w:rPr>
                    <w:t xml:space="preserve">Visuomeninis tiekėjas, sudarydamas dvišales sutartis turi užtikrinti, kad dvišalėje sutartyje numatyta elektros energijos kaina būtų mažesnė už pagal dvišalės sutarties sudarymo metu Metodikos 115 punkte nurodytais duomenimis, atsižvelgiant į </w:t>
                  </w:r>
                  <w:r>
                    <w:t>planuojamų sudaryti dvišalių sutarčių galiojimo trukmę</w:t>
                  </w:r>
                  <w:r>
                    <w:rPr>
                      <w:szCs w:val="24"/>
                    </w:rPr>
                    <w:t xml:space="preserve">, apskaičiuotą prognozuojamą </w:t>
                  </w:r>
                  <w:r>
                    <w:t>biržoje</w:t>
                  </w:r>
                  <w:r>
                    <w:rPr>
                      <w:szCs w:val="24"/>
                    </w:rPr>
                    <w:t xml:space="preserve"> įsigyjamos elektros energijos vidutinę kainą.</w:t>
                  </w:r>
                </w:p>
              </w:sdtContent>
            </w:sdt>
            <w:sdt>
              <w:sdtPr>
                <w:alias w:val="115 p."/>
                <w:tag w:val="part_67e89db376834601966a71d32605cd48"/>
                <w:lock w:val="sdtLocked"/>
                <w:richText/>
              </w:sdtPr>
              <w:sdtContent>
                <w:p>
                  <w:pPr>
                    <w:ind w:left="-30" w:right="57" w:firstLine="739"/>
                    <w:jc w:val="both"/>
                    <w:rPr>
                      <w:szCs w:val="24"/>
                    </w:rPr>
                  </w:pPr>
                  <w:sdt>
                    <w:sdtPr>
                      <w:alias w:val="Numeris"/>
                      <w:tag w:val="nr_67e89db376834601966a71d32605cd48"/>
                      <w:lock w:val="sdtLocked"/>
                      <w:richText/>
                    </w:sdtPr>
                    <w:sdtContent>
                      <w:r>
                        <w:rPr>
                          <w:iCs/>
                          <w:szCs w:val="24"/>
                          <w:lang w:val="en-US"/>
                        </w:rPr>
                        <w:t>115</w:t>
                      </w:r>
                    </w:sdtContent>
                  </w:sdt>
                  <w:r>
                    <w:rPr>
                      <w:iCs/>
                      <w:szCs w:val="24"/>
                      <w:lang w:val="en-US"/>
                    </w:rPr>
                    <w:t xml:space="preserve">. </w:t>
                  </w:r>
                  <w:r>
                    <w:rPr>
                      <w:rFonts w:eastAsia="Aptos"/>
                      <w:szCs w:val="24"/>
                    </w:rPr>
                    <w:t xml:space="preserve">Visuomeninis tiekėjas prognozuoja biržoje įsigyjamos elektros energijos kainą, atsižvelgdamas į praėjusių metų atitinkamo kainų nustatymo laikotarpio elektros energijos kainų skirtumus elektros energijos biržoje „Nord Pool“ Lietuvos prekybos zonoje su pasirinktinai vienoje iš Vokietijos, Švedijos (SE4) ar Suomijos prekybos zonų, „Nasdaq Commodities“ tinklalapyje </w:t>
                  </w:r>
                  <w:r>
                    <w:rPr>
                      <w:rFonts w:eastAsia="Aptos"/>
                      <w:color w:val="000000"/>
                      <w:szCs w:val="24"/>
                    </w:rPr>
                    <w:t xml:space="preserve">(https://www.nasdaq.com/european-market-activity/commodities/market-prices) </w:t>
                  </w:r>
                  <w:r>
                    <w:rPr>
                      <w:rFonts w:eastAsia="Aptos"/>
                      <w:szCs w:val="24"/>
                    </w:rPr>
                    <w:t xml:space="preserve">paskelbtus finansinių priemonių ateities sandorių paros kainų indeksus (angl. </w:t>
                  </w:r>
                  <w:r>
                    <w:rPr>
                      <w:rFonts w:eastAsia="Aptos"/>
                      <w:i/>
                      <w:iCs/>
                      <w:szCs w:val="24"/>
                    </w:rPr>
                    <w:t>Daily fix</w:t>
                  </w:r>
                  <w:r>
                    <w:rPr>
                      <w:rFonts w:eastAsia="Aptos"/>
                      <w:szCs w:val="24"/>
                    </w:rPr>
                    <w:t>) ir EEX energijos biržoje (</w:t>
                  </w:r>
                  <w:r>
                    <w:rPr>
                      <w:szCs w:val="24"/>
                    </w:rPr>
                    <w:t>https://www.eex.com/en/market-data/market-data-hub/power/futures</w:t>
                  </w:r>
                  <w:r>
                    <w:rPr>
                      <w:rFonts w:eastAsia="Aptos"/>
                      <w:szCs w:val="24"/>
                    </w:rPr>
                    <w:t>) Vokietijos zonos ateities sandorių kainomis (settlement), elektros energijos vartojimo netolygumo koeficientą, atitinkamą periodą taikomas finansines išvestines priemones, buitinių vartotojų vartojimo grafiką, ir kitas visuomeniniam tiekėjui žinomas aplinkybes, galinčias turėti įtakos prognozuojamos biržoje įsigyjamos elektros energijos kainos dydžiui, arba pasirinkdamas kitus biržoje įsigyjamos elektros energijos kainos prognozavimo kriterijus (metodus), laikantis mažiausios prognozuojamos biržoje įsigyjamos elektros energijos kainos principo (pasirenkant tą metodą ir kriterijus, pagal kurį prognozuojama biržoje įsigyjamos elektros energijos kaina mažiausia).</w:t>
                  </w:r>
                </w:p>
              </w:sdtContent>
            </w:sdt>
            <w:sdt>
              <w:sdtPr>
                <w:alias w:val="116 p."/>
                <w:tag w:val="part_cd41ec5c94564481be669134e9967591"/>
                <w:lock w:val="sdtLocked"/>
                <w:richText/>
              </w:sdtPr>
              <w:sdtContent>
                <w:p>
                  <w:pPr>
                    <w:ind w:firstLine="709"/>
                    <w:jc w:val="both"/>
                  </w:pPr>
                  <w:sdt>
                    <w:sdtPr>
                      <w:alias w:val="Numeris"/>
                      <w:tag w:val="nr_cd41ec5c94564481be669134e9967591"/>
                      <w:lock w:val="sdtLocked"/>
                      <w:richText/>
                    </w:sdtPr>
                    <w:sdtContent>
                      <w:r>
                        <w:rPr>
                          <w:iCs/>
                        </w:rPr>
                        <w:t>116</w:t>
                      </w:r>
                    </w:sdtContent>
                  </w:sdt>
                  <w:r>
                    <w:rPr>
                      <w:iCs/>
                    </w:rPr>
                    <w:t xml:space="preserve">. </w:t>
                  </w:r>
                  <w:r>
                    <w:t xml:space="preserve">Disbalanso elektros energijos rinkoje sąnaudos priklauso nuo visuomeninio tiekėjo įsigyjamos elektros energijos kiekių nuokrypio, kuris negali būti didesnis kaip 2 proc. nuo faktinio įsigyjamo elektros energijos kiekio. </w:t>
                  </w:r>
                </w:p>
              </w:sdtContent>
            </w:sdt>
            <w:sdt>
              <w:sdtPr>
                <w:alias w:val="117 p."/>
                <w:tag w:val="part_9c1cf5773c6d4851a54b42bddbeabf6a"/>
                <w:lock w:val="sdtLocked"/>
                <w:richText/>
              </w:sdtPr>
              <w:sdtContent>
                <w:p>
                  <w:pPr>
                    <w:tabs>
                      <w:tab w:val="left" w:pos="993"/>
                    </w:tabs>
                    <w:suppressAutoHyphens/>
                    <w:ind w:firstLine="709"/>
                    <w:jc w:val="both"/>
                  </w:pPr>
                  <w:sdt>
                    <w:sdtPr>
                      <w:alias w:val="Numeris"/>
                      <w:tag w:val="nr_9c1cf5773c6d4851a54b42bddbeabf6a"/>
                      <w:lock w:val="sdtLocked"/>
                      <w:richText/>
                    </w:sdtPr>
                    <w:sdtContent>
                      <w:r>
                        <w:rPr>
                          <w:iCs/>
                        </w:rPr>
                        <w:t>117</w:t>
                      </w:r>
                    </w:sdtContent>
                  </w:sdt>
                  <w:r>
                    <w:rPr>
                      <w:iCs/>
                    </w:rPr>
                    <w:t xml:space="preserve">. </w:t>
                  </w:r>
                  <w:r>
                    <w:t xml:space="preserve">Visuomeninis tiekėjas, siekdamas pagrįsti išvestinių finansinių priemonių taikymą, prieš sudarydamas sandorius dėl išvestinių finansinių priemonių taikymo, Tarybai turi pateikti gaires, numatančias pagrindinius išvestinių finansinių priemonių ar kitų priemonių, padedančių valdyti tiekimo ir elektros energijos kainų rizikas, naudojimo principus. Taryba, gavusi gaires, per 15 darbo dienų raštu pateikia vertinimą dėl finansinių priemonių taikymo.  Visuomeninis tiekėjas, teikdamas Tarybai informaciją visuomeninės elektros energijos kainos viršutinei ribai nustatyti, kartu pateikia apibendrintą informaciją apie sudarytus sandorius dėl išvestinių finansinių priemonių taikymo, įskaitant: </w:t>
                  </w:r>
                </w:p>
                <w:sdt>
                  <w:sdtPr>
                    <w:alias w:val="117.1 pp."/>
                    <w:tag w:val="part_1edfb127e3a34333b8aff5a1360a1f37"/>
                    <w:lock w:val="sdtLocked"/>
                    <w:richText/>
                  </w:sdtPr>
                  <w:sdtContent>
                    <w:p>
                      <w:pPr>
                        <w:tabs>
                          <w:tab w:val="left" w:pos="993"/>
                        </w:tabs>
                        <w:suppressAutoHyphens/>
                        <w:ind w:firstLine="709"/>
                        <w:jc w:val="both"/>
                      </w:pPr>
                      <w:sdt>
                        <w:sdtPr>
                          <w:alias w:val="Numeris"/>
                          <w:tag w:val="nr_1edfb127e3a34333b8aff5a1360a1f37"/>
                          <w:lock w:val="sdtLocked"/>
                          <w:richText/>
                        </w:sdtPr>
                        <w:sdtContent>
                          <w:r>
                            <w:t>117.1</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2 pp."/>
                    <w:tag w:val="part_9b10ff5aa0a24da3b59658f241ef9077"/>
                    <w:lock w:val="sdtLocked"/>
                    <w:richText/>
                  </w:sdtPr>
                  <w:sdtContent>
                    <w:p>
                      <w:pPr>
                        <w:tabs>
                          <w:tab w:val="left" w:pos="993"/>
                        </w:tabs>
                        <w:suppressAutoHyphens/>
                        <w:ind w:firstLine="709"/>
                        <w:jc w:val="both"/>
                      </w:pPr>
                      <w:sdt>
                        <w:sdtPr>
                          <w:alias w:val="Numeris"/>
                          <w:tag w:val="nr_9b10ff5aa0a24da3b59658f241ef9077"/>
                          <w:lock w:val="sdtLocked"/>
                          <w:richText/>
                        </w:sdtPr>
                        <w:sdtContent>
                          <w:r>
                            <w:t>117.2</w:t>
                          </w:r>
                        </w:sdtContent>
                      </w:sdt>
                      <w:r>
                        <w:t xml:space="preserve">. papildomų patirtų sąnaudų dydį ir jį pagrindžiančią informaciją; </w:t>
                      </w:r>
                    </w:p>
                  </w:sdtContent>
                </w:sdt>
                <w:sdt>
                  <w:sdtPr>
                    <w:alias w:val="117.3 pp."/>
                    <w:tag w:val="part_84cb2bae59bb46088b72b1e237a4ef8b"/>
                    <w:lock w:val="sdtLocked"/>
                    <w:richText/>
                  </w:sdtPr>
                  <w:sdtContent>
                    <w:p>
                      <w:pPr>
                        <w:tabs>
                          <w:tab w:val="left" w:pos="993"/>
                        </w:tabs>
                        <w:suppressAutoHyphens/>
                        <w:ind w:firstLine="709"/>
                        <w:jc w:val="both"/>
                      </w:pPr>
                      <w:sdt>
                        <w:sdtPr>
                          <w:alias w:val="Numeris"/>
                          <w:tag w:val="nr_84cb2bae59bb46088b72b1e237a4ef8b"/>
                          <w:lock w:val="sdtLocked"/>
                          <w:richText/>
                        </w:sdtPr>
                        <w:sdtContent>
                          <w:r>
                            <w:t>117.3</w:t>
                          </w:r>
                        </w:sdtContent>
                      </w:sdt>
                      <w:r>
                        <w:t>. išvestinės finansinės priemonės taikymo laikotarpį ir siūlymą pagrindžiančią informaciją;</w:t>
                      </w:r>
                    </w:p>
                  </w:sdtContent>
                </w:sdt>
                <w:sdt>
                  <w:sdtPr>
                    <w:alias w:val="117.4 pp."/>
                    <w:tag w:val="part_41d03325ff984965965f8af555b279dc"/>
                    <w:lock w:val="sdtLocked"/>
                    <w:richText/>
                  </w:sdtPr>
                  <w:sdtContent>
                    <w:p>
                      <w:pPr>
                        <w:tabs>
                          <w:tab w:val="left" w:pos="993"/>
                        </w:tabs>
                        <w:suppressAutoHyphens/>
                        <w:ind w:firstLine="709"/>
                        <w:jc w:val="both"/>
                      </w:pPr>
                      <w:sdt>
                        <w:sdtPr>
                          <w:alias w:val="Numeris"/>
                          <w:tag w:val="nr_41d03325ff984965965f8af555b279dc"/>
                          <w:lock w:val="sdtLocked"/>
                          <w:richText/>
                        </w:sdtPr>
                        <w:sdtContent>
                          <w:r>
                            <w:t>117.4</w:t>
                          </w:r>
                        </w:sdtContent>
                      </w:sdt>
                      <w:r>
                        <w:t>. informaciją apie elektros energijos kiekius, kuriems numatoma taikyti finansines išvestines priemones, ir argumentaciją dėl kiekio pasirinkimo;</w:t>
                      </w:r>
                    </w:p>
                  </w:sdtContent>
                </w:sdt>
                <w:sdt>
                  <w:sdtPr>
                    <w:alias w:val="117.5 pp."/>
                    <w:tag w:val="part_22333463e4b14fe3856017db03b8fcd5"/>
                    <w:lock w:val="sdtLocked"/>
                    <w:richText/>
                  </w:sdtPr>
                  <w:sdtContent>
                    <w:p>
                      <w:pPr>
                        <w:tabs>
                          <w:tab w:val="left" w:pos="993"/>
                        </w:tabs>
                        <w:suppressAutoHyphens/>
                        <w:ind w:firstLine="709"/>
                        <w:jc w:val="both"/>
                      </w:pPr>
                      <w:sdt>
                        <w:sdtPr>
                          <w:alias w:val="Numeris"/>
                          <w:tag w:val="nr_22333463e4b14fe3856017db03b8fcd5"/>
                          <w:lock w:val="sdtLocked"/>
                          <w:richText/>
                        </w:sdtPr>
                        <w:sdtContent>
                          <w:r>
                            <w:t>117.5</w:t>
                          </w:r>
                        </w:sdtContent>
                      </w:sdt>
                      <w:r>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sdtContent>
            </w:sdt>
            <w:sdt>
              <w:sdtPr>
                <w:alias w:val="118 p."/>
                <w:tag w:val="part_e90ad734b7804574bf92058dac30777f"/>
                <w:lock w:val="sdtLocked"/>
                <w:richText/>
              </w:sdtPr>
              <w:sdtContent>
                <w:p>
                  <w:pPr>
                    <w:tabs>
                      <w:tab w:val="left" w:pos="993"/>
                    </w:tabs>
                    <w:suppressAutoHyphens/>
                    <w:ind w:firstLine="709"/>
                    <w:jc w:val="both"/>
                    <w:rPr>
                      <w:szCs w:val="24"/>
                    </w:rPr>
                  </w:pPr>
                  <w:sdt>
                    <w:sdtPr>
                      <w:alias w:val="Numeris"/>
                      <w:tag w:val="nr_e90ad734b7804574bf92058dac30777f"/>
                      <w:lock w:val="sdtLocked"/>
                      <w:richText/>
                    </w:sdtPr>
                    <w:sdtContent>
                      <w:r>
                        <w:rPr>
                          <w:iCs/>
                          <w:szCs w:val="24"/>
                        </w:rPr>
                        <w:t>118</w:t>
                      </w:r>
                    </w:sdtContent>
                  </w:sdt>
                  <w:r>
                    <w:rPr>
                      <w:iCs/>
                      <w:szCs w:val="24"/>
                    </w:rPr>
                    <w:t xml:space="preserve">. </w:t>
                  </w:r>
                  <w:r>
                    <w:t xml:space="preserve">Visuomeninis tiekėjas, siekdamas pagrįsti kitas taikytas arba planuojamas taikyti priemones, Tarybai turi pateikti papildomą pagrindimą dėl tokių priemonių taikymo, pateikiant detalius paaiškinimus ir prognozes dėl elektros energijos įsigijimo sąnaudų. </w:t>
                  </w:r>
                </w:p>
              </w:sdtContent>
            </w:sdt>
            <w:sdt>
              <w:sdtPr>
                <w:alias w:val="119 p."/>
                <w:tag w:val="part_33b1554dcc0d4b21915fd6ea0f104c6d"/>
                <w:lock w:val="sdtLocked"/>
                <w:richText/>
              </w:sdtPr>
              <w:sdtContent>
                <w:p>
                  <w:pPr>
                    <w:tabs>
                      <w:tab w:val="left" w:pos="993"/>
                    </w:tabs>
                    <w:suppressAutoHyphens/>
                    <w:ind w:firstLine="709"/>
                    <w:jc w:val="both"/>
                  </w:pPr>
                  <w:sdt>
                    <w:sdtPr>
                      <w:alias w:val="Numeris"/>
                      <w:tag w:val="nr_33b1554dcc0d4b21915fd6ea0f104c6d"/>
                      <w:lock w:val="sdtLocked"/>
                      <w:richText/>
                    </w:sdtPr>
                    <w:sdtContent>
                      <w:r>
                        <w:rPr>
                          <w:iCs/>
                        </w:rPr>
                        <w:t>119</w:t>
                      </w:r>
                    </w:sdtContent>
                  </w:sdt>
                  <w:r>
                    <w:rPr>
                      <w:iCs/>
                    </w:rPr>
                    <w:t xml:space="preserve">. </w:t>
                  </w:r>
                  <w:r>
                    <w:t>Nustatant prognozuojamą elektros energijos įsigijimo kainą Taryba įvertina praėjusio laikotarpio (nuo</w:t>
                  </w:r>
                  <w:r>
                    <w:rPr>
                      <w:i/>
                      <w:iCs/>
                    </w:rPr>
                    <w:t xml:space="preserve"> t-2</w:t>
                  </w:r>
                  <w:r>
                    <w:t xml:space="preserve"> metų spalio 1 d. iki </w:t>
                  </w:r>
                  <w:r>
                    <w:rPr>
                      <w:i/>
                      <w:iCs/>
                    </w:rPr>
                    <w:t>t-1</w:t>
                  </w:r>
                  <w:r>
                    <w:t xml:space="preserve"> metų rugsėjo 30 d.) pagrįstų sąnaudų neatitikimą, susidariusį dėl faktinių ir prognozuotų elektros energijos įsigijimo kainų skirtumo tiekiant elektros energiją visuomeninio tiekimo vartotojams, taip pat pagal Metodikos 128 punktą apskaičiuotą skirtumą.</w:t>
                  </w:r>
                </w:p>
              </w:sdtContent>
            </w:sdt>
            <w:sdt>
              <w:sdtPr>
                <w:alias w:val="120 p."/>
                <w:tag w:val="part_8f2d731d7a9b4d8595bfc76753e1fc89"/>
                <w:lock w:val="sdtLocked"/>
                <w:richText/>
              </w:sdtPr>
              <w:sdtContent>
                <w:p>
                  <w:pPr>
                    <w:ind w:firstLine="709"/>
                    <w:jc w:val="both"/>
                  </w:pPr>
                  <w:sdt>
                    <w:sdtPr>
                      <w:alias w:val="Numeris"/>
                      <w:tag w:val="nr_8f2d731d7a9b4d8595bfc76753e1fc89"/>
                      <w:lock w:val="sdtLocked"/>
                      <w:richText/>
                    </w:sdtPr>
                    <w:sdtContent>
                      <w:r>
                        <w:rPr>
                          <w:iCs/>
                        </w:rPr>
                        <w:t>120</w:t>
                      </w:r>
                    </w:sdtContent>
                  </w:sdt>
                  <w:r>
                    <w:rPr>
                      <w:iCs/>
                    </w:rPr>
                    <w:t xml:space="preserve">. </w:t>
                  </w:r>
                  <w:r>
                    <w:t xml:space="preserve">Prognozuojama elektros energijos įsigijimo kaina bei prognozuotos ir faktinės elektros energijos įsigijimo kainos skirtumas nustatomas remiantis paslaugos teikėjo pateiktų faktinių ir prognozuotų duomenų analize. Jeigu elektros energija įsigyjama arba planuojama įsigyti pagal dvišales sutartis, sudarytas nesilaikant Metodikos 114 punkto nuostatų, </w:t>
                  </w:r>
                  <w:r>
                    <w:rPr>
                      <w:lang w:eastAsia="lt-LT"/>
                    </w:rPr>
                    <w:t xml:space="preserve">Tarybos </w:t>
                  </w:r>
                  <w:r>
                    <w:t xml:space="preserve">motyvuotu sprendimu dalis visuomeninio tiekėjo prognozuojamų patirti arba patirtų faktinių elektros energijos įsigijimo sąnaudų nepripažįstama pagrįstomis sąnaudomis ir jomis mažinamos prognozuojamos arba faktinės elektros energijos įsigijimo sąnaudos. </w:t>
                  </w:r>
                </w:p>
              </w:sdtContent>
            </w:sdt>
            <w:sdt>
              <w:sdtPr>
                <w:alias w:val="121 p."/>
                <w:tag w:val="part_4c43f37aae3744f8b9e64a68884eea7b"/>
                <w:lock w:val="sdtLocked"/>
                <w:richText/>
              </w:sdtPr>
              <w:sdtContent>
                <w:p>
                  <w:pPr>
                    <w:spacing w:line="252" w:lineRule="auto"/>
                    <w:ind w:firstLine="709"/>
                    <w:jc w:val="both"/>
                    <w:rPr>
                      <w:szCs w:val="24"/>
                      <w:lang w:eastAsia="lt-LT"/>
                    </w:rPr>
                  </w:pPr>
                  <w:sdt>
                    <w:sdtPr>
                      <w:alias w:val="Numeris"/>
                      <w:tag w:val="nr_4c43f37aae3744f8b9e64a68884eea7b"/>
                      <w:lock w:val="sdtLocked"/>
                      <w:richText/>
                    </w:sdtPr>
                    <w:sdtContent>
                      <w:r>
                        <w:rPr>
                          <w:iCs/>
                          <w:szCs w:val="24"/>
                          <w:lang w:eastAsia="lt-LT"/>
                        </w:rPr>
                        <w:t>121</w:t>
                      </w:r>
                    </w:sdtContent>
                  </w:sdt>
                  <w:r>
                    <w:rPr>
                      <w:iCs/>
                      <w:szCs w:val="24"/>
                      <w:lang w:eastAsia="lt-LT"/>
                    </w:rPr>
                    <w:t xml:space="preserve">. </w:t>
                  </w:r>
                  <w:r>
                    <w:rPr>
                      <w:szCs w:val="24"/>
                      <w:lang w:eastAsia="lt-LT"/>
                    </w:rPr>
                    <w:t xml:space="preserve">Visuomeninės elektros energijos kainos viršutinės ribą nustatant atskirai buitiniams vartotojams, kurie atitinka pažeidžiamų elektros energijos vartotojų sąvoką, nustatytą Elektros energetikos įstatymo 2 straipsnio 94 dalyje (toliau – pažeidžiami vartotojai), ir kitiems buitiniams vartotojams (toliau – kiti vartotojai), ir šių grupių vartotojams atskirai pagal skirstomųjų tinklų, prie kurių prijungti jų vartojimo objektai, įtampą (VĮ ir ŽĮ), </w:t>
                  </w:r>
                  <w:r>
                    <w:rPr>
                      <w:rFonts w:eastAsia="MS Mincho"/>
                      <w:szCs w:val="24"/>
                      <w:lang w:eastAsia="lt-LT"/>
                    </w:rPr>
                    <w:t xml:space="preserve"> visuomeninės elektros energijos kainos viršutinės ribos</w:t>
                  </w:r>
                  <w:r>
                    <w:rPr>
                      <w:szCs w:val="24"/>
                      <w:lang w:eastAsia="lt-LT"/>
                    </w:rPr>
                    <w:t xml:space="preserve"> atitinkamos grupės vartotojams apskaičiuojamos pagal formulę:</w:t>
                  </w:r>
                </w:p>
                <w:p>
                  <w:pPr>
                    <w:spacing w:line="252" w:lineRule="auto"/>
                    <w:ind w:firstLine="842"/>
                    <w:jc w:val="both"/>
                    <w:rPr>
                      <w:szCs w:val="24"/>
                      <w:lang w:eastAsia="lt-LT"/>
                    </w:rPr>
                  </w:pPr>
                </w:p>
                <w:p>
                  <w:pPr>
                    <w:spacing w:line="252" w:lineRule="auto"/>
                    <w:ind w:firstLine="720"/>
                    <w:jc w:val="center"/>
                    <w:rPr>
                      <w:szCs w:val="24"/>
                      <w:lang w:eastAsia="lt-LT"/>
                    </w:rPr>
                  </w:pPr>
                  <m:oMath>
                    <m:sSubSup>
                      <m:sSubSupPr>
                        <m:ctrlPr>
                          <w:rPr>
                            <w:rFonts w:ascii="Cambria Math" w:hAnsi="Cambria Math"/>
                            <w:i/>
                            <w:szCs w:val="24"/>
                          </w:rPr>
                        </m:ctrlPr>
                      </m:sSubSupPr>
                      <m:e>
                        <m:r>
                          <w:rPr>
                            <w:rFonts w:ascii="Cambria Math" w:hAnsi="Cambria Math"/>
                            <w:szCs w:val="24"/>
                          </w:rPr>
                          <m:t>VT</m:t>
                        </m:r>
                      </m:e>
                      <m:sub>
                        <m:d>
                          <m:dPr>
                            <m:ctrlPr>
                              <w:rPr>
                                <w:rFonts w:ascii="Cambria Math" w:hAnsi="Cambria Math"/>
                                <w:i/>
                                <w:szCs w:val="24"/>
                              </w:rPr>
                            </m:ctrlPr>
                          </m:dPr>
                          <m:e>
                            <m:r>
                              <w:rPr>
                                <w:rFonts w:ascii="Cambria Math" w:hAnsi="Cambria Math"/>
                                <w:szCs w:val="24"/>
                              </w:rPr>
                              <m:t>pv,kv,10,04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(pv,  kv),t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Pr>
                      <w:szCs w:val="24"/>
                      <w:lang w:eastAsia="lt-LT"/>
                    </w:rPr>
                    <w:t>(7</w:t>
                  </w:r>
                  <w:r>
                    <w:rPr>
                      <w:szCs w:val="24"/>
                      <w:lang w:val="en-US" w:eastAsia="lt-LT"/>
                    </w:rPr>
                    <w:t>6</w:t>
                  </w:r>
                  <w:r>
                    <w:rPr>
                      <w:szCs w:val="24"/>
                      <w:lang w:eastAsia="lt-LT"/>
                    </w:rPr>
                    <w:t>)</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(pv,kv10,04),</w:t>
                  </w:r>
                  <w:r>
                    <w:rPr>
                      <w:i/>
                      <w:szCs w:val="24"/>
                      <w:vertAlign w:val="subscript"/>
                      <w:lang w:eastAsia="lt-LT"/>
                    </w:rPr>
                    <w:t>t</w:t>
                  </w:r>
                  <w:r>
                    <w:rPr>
                      <w:szCs w:val="24"/>
                      <w:lang w:eastAsia="lt-LT"/>
                    </w:rPr>
                    <w:t> – visuomeninių elektros energijos kainų viršutinės ribos atitinkamos grupės vartotojams (pažeidžiamiems vartotojams ir kitiems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(pv,kv)</w:t>
                  </w:r>
                  <w:r>
                    <w:rPr>
                      <w:szCs w:val="24"/>
                      <w:vertAlign w:val="subscript"/>
                      <w:lang w:eastAsia="lt-LT"/>
                    </w:rPr>
                    <w:t>,</w:t>
                  </w:r>
                  <w:r>
                    <w:rPr>
                      <w:i/>
                      <w:szCs w:val="24"/>
                      <w:vertAlign w:val="subscript"/>
                      <w:lang w:eastAsia="lt-LT"/>
                    </w:rPr>
                    <w:t>t</w:t>
                  </w:r>
                  <w:r>
                    <w:rPr>
                      <w:szCs w:val="24"/>
                      <w:lang w:eastAsia="lt-LT"/>
                    </w:rPr>
                    <w:t> – atitinkamos grupės vartotojams prognozuojama elektros energijos įsigijimo kaina </w:t>
                  </w:r>
                  <w:r>
                    <w:rPr>
                      <w:i/>
                      <w:szCs w:val="24"/>
                      <w:lang w:eastAsia="lt-LT"/>
                    </w:rPr>
                    <w:t>t</w:t>
                  </w:r>
                  <w:r>
                    <w:rPr>
                      <w:szCs w:val="24"/>
                      <w:lang w:eastAsia="lt-LT"/>
                    </w:rPr>
                    <w:t> metais (pažeidžiamiems vartotojams apskaičiuojama pagal Metodikos 123</w:t>
                  </w:r>
                  <w:r>
                    <w:t> </w:t>
                  </w:r>
                  <w:r>
                    <w:rPr>
                      <w:szCs w:val="24"/>
                      <w:lang w:eastAsia="lt-LT"/>
                    </w:rPr>
                    <w:t xml:space="preserve">punktą, kitiems vartotojams – pagal Metodikos 124 punktą), EUR/kWh; </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Tarybos paskelbto elektros energijos persiuntimo paslaugos tarifų plano, taikomo ne mažiau kaip 2/3 visuomeninio tiekėjo vartotojų, tarifų svertinis vidurkis </w:t>
                  </w:r>
                  <w:r>
                    <w:rPr>
                      <w:i/>
                      <w:iCs/>
                      <w:szCs w:val="24"/>
                      <w:lang w:eastAsia="lt-LT"/>
                    </w:rPr>
                    <w:t>t</w:t>
                  </w:r>
                  <w:r>
                    <w:rPr>
                      <w:szCs w:val="24"/>
                      <w:lang w:eastAsia="lt-LT"/>
                    </w:rPr>
                    <w:t xml:space="preserve"> metais, EUR/kWh; </w:t>
                  </w:r>
                </w:p>
                <w:p>
                  <w:pPr>
                    <w:spacing w:line="252" w:lineRule="auto"/>
                    <w:ind w:firstLine="709"/>
                    <w:jc w:val="both"/>
                    <w:rPr>
                      <w:szCs w:val="24"/>
                      <w:lang w:eastAsia="lt-LT"/>
                    </w:rPr>
                  </w:pPr>
                  <w:r>
                    <w:rPr>
                      <w:i/>
                      <w:szCs w:val="24"/>
                      <w:lang w:eastAsia="lt-LT"/>
                    </w:rPr>
                    <w:t>T</w:t>
                  </w:r>
                  <w:r>
                    <w:rPr>
                      <w:i/>
                      <w:szCs w:val="24"/>
                      <w:vertAlign w:val="subscript"/>
                      <w:lang w:eastAsia="lt-LT"/>
                    </w:rPr>
                    <w:t>viap,t</w:t>
                  </w:r>
                  <w:r>
                    <w:rPr>
                      <w:szCs w:val="24"/>
                      <w:lang w:eastAsia="lt-LT"/>
                    </w:rPr>
                    <w:t> – VIAP kaina, apskaičiuota vadovaujantis VIAP kainos nustatymo metodika, </w:t>
                  </w:r>
                  <w:r>
                    <w:rPr>
                      <w:i/>
                      <w:szCs w:val="24"/>
                      <w:lang w:eastAsia="lt-LT"/>
                    </w:rPr>
                    <w:t>t </w:t>
                  </w:r>
                  <w:r>
                    <w:rPr>
                      <w:szCs w:val="24"/>
                      <w:lang w:eastAsia="lt-LT"/>
                    </w:rPr>
                    <w:t>metais, EUR/kWh;</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p>
                <w:p>
                  <w:pPr>
                    <w:tabs>
                      <w:tab w:val="left" w:pos="993"/>
                    </w:tabs>
                    <w:ind w:firstLine="709"/>
                    <w:jc w:val="both"/>
                  </w:pPr>
                  <w:r>
                    <w:rPr>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lang w:eastAsia="lt-LT"/>
                    </w:rPr>
                    <w:t>ST</w:t>
                  </w:r>
                  <w:r>
                    <w:rPr>
                      <w:i/>
                      <w:vertAlign w:val="subscript"/>
                      <w:lang w:eastAsia="lt-LT"/>
                    </w:rPr>
                    <w:t>t</w:t>
                  </w:r>
                  <w:r>
                    <w:rPr>
                      <w:i/>
                      <w:lang w:eastAsia="lt-LT"/>
                    </w:rPr>
                    <w:t xml:space="preserve"> </w:t>
                  </w:r>
                  <w:r>
                    <w:rPr>
                      <w:lang w:eastAsia="lt-LT"/>
                    </w:rPr>
                    <w:t xml:space="preserve">dedamąją. To paties straipsnio </w:t>
                  </w:r>
                  <w:r>
                    <w:rPr>
                      <w:color w:val="000000"/>
                    </w:rPr>
                    <w:t xml:space="preserve">2 dalies </w:t>
                  </w:r>
                  <w:r>
                    <w:br/>
                  </w:r>
                  <w:r>
                    <w:rPr>
                      <w:color w:val="000000"/>
                    </w:rPr>
                    <w:t xml:space="preserve">1 punkto b papunktyje nurodyta dalinė kompensacija įvertinama mažinant </w:t>
                  </w:r>
                  <w:r>
                    <w:rPr>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atitinkamos grupės vartotojams nustatytos visuomeninės elektros energijos kainos viršutinės ribos.</w:t>
                  </w:r>
                  <w:r>
                    <w:t xml:space="preserve"> </w:t>
                  </w:r>
                </w:p>
              </w:sdtContent>
            </w:sdt>
            <w:sdt>
              <w:sdtPr>
                <w:alias w:val="122 p."/>
                <w:tag w:val="part_6a69bf2509904537979a00f42886b5cf"/>
                <w:lock w:val="sdtLocked"/>
                <w:richText/>
              </w:sdtPr>
              <w:sdtContent>
                <w:p>
                  <w:pPr>
                    <w:tabs>
                      <w:tab w:val="left" w:pos="1260"/>
                      <w:tab w:val="left" w:pos="1843"/>
                      <w:tab w:val="left" w:pos="2268"/>
                    </w:tabs>
                    <w:spacing w:line="252" w:lineRule="auto"/>
                    <w:ind w:right="-1" w:firstLine="709"/>
                    <w:jc w:val="both"/>
                  </w:pPr>
                  <w:sdt>
                    <w:sdtPr>
                      <w:alias w:val="Numeris"/>
                      <w:tag w:val="nr_6a69bf2509904537979a00f42886b5cf"/>
                      <w:lock w:val="sdtLocked"/>
                      <w:richText/>
                    </w:sdtPr>
                    <w:sdtContent>
                      <w:r>
                        <w:rPr>
                          <w:iCs/>
                        </w:rPr>
                        <w:t>122</w:t>
                      </w:r>
                    </w:sdtContent>
                  </w:sdt>
                  <w:r>
                    <w:rPr>
                      <w:iCs/>
                    </w:rPr>
                    <w:t xml:space="preserve">. </w:t>
                  </w:r>
                  <w:r>
                    <w:t>Visuomeniniam tiekėjui įsigyjant elektros energiją Elektros energijos rinkos taisyklėse nustatyta tvarka ir būdais skirtingomis elektros energijos kainomis, prognozuojant pažeidžiamiems vartotojams elektros energijos įsigijimo kainą, jiems priskiriamas elektros energijos kiekis, kurį planuojama įsigyti už mažiausią laikotarpio, kuriam nustatomos visuomeninės elektros energijos kainų viršutinės ribos, vidutinę elektros energijos įsigijimo kainą.</w:t>
                  </w:r>
                </w:p>
              </w:sdtContent>
            </w:sdt>
            <w:sdt>
              <w:sdtPr>
                <w:alias w:val="123 p."/>
                <w:tag w:val="part_f17b3f9ad90046b282713a0205dfd321"/>
                <w:lock w:val="sdtLocked"/>
                <w:richText/>
              </w:sdtPr>
              <w:sdtContent>
                <w:p>
                  <w:pPr>
                    <w:tabs>
                      <w:tab w:val="left" w:pos="1260"/>
                      <w:tab w:val="left" w:pos="1843"/>
                      <w:tab w:val="left" w:pos="2268"/>
                    </w:tabs>
                    <w:spacing w:line="252" w:lineRule="auto"/>
                    <w:ind w:right="-1" w:firstLine="709"/>
                    <w:jc w:val="both"/>
                  </w:pPr>
                  <w:sdt>
                    <w:sdtPr>
                      <w:alias w:val="Numeris"/>
                      <w:tag w:val="nr_f17b3f9ad90046b282713a0205dfd321"/>
                      <w:lock w:val="sdtLocked"/>
                      <w:richText/>
                    </w:sdtPr>
                    <w:sdtContent>
                      <w:r>
                        <w:rPr>
                          <w:iCs/>
                        </w:rPr>
                        <w:t>123</w:t>
                      </w:r>
                    </w:sdtContent>
                  </w:sdt>
                  <w:r>
                    <w:rPr>
                      <w:iCs/>
                    </w:rPr>
                    <w:t xml:space="preserve">. </w:t>
                  </w:r>
                  <w:r>
                    <w:t>Prognozuojama elektros energijos įsigijimo kaina pažeidžiamiems vartotojams nustatoma pagal formulę:</w:t>
                  </w:r>
                </w:p>
                <w:p>
                  <w:pPr>
                    <w:ind w:left="709"/>
                    <w:jc w:val="both"/>
                  </w:pPr>
                </w:p>
                <w:p>
                  <w:pPr>
                    <w:ind w:firstLine="709"/>
                    <w:jc w:val="center"/>
                  </w:pPr>
                  <m:oMath>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TS</m:t>
                        </m:r>
                      </m:e>
                      <m:sub>
                        <m:r>
                          <w:rPr>
                            <w:rFonts w:ascii="Cambria Math" w:hAnsi="Cambria Math"/>
                            <w:szCs w:val="24"/>
                          </w:rPr>
                          <m:t>pv,t</m:t>
                        </m:r>
                      </m:sub>
                    </m:sSub>
                    <m:sSub>
                      <m:sSubPr>
                        <m:ctrlPr>
                          <w:rPr>
                            <w:rFonts w:ascii="Cambria Math" w:hAnsi="Cambria Math"/>
                            <w:i/>
                            <w:szCs w:val="24"/>
                            <w:lang w:val="en-US"/>
                          </w:rPr>
                        </m:ctrlPr>
                      </m:sSubPr>
                      <m:e>
                        <m:r>
                          <w:rPr>
                            <w:rFonts w:ascii="Cambria Math" w:hAnsi="Cambria Math"/>
                            <w:szCs w:val="24"/>
                          </w:rPr>
                          <m:t>+B</m:t>
                        </m:r>
                      </m:e>
                      <m:sub>
                        <m:r>
                          <w:rPr>
                            <w:rFonts w:ascii="Cambria Math" w:hAnsi="Cambria Math"/>
                            <w:szCs w:val="24"/>
                          </w:rPr>
                          <m:t>pv,t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DB</m:t>
                        </m:r>
                      </m:e>
                      <m:sub>
                        <m:r>
                          <w:rPr>
                            <w:rFonts w:ascii="Cambria Math" w:hAnsi="Cambria Math"/>
                            <w:szCs w:val="24"/>
                          </w:rPr>
                          <m:t>t</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rPr>
                          <m:t>IP</m:t>
                        </m:r>
                      </m:e>
                      <m:sub>
                        <m:r>
                          <w:rPr>
                            <w:rFonts w:ascii="Cambria Math" w:hAnsi="Cambria Math"/>
                            <w:szCs w:val="24"/>
                          </w:rPr>
                          <m:t>t</m:t>
                        </m:r>
                      </m:sub>
                    </m:sSub>
                    <m:sSub>
                      <m:sSubPr>
                        <m:ctrlPr>
                          <w:rPr>
                            <w:rFonts w:ascii="Cambria Math" w:hAnsi="Cambria Math"/>
                            <w:i/>
                            <w:szCs w:val="24"/>
                            <w:lang w:val="en-US"/>
                          </w:rPr>
                        </m:ctrlPr>
                      </m:sSubPr>
                      <m:e>
                        <m:r>
                          <w:rPr>
                            <w:rFonts w:ascii="Cambria Math" w:hAnsi="Cambria Math"/>
                            <w:szCs w:val="24"/>
                          </w:rPr>
                          <m:t>+SN</m:t>
                        </m:r>
                      </m:e>
                      <m:sub>
                        <m:r>
                          <w:rPr>
                            <w:rFonts w:ascii="Cambria Math" w:hAnsi="Cambria Math"/>
                            <w:szCs w:val="24"/>
                          </w:rPr>
                          <m:t>pv,t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SK</m:t>
                        </m:r>
                      </m:e>
                      <m:sub>
                        <m:r>
                          <w:rPr>
                            <w:rFonts w:ascii="Cambria Math" w:hAnsi="Cambria Math"/>
                            <w:szCs w:val="24"/>
                          </w:rPr>
                          <m:t>pv,t</m:t>
                        </m:r>
                      </m:sub>
                    </m:sSub>
                  </m:oMath>
                  <w:r>
                    <w:t>, Eur/kWh (7</w:t>
                  </w:r>
                  <w:r>
                    <w:rPr>
                      <w:lang w:val="en-US"/>
                    </w:rPr>
                    <w:t>7</w:t>
                  </w:r>
                  <w:r>
                    <w:t>)</w:t>
                  </w:r>
                </w:p>
                <w:p>
                  <w:pPr>
                    <w:ind w:firstLine="709"/>
                    <w:jc w:val="both"/>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iCs/>
                      <w:szCs w:val="24"/>
                      <w:lang w:eastAsia="lt-LT"/>
                    </w:rPr>
                    <w:t>T</w:t>
                  </w:r>
                  <w:r>
                    <w:rPr>
                      <w:i/>
                      <w:iCs/>
                      <w:szCs w:val="24"/>
                      <w:vertAlign w:val="subscript"/>
                      <w:lang w:eastAsia="lt-LT"/>
                    </w:rPr>
                    <w:t>pv,t</w:t>
                  </w:r>
                  <w:r>
                    <w:rPr>
                      <w:szCs w:val="24"/>
                      <w:lang w:eastAsia="lt-LT"/>
                    </w:rPr>
                    <w:t> – prognozuojama elektros energijos įsigijimo kaina </w:t>
                  </w:r>
                  <w:r>
                    <w:rPr>
                      <w:i/>
                      <w:szCs w:val="24"/>
                      <w:lang w:eastAsia="lt-LT"/>
                    </w:rPr>
                    <w:t>t </w:t>
                  </w:r>
                  <w:r>
                    <w:rPr>
                      <w:szCs w:val="24"/>
                      <w:lang w:eastAsia="lt-LT"/>
                    </w:rPr>
                    <w:t>metais pažeidžiamiems vartotojams, EUR/kWh;</w:t>
                  </w:r>
                </w:p>
                <w:p>
                  <w:pPr>
                    <w:spacing w:line="252" w:lineRule="auto"/>
                    <w:ind w:firstLine="709"/>
                    <w:jc w:val="both"/>
                  </w:pPr>
                  <w:r>
                    <w:rPr>
                      <w:i/>
                      <w:szCs w:val="24"/>
                      <w:lang w:eastAsia="lt-LT"/>
                    </w:rPr>
                    <w:t>TS</w:t>
                  </w:r>
                  <w:r>
                    <w:rPr>
                      <w:i/>
                      <w:szCs w:val="24"/>
                      <w:vertAlign w:val="subscript"/>
                      <w:lang w:eastAsia="lt-LT"/>
                    </w:rPr>
                    <w:t>pv,t</w:t>
                  </w:r>
                  <w:r>
                    <w:rPr>
                      <w:szCs w:val="24"/>
                      <w:lang w:eastAsia="lt-LT"/>
                    </w:rPr>
                    <w:t xml:space="preserve"> – </w:t>
                  </w:r>
                  <w:r>
                    <w:t xml:space="preserve">vidutinė svertinė prognozuojama elektros energijos pažeidžiamiems vartotojams kaina, </w:t>
                  </w:r>
                  <w:r>
                    <w:rPr>
                      <w:szCs w:val="24"/>
                      <w:lang w:eastAsia="lt-LT"/>
                    </w:rPr>
                    <w:t xml:space="preserve">apskaičiuota pagal </w:t>
                  </w:r>
                  <w:r>
                    <w:t>Metodikos 114 punkto nuostatas sudarytas ir (ar) planuojamas sudaryti dvišales elektros energijos įsigijimo sutartis, galiosiančias visuomeninės kainos viršutinės ribos taikymo laikotarpiu, pagal kurias elektros energiją numatoma įsigyti pažeidžiamiems vartotojams, laikantis Metodikos 122 punkte nustatyto reikalavimo, ir pagal Metodikos 115 punktą visuomeninio tiekėjo prognozuojamą biržoje įsigyjamos elektros energijos kainą, EUR/kWh;</w:t>
                  </w:r>
                </w:p>
                <w:p>
                  <w:pPr>
                    <w:spacing w:line="252" w:lineRule="auto"/>
                    <w:ind w:firstLine="709"/>
                    <w:jc w:val="both"/>
                    <w:rPr>
                      <w:szCs w:val="24"/>
                      <w:lang w:eastAsia="lt-LT"/>
                    </w:rPr>
                  </w:pPr>
                  <w:r>
                    <w:rPr>
                      <w:i/>
                      <w:szCs w:val="24"/>
                      <w:lang w:eastAsia="lt-LT"/>
                    </w:rPr>
                    <w:t>B</w:t>
                  </w:r>
                  <w:r>
                    <w:rPr>
                      <w:i/>
                      <w:szCs w:val="24"/>
                      <w:vertAlign w:val="subscript"/>
                      <w:lang w:eastAsia="lt-LT"/>
                    </w:rPr>
                    <w:t>pvt</w:t>
                  </w:r>
                  <w:r>
                    <w:rPr>
                      <w:szCs w:val="24"/>
                      <w:vertAlign w:val="subscript"/>
                      <w:lang w:eastAsia="lt-LT"/>
                    </w:rPr>
                    <w:t> </w:t>
                  </w:r>
                  <w:r>
                    <w:rPr>
                      <w:szCs w:val="24"/>
                      <w:lang w:eastAsia="lt-LT"/>
                    </w:rPr>
                    <w:t xml:space="preserve"> – pažeidžiamiems vartotojams elektros energijos biržos mokestis </w:t>
                  </w:r>
                  <w:r>
                    <w:rPr>
                      <w:i/>
                      <w:iCs/>
                      <w:szCs w:val="24"/>
                      <w:lang w:eastAsia="lt-LT"/>
                    </w:rPr>
                    <w:t>t</w:t>
                  </w:r>
                  <w:r>
                    <w:rPr>
                      <w:szCs w:val="24"/>
                      <w:lang w:eastAsia="lt-LT"/>
                    </w:rPr>
                    <w:t xml:space="preserve"> metais, tenkantis 1 kilovatvalandei, EUR/kWh; </w:t>
                  </w:r>
                </w:p>
                <w:p>
                  <w:pPr>
                    <w:spacing w:line="252" w:lineRule="auto"/>
                    <w:ind w:firstLine="709"/>
                    <w:jc w:val="both"/>
                    <w:rPr>
                      <w:szCs w:val="24"/>
                      <w:lang w:eastAsia="lt-LT"/>
                    </w:rPr>
                  </w:pPr>
                  <w:r>
                    <w:rPr>
                      <w:i/>
                      <w:szCs w:val="24"/>
                      <w:lang w:eastAsia="lt-LT"/>
                    </w:rPr>
                    <w:t>DB</w:t>
                  </w:r>
                  <w:r>
                    <w:rPr>
                      <w:i/>
                      <w:szCs w:val="24"/>
                      <w:vertAlign w:val="subscript"/>
                      <w:lang w:eastAsia="lt-LT"/>
                    </w:rPr>
                    <w:t>t</w:t>
                  </w:r>
                  <w:r>
                    <w:rPr>
                      <w:szCs w:val="24"/>
                      <w:vertAlign w:val="subscript"/>
                      <w:lang w:eastAsia="lt-LT"/>
                    </w:rPr>
                    <w:t xml:space="preserve">  </w:t>
                  </w:r>
                  <w:r>
                    <w:rPr>
                      <w:szCs w:val="24"/>
                      <w:lang w:eastAsia="lt-LT"/>
                    </w:rPr>
                    <w:t xml:space="preserve">– visuomeninio tiekėjo prognozuojamos patirti disbalanso elektros energijos rinkoje sąnaudos </w:t>
                  </w:r>
                  <w:r>
                    <w:rPr>
                      <w:i/>
                      <w:iCs/>
                      <w:szCs w:val="24"/>
                      <w:lang w:eastAsia="lt-LT"/>
                    </w:rPr>
                    <w:t>t</w:t>
                  </w:r>
                  <w:r>
                    <w:rPr>
                      <w:szCs w:val="24"/>
                      <w:lang w:eastAsia="lt-LT"/>
                    </w:rPr>
                    <w:t xml:space="preserve"> metais, tenkančios 1 kilovatvalandei, EUR/kWh; </w:t>
                  </w:r>
                </w:p>
                <w:p>
                  <w:pPr>
                    <w:spacing w:line="252" w:lineRule="auto"/>
                    <w:ind w:firstLine="709"/>
                    <w:jc w:val="both"/>
                    <w:rPr>
                      <w:szCs w:val="24"/>
                      <w:lang w:eastAsia="lt-LT"/>
                    </w:rPr>
                  </w:pPr>
                  <w:r>
                    <w:rPr>
                      <w:i/>
                      <w:szCs w:val="24"/>
                      <w:lang w:eastAsia="lt-LT"/>
                    </w:rPr>
                    <w:t>IP</w:t>
                  </w:r>
                  <w:r>
                    <w:rPr>
                      <w:i/>
                      <w:szCs w:val="24"/>
                      <w:vertAlign w:val="subscript"/>
                      <w:lang w:eastAsia="lt-LT"/>
                    </w:rPr>
                    <w:t>t</w:t>
                  </w:r>
                  <w:r>
                    <w:rPr>
                      <w:szCs w:val="24"/>
                      <w:vertAlign w:val="subscript"/>
                      <w:lang w:eastAsia="lt-LT"/>
                    </w:rPr>
                    <w:t> </w:t>
                  </w:r>
                  <w:r>
                    <w:rPr>
                      <w:szCs w:val="24"/>
                      <w:lang w:eastAsia="lt-LT"/>
                    </w:rPr>
                    <w:t xml:space="preserve"> – visuomeninio tiekėjo prognozuojamos patirti išvestinių finansinių priemonių sąnaudos </w:t>
                  </w:r>
                  <w:r>
                    <w:rPr>
                      <w:i/>
                      <w:iCs/>
                      <w:szCs w:val="24"/>
                      <w:lang w:eastAsia="lt-LT"/>
                    </w:rPr>
                    <w:t>t</w:t>
                  </w:r>
                  <w:r>
                    <w:rPr>
                      <w:szCs w:val="24"/>
                      <w:lang w:eastAsia="lt-LT"/>
                    </w:rPr>
                    <w:t xml:space="preserve"> metais, tenkančios 1 kilovatvalandei, EUR/kWh; </w:t>
                  </w:r>
                </w:p>
                <w:p>
                  <w:pPr>
                    <w:tabs>
                      <w:tab w:val="left" w:pos="993"/>
                    </w:tabs>
                    <w:suppressAutoHyphens/>
                    <w:ind w:firstLine="709"/>
                    <w:jc w:val="both"/>
                    <w:rPr>
                      <w:szCs w:val="24"/>
                      <w:lang w:eastAsia="lt-LT"/>
                    </w:rPr>
                  </w:pPr>
                  <w:r>
                    <w:rPr>
                      <w:i/>
                      <w:iCs/>
                    </w:rPr>
                    <w:t>SN</w:t>
                  </w:r>
                  <w:r>
                    <w:rPr>
                      <w:i/>
                      <w:iCs/>
                      <w:vertAlign w:val="subscript"/>
                    </w:rPr>
                    <w:t>pv,t</w:t>
                  </w:r>
                  <w:r>
                    <w:t xml:space="preserve"> – praėjusiu laikotarpiu pažeidžiamiems vartotojams patiektos elektros energijos faktinių įsigijimo sąnaudų ir prognozuotų elektros energijos įsigijimo sąnaudų skirtumas (išskyrus pagal Metodikos 128 punktą pažeidžiamiems vartotojams paskaičiuotą </w:t>
                  </w:r>
                  <w:r>
                    <w:rPr>
                      <w:szCs w:val="24"/>
                      <w:lang w:eastAsia="lt-LT"/>
                    </w:rPr>
                    <w:t>skirtumą)</w:t>
                  </w:r>
                  <w:r>
                    <w:t xml:space="preserve"> arba jo dalis, jei Tarybos sprendimu susidariusį pažeidžiamiems vartotojams elektros energijos įsigijimo sąnaudų skirtumą planuojama išdėstyti per ilgesnį laikotarpį, nei nustatoma visuomeninės kainos viršutinė riba, tenkantis pažeidžiamiems vartotojams prognozuojamo patiekti kiekio 1 kilovatvalandei, </w:t>
                  </w:r>
                  <w:r>
                    <w:rPr>
                      <w:szCs w:val="24"/>
                      <w:lang w:eastAsia="lt-LT"/>
                    </w:rPr>
                    <w:t>EUR/kWh;</w:t>
                  </w:r>
                </w:p>
                <w:p>
                  <w:pPr>
                    <w:tabs>
                      <w:tab w:val="left" w:pos="993"/>
                    </w:tabs>
                    <w:suppressAutoHyphens/>
                    <w:ind w:firstLine="709"/>
                    <w:jc w:val="both"/>
                    <w:rPr>
                      <w:szCs w:val="24"/>
                      <w:lang w:eastAsia="lt-LT"/>
                    </w:rPr>
                  </w:pPr>
                  <w:r>
                    <w:rPr>
                      <w:i/>
                      <w:iCs/>
                    </w:rPr>
                    <w:t>SK</w:t>
                  </w:r>
                  <w:r>
                    <w:rPr>
                      <w:i/>
                      <w:iCs/>
                      <w:vertAlign w:val="subscript"/>
                    </w:rPr>
                    <w:t>pv,t</w:t>
                  </w:r>
                  <w:r>
                    <w:t xml:space="preserve"> – pagal Metodikos 128 punktą apskaičiuotas </w:t>
                  </w:r>
                  <w:r>
                    <w:rPr>
                      <w:szCs w:val="24"/>
                      <w:lang w:eastAsia="lt-LT"/>
                    </w:rPr>
                    <w:t xml:space="preserve">skirtumas, susidaręs dėl visuomeninio tiekėjo pažeidžiamų vartotojų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EUR/kWh.</w:t>
                  </w:r>
                </w:p>
              </w:sdtContent>
            </w:sdt>
            <w:sdt>
              <w:sdtPr>
                <w:alias w:val="124 p."/>
                <w:tag w:val="part_fde96a6750ff4da8a6135a6aa1a5fa41"/>
                <w:lock w:val="sdtLocked"/>
                <w:richText/>
              </w:sdtPr>
              <w:sdtContent>
                <w:p>
                  <w:pPr>
                    <w:tabs>
                      <w:tab w:val="left" w:pos="993"/>
                    </w:tabs>
                    <w:suppressAutoHyphens/>
                    <w:ind w:firstLine="709"/>
                    <w:jc w:val="both"/>
                  </w:pPr>
                  <w:sdt>
                    <w:sdtPr>
                      <w:alias w:val="Numeris"/>
                      <w:tag w:val="nr_fde96a6750ff4da8a6135a6aa1a5fa41"/>
                      <w:lock w:val="sdtLocked"/>
                      <w:richText/>
                    </w:sdtPr>
                    <w:sdtContent>
                      <w:r>
                        <w:rPr>
                          <w:iCs/>
                        </w:rPr>
                        <w:t>124</w:t>
                      </w:r>
                    </w:sdtContent>
                  </w:sdt>
                  <w:r>
                    <w:rPr>
                      <w:iCs/>
                    </w:rPr>
                    <w:t xml:space="preserve">. </w:t>
                  </w:r>
                  <w:r>
                    <w:t>Prognozuojama elektros energijos įsigijimo kaina kitiems vartotojams nustatoma pagal formulę:</w:t>
                  </w:r>
                </w:p>
                <w:p>
                  <w:pPr>
                    <w:tabs>
                      <w:tab w:val="left" w:pos="993"/>
                    </w:tabs>
                    <w:suppressAutoHyphens/>
                    <w:ind w:left="709"/>
                    <w:jc w:val="both"/>
                  </w:pPr>
                </w:p>
                <w:p>
                  <w:pPr>
                    <w:ind w:firstLine="709"/>
                    <w:jc w:val="center"/>
                  </w:pPr>
                  <m:oMath>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k</m:t>
                        </m:r>
                        <m:r>
                          <w:rPr>
                            <w:rFonts w:ascii="Cambria Math" w:hAnsi="Cambria Math"/>
                            <w:szCs w:val="24"/>
                          </w:rPr>
                          <m:t>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TS</m:t>
                        </m:r>
                      </m:e>
                      <m:sub>
                        <m:r>
                          <w:rPr>
                            <w:rFonts w:ascii="Cambria Math" w:hAnsi="Cambria Math"/>
                            <w:szCs w:val="24"/>
                            <w:lang w:val="en-US"/>
                          </w:rPr>
                          <m:t>k</m:t>
                        </m:r>
                        <m:r>
                          <w:rPr>
                            <w:rFonts w:ascii="Cambria Math" w:hAnsi="Cambria Math"/>
                            <w:szCs w:val="24"/>
                          </w:rPr>
                          <m:t>v,t</m:t>
                        </m:r>
                      </m:sub>
                    </m:sSub>
                    <m:sSub>
                      <m:sSubPr>
                        <m:ctrlPr>
                          <w:rPr>
                            <w:rFonts w:ascii="Cambria Math" w:hAnsi="Cambria Math"/>
                            <w:i/>
                            <w:szCs w:val="24"/>
                            <w:lang w:val="en-US"/>
                          </w:rPr>
                        </m:ctrlPr>
                      </m:sSubPr>
                      <m:e>
                        <m:r>
                          <w:rPr>
                            <w:rFonts w:ascii="Cambria Math" w:hAnsi="Cambria Math"/>
                            <w:szCs w:val="24"/>
                          </w:rPr>
                          <m:t>+B</m:t>
                        </m:r>
                      </m:e>
                      <m:sub>
                        <m:r>
                          <w:rPr>
                            <w:rFonts w:ascii="Cambria Math" w:hAnsi="Cambria Math"/>
                            <w:szCs w:val="24"/>
                          </w:rPr>
                          <m:t>kv,t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DB</m:t>
                        </m:r>
                      </m:e>
                      <m:sub>
                        <m:r>
                          <w:rPr>
                            <w:rFonts w:ascii="Cambria Math" w:hAnsi="Cambria Math"/>
                            <w:szCs w:val="24"/>
                          </w:rPr>
                          <m:t>t</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rPr>
                          <m:t>IP</m:t>
                        </m:r>
                      </m:e>
                      <m:sub>
                        <m:r>
                          <w:rPr>
                            <w:rFonts w:ascii="Cambria Math" w:hAnsi="Cambria Math"/>
                            <w:szCs w:val="24"/>
                          </w:rPr>
                          <m:t>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SN</m:t>
                        </m:r>
                      </m:e>
                      <m:sub>
                        <m:r>
                          <w:rPr>
                            <w:rFonts w:ascii="Cambria Math" w:hAnsi="Cambria Math"/>
                            <w:szCs w:val="24"/>
                            <w:lang w:val="en-US"/>
                          </w:rPr>
                          <m:t>k</m:t>
                        </m:r>
                        <m:r>
                          <w:rPr>
                            <w:rFonts w:ascii="Cambria Math" w:hAnsi="Cambria Math"/>
                            <w:szCs w:val="24"/>
                          </w:rPr>
                          <m:t>v,t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SK</m:t>
                        </m:r>
                      </m:e>
                      <m:sub>
                        <m:r>
                          <w:rPr>
                            <w:rFonts w:ascii="Cambria Math" w:hAnsi="Cambria Math"/>
                            <w:szCs w:val="24"/>
                            <w:lang w:val="en-US"/>
                          </w:rPr>
                          <m:t>k</m:t>
                        </m:r>
                        <m:r>
                          <w:rPr>
                            <w:rFonts w:ascii="Cambria Math" w:hAnsi="Cambria Math"/>
                            <w:szCs w:val="24"/>
                          </w:rPr>
                          <m:t>v,t</m:t>
                        </m:r>
                      </m:sub>
                    </m:sSub>
                  </m:oMath>
                  <w:r>
                    <w:t>, Eur/kWh (7</w:t>
                  </w:r>
                  <w:r>
                    <w:rPr>
                      <w:lang w:val="en-US"/>
                    </w:rPr>
                    <w:t>8</w:t>
                  </w:r>
                  <w:r>
                    <w:t>)</w:t>
                  </w:r>
                </w:p>
                <w:p>
                  <w:pPr>
                    <w:ind w:firstLine="709"/>
                    <w:jc w:val="both"/>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kv,t</w:t>
                  </w:r>
                  <w:r>
                    <w:rPr>
                      <w:szCs w:val="24"/>
                      <w:lang w:eastAsia="lt-LT"/>
                    </w:rPr>
                    <w:t>  – prognozuojama elektros energijos įsigijimo kaina </w:t>
                  </w:r>
                  <w:r>
                    <w:rPr>
                      <w:i/>
                      <w:szCs w:val="24"/>
                      <w:lang w:eastAsia="lt-LT"/>
                    </w:rPr>
                    <w:t>t </w:t>
                  </w:r>
                  <w:r>
                    <w:rPr>
                      <w:szCs w:val="24"/>
                      <w:lang w:eastAsia="lt-LT"/>
                    </w:rPr>
                    <w:t>metais kitiems vartotojams</w:t>
                  </w:r>
                  <w:r>
                    <w:t xml:space="preserve">, </w:t>
                  </w:r>
                  <w:r>
                    <w:rPr>
                      <w:szCs w:val="24"/>
                      <w:lang w:eastAsia="lt-LT"/>
                    </w:rPr>
                    <w:t>EUR/kWh;</w:t>
                  </w:r>
                </w:p>
                <w:p>
                  <w:pPr>
                    <w:spacing w:line="252" w:lineRule="auto"/>
                    <w:ind w:firstLine="709"/>
                    <w:jc w:val="both"/>
                  </w:pPr>
                  <w:r>
                    <w:rPr>
                      <w:i/>
                      <w:szCs w:val="24"/>
                      <w:lang w:eastAsia="lt-LT"/>
                    </w:rPr>
                    <w:t>TS</w:t>
                  </w:r>
                  <w:r>
                    <w:rPr>
                      <w:i/>
                      <w:szCs w:val="24"/>
                      <w:vertAlign w:val="subscript"/>
                      <w:lang w:eastAsia="lt-LT"/>
                    </w:rPr>
                    <w:t>kv,t</w:t>
                  </w:r>
                  <w:r>
                    <w:rPr>
                      <w:szCs w:val="24"/>
                      <w:lang w:eastAsia="lt-LT"/>
                    </w:rPr>
                    <w:t xml:space="preserve"> – </w:t>
                  </w:r>
                  <w:r>
                    <w:t xml:space="preserve">vidutinė svertinė prognozuojama elektros energijos kitiems vartotojams kaina, </w:t>
                  </w:r>
                  <w:r>
                    <w:rPr>
                      <w:szCs w:val="24"/>
                      <w:lang w:eastAsia="lt-LT"/>
                    </w:rPr>
                    <w:t>apskaičiuota</w:t>
                  </w:r>
                  <w:r>
                    <w:rPr>
                      <w:rFonts w:ascii="Segoe UI" w:hAnsi="Segoe UI" w:cs="Segoe UI"/>
                      <w:sz w:val="18"/>
                      <w:szCs w:val="18"/>
                    </w:rPr>
                    <w:t xml:space="preserve"> </w:t>
                  </w:r>
                  <w:r>
                    <w:rPr>
                      <w:szCs w:val="24"/>
                      <w:lang w:eastAsia="lt-LT"/>
                    </w:rPr>
                    <w:t xml:space="preserve">pagal </w:t>
                  </w:r>
                  <w:r>
                    <w:t xml:space="preserve">Metodikos 114 punkto nuostatas sudarytas ir (ar) planuojamas sudaryti dvišales elektros energijos įsigijimo sutartis, galiosiančias visuomeninės kainos viršutinės ribos taikymo laikotarpiu, pagal kurias elektros energiją numatoma įsigyti kitiems vartotojams, ir pagal Metodikos 115 punktą visuomeninio tiekėjo prognozuojamą biržoje įsigyjamos elektros energijos kainą, EUR/kWh; </w:t>
                  </w:r>
                </w:p>
                <w:p>
                  <w:pPr>
                    <w:spacing w:line="252" w:lineRule="auto"/>
                    <w:ind w:firstLine="709"/>
                    <w:jc w:val="both"/>
                    <w:rPr>
                      <w:szCs w:val="24"/>
                      <w:lang w:eastAsia="lt-LT"/>
                    </w:rPr>
                  </w:pPr>
                  <w:r>
                    <w:rPr>
                      <w:i/>
                      <w:szCs w:val="24"/>
                      <w:lang w:eastAsia="lt-LT"/>
                    </w:rPr>
                    <w:t>B</w:t>
                  </w:r>
                  <w:r>
                    <w:rPr>
                      <w:i/>
                      <w:szCs w:val="24"/>
                      <w:vertAlign w:val="subscript"/>
                      <w:lang w:eastAsia="lt-LT"/>
                    </w:rPr>
                    <w:t>kt,t</w:t>
                  </w:r>
                  <w:r>
                    <w:rPr>
                      <w:szCs w:val="24"/>
                      <w:vertAlign w:val="subscript"/>
                      <w:lang w:eastAsia="lt-LT"/>
                    </w:rPr>
                    <w:t xml:space="preserve">  </w:t>
                  </w:r>
                  <w:r>
                    <w:rPr>
                      <w:szCs w:val="24"/>
                      <w:lang w:eastAsia="lt-LT"/>
                    </w:rPr>
                    <w:t xml:space="preserve">– kitiems vartotojams elektros energijos biržos mokestis </w:t>
                  </w:r>
                  <w:r>
                    <w:rPr>
                      <w:i/>
                      <w:iCs/>
                      <w:szCs w:val="24"/>
                      <w:lang w:eastAsia="lt-LT"/>
                    </w:rPr>
                    <w:t>t</w:t>
                  </w:r>
                  <w:r>
                    <w:rPr>
                      <w:szCs w:val="24"/>
                      <w:lang w:eastAsia="lt-LT"/>
                    </w:rPr>
                    <w:t xml:space="preserve"> metais, tenkantis 1</w:t>
                  </w:r>
                  <w:r>
                    <w:t> </w:t>
                  </w:r>
                  <w:r>
                    <w:rPr>
                      <w:szCs w:val="24"/>
                      <w:lang w:eastAsia="lt-LT"/>
                    </w:rPr>
                    <w:t xml:space="preserve">kilovatvalandei, EUR/kWh; </w:t>
                  </w:r>
                </w:p>
                <w:p>
                  <w:pPr>
                    <w:spacing w:line="252" w:lineRule="auto"/>
                    <w:ind w:firstLine="709"/>
                    <w:jc w:val="both"/>
                    <w:rPr>
                      <w:szCs w:val="24"/>
                      <w:lang w:eastAsia="lt-LT"/>
                    </w:rPr>
                  </w:pPr>
                  <w:r>
                    <w:rPr>
                      <w:i/>
                      <w:szCs w:val="24"/>
                      <w:lang w:eastAsia="lt-LT"/>
                    </w:rPr>
                    <w:t>DB</w:t>
                  </w:r>
                  <w:r>
                    <w:rPr>
                      <w:i/>
                      <w:szCs w:val="24"/>
                      <w:vertAlign w:val="subscript"/>
                      <w:lang w:eastAsia="lt-LT"/>
                    </w:rPr>
                    <w:t>t</w:t>
                  </w:r>
                  <w:r>
                    <w:rPr>
                      <w:szCs w:val="24"/>
                      <w:vertAlign w:val="subscript"/>
                      <w:lang w:eastAsia="lt-LT"/>
                    </w:rPr>
                    <w:t xml:space="preserve">  </w:t>
                  </w:r>
                  <w:r>
                    <w:rPr>
                      <w:szCs w:val="24"/>
                      <w:lang w:eastAsia="lt-LT"/>
                    </w:rPr>
                    <w:t xml:space="preserve">– visuomeninio tiekėjo prognozuojamos patirti disbalanso elektros energijos rinkoje sąnaudos </w:t>
                  </w:r>
                  <w:r>
                    <w:rPr>
                      <w:i/>
                      <w:iCs/>
                      <w:szCs w:val="24"/>
                      <w:lang w:eastAsia="lt-LT"/>
                    </w:rPr>
                    <w:t>t</w:t>
                  </w:r>
                  <w:r>
                    <w:rPr>
                      <w:szCs w:val="24"/>
                      <w:lang w:eastAsia="lt-LT"/>
                    </w:rPr>
                    <w:t xml:space="preserve"> metais, tenkančios 1 kilovatvalandei, EUR/kWh; </w:t>
                  </w:r>
                </w:p>
                <w:p>
                  <w:pPr>
                    <w:spacing w:line="252" w:lineRule="auto"/>
                    <w:ind w:firstLine="709"/>
                    <w:jc w:val="both"/>
                    <w:rPr>
                      <w:szCs w:val="24"/>
                      <w:lang w:eastAsia="lt-LT"/>
                    </w:rPr>
                  </w:pPr>
                  <w:r>
                    <w:rPr>
                      <w:i/>
                      <w:szCs w:val="24"/>
                      <w:lang w:eastAsia="lt-LT"/>
                    </w:rPr>
                    <w:t>IP</w:t>
                  </w:r>
                  <w:r>
                    <w:rPr>
                      <w:i/>
                      <w:szCs w:val="24"/>
                      <w:vertAlign w:val="subscript"/>
                      <w:lang w:eastAsia="lt-LT"/>
                    </w:rPr>
                    <w:t>t</w:t>
                  </w:r>
                  <w:r>
                    <w:rPr>
                      <w:szCs w:val="24"/>
                      <w:vertAlign w:val="subscript"/>
                      <w:lang w:eastAsia="lt-LT"/>
                    </w:rPr>
                    <w:t> </w:t>
                  </w:r>
                  <w:r>
                    <w:rPr>
                      <w:szCs w:val="24"/>
                      <w:lang w:eastAsia="lt-LT"/>
                    </w:rPr>
                    <w:t xml:space="preserve">– visuomeninio tiekėjo prognozuojamos patirti išvestinių finansinių priemonių sąnaudos </w:t>
                  </w:r>
                  <w:r>
                    <w:rPr>
                      <w:i/>
                      <w:iCs/>
                      <w:szCs w:val="24"/>
                      <w:lang w:eastAsia="lt-LT"/>
                    </w:rPr>
                    <w:t>t</w:t>
                  </w:r>
                  <w:r>
                    <w:rPr>
                      <w:szCs w:val="24"/>
                      <w:lang w:eastAsia="lt-LT"/>
                    </w:rPr>
                    <w:t xml:space="preserve"> metais, tenkančios 1 kilovatvalandei, EUR/kWh; </w:t>
                  </w:r>
                </w:p>
                <w:p>
                  <w:pPr>
                    <w:tabs>
                      <w:tab w:val="left" w:pos="993"/>
                    </w:tabs>
                    <w:suppressAutoHyphens/>
                    <w:ind w:firstLine="709"/>
                    <w:jc w:val="both"/>
                  </w:pPr>
                  <w:r>
                    <w:rPr>
                      <w:i/>
                      <w:szCs w:val="24"/>
                      <w:lang w:eastAsia="lt-LT"/>
                    </w:rPr>
                    <w:t>SN</w:t>
                  </w:r>
                  <w:r>
                    <w:rPr>
                      <w:i/>
                      <w:szCs w:val="24"/>
                      <w:vertAlign w:val="subscript"/>
                      <w:lang w:eastAsia="lt-LT"/>
                    </w:rPr>
                    <w:t>kt,t</w:t>
                  </w:r>
                  <w:r>
                    <w:rPr>
                      <w:szCs w:val="24"/>
                      <w:lang w:eastAsia="lt-LT"/>
                    </w:rPr>
                    <w:t> </w:t>
                  </w:r>
                  <w:r>
                    <w:t xml:space="preserve"> – praėjusiu laikotarpiu faktinių kitiems vartotojams patiektos elektros energijos įsigijimo sąnaudų ir prognozuotų elektros energijos įsigijimo sąnaudų skirtumas (išskyrus pagal Metodikos 128 punktą kitiems vartotojams paskaičiuotą </w:t>
                  </w:r>
                  <w:r>
                    <w:rPr>
                      <w:szCs w:val="24"/>
                      <w:lang w:eastAsia="lt-LT"/>
                    </w:rPr>
                    <w:t>skirtumą)</w:t>
                  </w:r>
                  <w:r>
                    <w:t xml:space="preserve"> arba jo dalis, jei Tarybos sprendimu susidariusį kitiems vartotojams elektros energijos įsigijimo sąnaudų skirtumą planuojama išdėstyti per ilgesnį laikotarpį, nei nustatoma visuomeninės kainos viršutinė riba, tenkantis kitiems vartotojams prognozuojamo patiekti kiekio 1 kilovatvalandei, </w:t>
                  </w:r>
                  <w:r>
                    <w:rPr>
                      <w:szCs w:val="24"/>
                      <w:lang w:eastAsia="lt-LT"/>
                    </w:rPr>
                    <w:t>EUR/kWh</w:t>
                  </w:r>
                  <w:r>
                    <w:t>.</w:t>
                  </w:r>
                </w:p>
                <w:p>
                  <w:pPr>
                    <w:tabs>
                      <w:tab w:val="left" w:pos="993"/>
                    </w:tabs>
                    <w:suppressAutoHyphens/>
                    <w:ind w:firstLine="709"/>
                    <w:jc w:val="both"/>
                    <w:rPr>
                      <w:szCs w:val="24"/>
                      <w:lang w:eastAsia="lt-LT"/>
                    </w:rPr>
                  </w:pPr>
                  <w:r>
                    <w:rPr>
                      <w:i/>
                      <w:iCs/>
                    </w:rPr>
                    <w:t>SK</w:t>
                  </w:r>
                  <w:r>
                    <w:rPr>
                      <w:i/>
                      <w:iCs/>
                      <w:vertAlign w:val="subscript"/>
                    </w:rPr>
                    <w:t>kt,t</w:t>
                  </w:r>
                  <w:r>
                    <w:t xml:space="preserve"> – pagal Metodikos 128 punktą apskaičiuotas </w:t>
                  </w:r>
                  <w:r>
                    <w:rPr>
                      <w:szCs w:val="24"/>
                      <w:lang w:eastAsia="lt-LT"/>
                    </w:rPr>
                    <w:t xml:space="preserve">skirtumas, susidaręs dėl visuomeninio tiekėjo kitų vartotojų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EUR/kWh.</w:t>
                  </w:r>
                </w:p>
              </w:sdtContent>
            </w:sdt>
            <w:sdt>
              <w:sdtPr>
                <w:alias w:val="125 p."/>
                <w:tag w:val="part_4eba15f1cbc944a291e8251acdbce2f0"/>
                <w:lock w:val="sdtLocked"/>
                <w:richText/>
              </w:sdtPr>
              <w:sdtContent>
                <w:p>
                  <w:pPr>
                    <w:ind w:firstLine="709"/>
                    <w:jc w:val="both"/>
                    <w:rPr>
                      <w:szCs w:val="24"/>
                    </w:rPr>
                  </w:pPr>
                  <w:sdt>
                    <w:sdtPr>
                      <w:alias w:val="Numeris"/>
                      <w:tag w:val="nr_4eba15f1cbc944a291e8251acdbce2f0"/>
                      <w:lock w:val="sdtLocked"/>
                      <w:richText/>
                    </w:sdtPr>
                    <w:sdtContent>
                      <w:r>
                        <w:rPr>
                          <w:iCs/>
                          <w:szCs w:val="24"/>
                        </w:rPr>
                        <w:t>125</w:t>
                      </w:r>
                    </w:sdtContent>
                  </w:sdt>
                  <w:r>
                    <w:rPr>
                      <w:iCs/>
                      <w:szCs w:val="24"/>
                    </w:rPr>
                    <w:t xml:space="preserve">. </w:t>
                  </w:r>
                  <w:r>
                    <w:rPr>
                      <w:szCs w:val="24"/>
                    </w:rPr>
                    <w:t>V</w:t>
                  </w:r>
                  <w:r>
                    <w:rPr>
                      <w:szCs w:val="24"/>
                      <w:lang w:eastAsia="lt-LT"/>
                    </w:rPr>
                    <w:t xml:space="preserve">isuomeninis </w:t>
                  </w:r>
                  <w:r>
                    <w:rPr>
                      <w:szCs w:val="24"/>
                    </w:rPr>
                    <w:t>tiekėjas, kiekvieno mėnesio pradžioje įvertina einamojo pusmečio likusių mėnesių prognozuojamos biržoje įsigyjamos elektros energijos kainos pokyčius ir ne vėliau kaip per 5 darbo dienas nuo einamojo mėnesio pradžios Tarybai raštu pateikia informaciją apie likusiems mėnesiams prognozuojamą 1 kWh elektros energijos įsigijimo kainą, nurodant jos dydį ir prognozės pagrindimą, bei skirtumą tarp likusiems mėnesiams prognozuojamos 1 kWh elektros energijos įsigijimo kainos ir prognozuojamos 1 kWh elektros energijos įsigijimo kainos, įskaičiuotos į visuomeninės elektros energijos kainos viršutinę ribą. Tais atvejais, kai skirtumas tarp likusiems mėnesiams prognozuojamos 1 kWh elektros energijos įsigijimo kainos ir prognozuojamos 1 kWh elektros energijos įsigijimo kainos, įskaičiuotos į visuomeninės elektros energijos kainos viršutinę ribą, yra 40 procentų ar didesnis, ir per paskutinį ketvirtį visuomeninės elektros energijos kainos nebuvo perskaičiuotos, visuomeninis tiekėjas kartu su informacija apie likusiems mėnesiams prognozuojamą 1 kWh elektros energijos įsigijimo kainą Tarybai pateikia pasiūlymą perskaičiuoti visuomenines elektros energijos kainas ir:</w:t>
                  </w:r>
                </w:p>
                <w:sdt>
                  <w:sdtPr>
                    <w:alias w:val="125.1 pp."/>
                    <w:tag w:val="part_4d87e901bc7849c2b284fbefdf0cd0cf"/>
                    <w:lock w:val="sdtLocked"/>
                    <w:richText/>
                  </w:sdtPr>
                  <w:sdtContent>
                    <w:p>
                      <w:pPr>
                        <w:ind w:firstLine="709"/>
                        <w:jc w:val="both"/>
                        <w:rPr>
                          <w:szCs w:val="24"/>
                        </w:rPr>
                      </w:pPr>
                      <w:sdt>
                        <w:sdtPr>
                          <w:alias w:val="Numeris"/>
                          <w:tag w:val="nr_4d87e901bc7849c2b284fbefdf0cd0cf"/>
                          <w:lock w:val="sdtLocked"/>
                          <w:richText/>
                        </w:sdtPr>
                        <w:sdtContent>
                          <w:r>
                            <w:rPr>
                              <w:szCs w:val="24"/>
                            </w:rPr>
                            <w:t>125.1</w:t>
                          </w:r>
                        </w:sdtContent>
                      </w:sdt>
                      <w:r>
                        <w:rPr>
                          <w:szCs w:val="24"/>
                        </w:rPr>
                        <w:t xml:space="preserve">. visuomeninio tiekėjo prognozuojamos elektros energijos įsigijimo kainos skaičiavimo suvestinius duomenis (Metodikos </w:t>
                      </w:r>
                      <w:r>
                        <w:rPr>
                          <w:szCs w:val="24"/>
                          <w:lang w:val="en-US"/>
                        </w:rPr>
                        <w:t>5</w:t>
                      </w:r>
                      <w:r>
                        <w:rPr>
                          <w:szCs w:val="24"/>
                        </w:rPr>
                        <w:t xml:space="preserve"> priedas); </w:t>
                      </w:r>
                    </w:p>
                  </w:sdtContent>
                </w:sdt>
                <w:sdt>
                  <w:sdtPr>
                    <w:alias w:val="125.2 pp."/>
                    <w:tag w:val="part_3df7cc2437c94554a49193fcdcda9b5e"/>
                    <w:lock w:val="sdtLocked"/>
                    <w:richText/>
                  </w:sdtPr>
                  <w:sdtContent>
                    <w:p>
                      <w:pPr>
                        <w:ind w:firstLine="709"/>
                        <w:jc w:val="both"/>
                        <w:rPr>
                          <w:szCs w:val="24"/>
                        </w:rPr>
                      </w:pPr>
                      <w:sdt>
                        <w:sdtPr>
                          <w:alias w:val="Numeris"/>
                          <w:tag w:val="nr_3df7cc2437c94554a49193fcdcda9b5e"/>
                          <w:lock w:val="sdtLocked"/>
                          <w:richText/>
                        </w:sdtPr>
                        <w:sdtContent>
                          <w:r>
                            <w:rPr>
                              <w:szCs w:val="24"/>
                            </w:rPr>
                            <w:t>125.2</w:t>
                          </w:r>
                        </w:sdtContent>
                      </w:sdt>
                      <w:r>
                        <w:rPr>
                          <w:szCs w:val="24"/>
                        </w:rPr>
                        <w:t>. aiškinamąjį raštą, kuriame nurodomas detalus prognozuojamos 1 kWh elektros energijos įsigijimo kainos pagrindimas;</w:t>
                      </w:r>
                    </w:p>
                  </w:sdtContent>
                </w:sdt>
              </w:sdtContent>
            </w:sdt>
            <w:sdt>
              <w:sdtPr>
                <w:alias w:val="126 p."/>
                <w:tag w:val="part_216dc73e996a43e3b8cd1b0faa898ba8"/>
                <w:lock w:val="sdtLocked"/>
                <w:richText/>
              </w:sdtPr>
              <w:sdtContent>
                <w:p>
                  <w:pPr>
                    <w:tabs>
                      <w:tab w:val="left" w:pos="1260"/>
                      <w:tab w:val="left" w:pos="1843"/>
                      <w:tab w:val="left" w:pos="2268"/>
                    </w:tabs>
                    <w:spacing w:line="252" w:lineRule="auto"/>
                    <w:ind w:right="-1" w:firstLine="709"/>
                    <w:jc w:val="both"/>
                    <w:rPr>
                      <w:szCs w:val="24"/>
                    </w:rPr>
                  </w:pPr>
                  <w:sdt>
                    <w:sdtPr>
                      <w:alias w:val="Numeris"/>
                      <w:tag w:val="nr_216dc73e996a43e3b8cd1b0faa898ba8"/>
                      <w:lock w:val="sdtLocked"/>
                      <w:richText/>
                    </w:sdtPr>
                    <w:sdtContent>
                      <w:r>
                        <w:rPr>
                          <w:iCs/>
                          <w:szCs w:val="24"/>
                        </w:rPr>
                        <w:t>126</w:t>
                      </w:r>
                    </w:sdtContent>
                  </w:sdt>
                  <w:r>
                    <w:rPr>
                      <w:iCs/>
                      <w:szCs w:val="24"/>
                    </w:rPr>
                    <w:t xml:space="preserve">. </w:t>
                  </w:r>
                  <w:r>
                    <w:rPr>
                      <w:szCs w:val="24"/>
                    </w:rPr>
                    <w:t>Jei visuomeninės elektros energijos kainos viršutinės ribos buvo nustatytos atskirai pažeidžiamiems vartotojams ir kitiems vartotojams, Metodikos 125 punkte nurodytą informaciją arba informaciją ir pasiūlymą perskaičiuoti visuomenines elektros energijos kainas su nurodytais dokumentais visuomeninis tiekėjas pateikia pagal kiekvieną vartotojų grupę.</w:t>
                  </w:r>
                </w:p>
              </w:sdtContent>
            </w:sdt>
            <w:sdt>
              <w:sdtPr>
                <w:alias w:val="127 p."/>
                <w:tag w:val="part_b884ec24c4f846b0ac73ddb297ef8e9a"/>
                <w:lock w:val="sdtLocked"/>
                <w:richText/>
              </w:sdtPr>
              <w:sdtContent>
                <w:p>
                  <w:pPr>
                    <w:tabs>
                      <w:tab w:val="left" w:pos="1260"/>
                      <w:tab w:val="left" w:pos="1843"/>
                      <w:tab w:val="left" w:pos="2268"/>
                    </w:tabs>
                    <w:spacing w:line="252" w:lineRule="auto"/>
                    <w:ind w:right="-1" w:firstLine="680"/>
                    <w:jc w:val="both"/>
                    <w:rPr>
                      <w:szCs w:val="24"/>
                    </w:rPr>
                  </w:pPr>
                  <w:sdt>
                    <w:sdtPr>
                      <w:alias w:val="Numeris"/>
                      <w:tag w:val="nr_b884ec24c4f846b0ac73ddb297ef8e9a"/>
                      <w:lock w:val="sdtLocked"/>
                      <w:richText/>
                    </w:sdtPr>
                    <w:sdtContent>
                      <w:r>
                        <w:rPr>
                          <w:iCs/>
                          <w:szCs w:val="24"/>
                        </w:rPr>
                        <w:t>127</w:t>
                      </w:r>
                    </w:sdtContent>
                  </w:sdt>
                  <w:r>
                    <w:rPr>
                      <w:iCs/>
                      <w:szCs w:val="24"/>
                    </w:rPr>
                    <w:t xml:space="preserve">. </w:t>
                  </w:r>
                  <w:r>
                    <w:rPr>
                      <w:szCs w:val="24"/>
                    </w:rPr>
                    <w:t>Taryba visuomenines elektros energijos kainas gali perskaičiuoti vienašališkai Elektros energetikos įstatymo 69 straipsnio 8 dalyje nustatytais atvejais ir terminais.</w:t>
                  </w:r>
                </w:p>
              </w:sdtContent>
            </w:sdt>
            <w:sdt>
              <w:sdtPr>
                <w:alias w:val="128 p."/>
                <w:tag w:val="part_8abc6eddf9d64b59861da3d16a831e0d"/>
                <w:lock w:val="sdtLocked"/>
                <w:richText/>
              </w:sdtPr>
              <w:sdtContent>
                <w:p>
                  <w:pPr>
                    <w:spacing w:line="252" w:lineRule="auto"/>
                    <w:ind w:firstLine="680"/>
                    <w:jc w:val="both"/>
                    <w:rPr>
                      <w:szCs w:val="24"/>
                      <w:lang w:eastAsia="lt-LT"/>
                    </w:rPr>
                  </w:pPr>
                  <w:sdt>
                    <w:sdtPr>
                      <w:alias w:val="Numeris"/>
                      <w:tag w:val="nr_8abc6eddf9d64b59861da3d16a831e0d"/>
                      <w:lock w:val="sdtLocked"/>
                      <w:richText/>
                    </w:sdtPr>
                    <w:sdtContent>
                      <w:r>
                        <w:rPr>
                          <w:iCs/>
                          <w:szCs w:val="24"/>
                          <w:lang w:eastAsia="lt-LT"/>
                        </w:rPr>
                        <w:t>128</w:t>
                      </w:r>
                    </w:sdtContent>
                  </w:sdt>
                  <w:r>
                    <w:rPr>
                      <w:iCs/>
                      <w:szCs w:val="24"/>
                      <w:lang w:eastAsia="lt-LT"/>
                    </w:rPr>
                    <w:t xml:space="preserve">. </w:t>
                  </w:r>
                  <w:r>
                    <w:rPr>
                      <w:szCs w:val="24"/>
                      <w:lang w:eastAsia="lt-LT"/>
                    </w:rPr>
                    <w:t xml:space="preserve">Visuomeninio tiekėjo visuomeninės elektros energijos kainos viršutinėje riboje taikytų ir faktinių elektros energijos skirstymo paslaugų VĮ ir ŽĮ tinkluose kainų skirtumas, vienam visuomeniniam tiekėjui veikiant kelių STO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ind w:firstLine="124"/>
                    <w:jc w:val="center"/>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w:t>
                  </w:r>
                  <w:r>
                    <w:rPr>
                      <w:szCs w:val="24"/>
                      <w:lang w:val="en-US" w:eastAsia="lt-LT"/>
                    </w:rPr>
                    <w:t>9</w:t>
                  </w:r>
                  <w:r>
                    <w:rPr>
                      <w:szCs w:val="24"/>
                      <w:lang w:eastAsia="lt-LT"/>
                    </w:rPr>
                    <w:t>)</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buitiniams vartotojams taikytų ir faktinių elektros energijos skirstymo paslaugų VĮ ir ŽĮ tinkluose kainų skirtumas, vienam visuomeniniam tiekėjui veikiant kelių STO licencijuojamos veiklos teritorijose,</w:t>
                  </w:r>
                  <w:r>
                    <w:rPr>
                      <w:szCs w:val="24"/>
                    </w:rPr>
                    <w:t xml:space="preserve"> </w:t>
                  </w:r>
                  <w:r>
                    <w:rPr>
                      <w:szCs w:val="24"/>
                      <w:lang w:eastAsia="lt-LT"/>
                    </w:rPr>
                    <w:t>EUR/kWh;</w:t>
                  </w:r>
                </w:p>
                <w:p>
                  <w:pPr>
                    <w:spacing w:line="252" w:lineRule="auto"/>
                    <w:ind w:firstLine="709"/>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STO, kurio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STO, kurio elektros energijos skirstymo paslaugos ŽĮ tinklais kaina </w:t>
                  </w:r>
                  <w:r>
                    <w:rPr>
                      <w:i/>
                      <w:szCs w:val="24"/>
                      <w:lang w:eastAsia="lt-LT"/>
                    </w:rPr>
                    <w:t>t</w:t>
                  </w:r>
                  <w:r>
                    <w:rPr>
                      <w:szCs w:val="24"/>
                      <w:lang w:eastAsia="lt-LT"/>
                    </w:rPr>
                    <w:t>-2 buvo taikyta visiems visuomeninio tiekėjo licencijuojamos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STO, kurio elektros energijos skirstymo paslaugos VĮ tinklais kaina </w:t>
                  </w:r>
                  <w:r>
                    <w:rPr>
                      <w:i/>
                      <w:szCs w:val="24"/>
                      <w:lang w:eastAsia="lt-LT"/>
                    </w:rPr>
                    <w:t>t</w:t>
                  </w:r>
                  <w:r>
                    <w:rPr>
                      <w:szCs w:val="24"/>
                      <w:lang w:eastAsia="lt-LT"/>
                    </w:rPr>
                    <w:t>-2 metais nebuvo taikyta jo licencijuojamoje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w:t>
                  </w:r>
                  <w:r>
                    <w:rPr>
                      <w:i/>
                      <w:szCs w:val="24"/>
                      <w:lang w:eastAsia="lt-LT"/>
                    </w:rPr>
                    <w:t>i</w:t>
                  </w:r>
                  <w:r>
                    <w:rPr>
                      <w:szCs w:val="24"/>
                      <w:lang w:eastAsia="lt-LT"/>
                    </w:rPr>
                    <w:t xml:space="preserve">-tojo STO,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w:t>
                  </w:r>
                </w:p>
                <w:p>
                  <w:pPr>
                    <w:spacing w:line="252" w:lineRule="auto"/>
                    <w:ind w:firstLine="709"/>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buitiniams vartotojams </w:t>
                  </w:r>
                  <w:r>
                    <w:rPr>
                      <w:i/>
                      <w:szCs w:val="24"/>
                      <w:lang w:eastAsia="lt-LT"/>
                    </w:rPr>
                    <w:t>t</w:t>
                  </w:r>
                  <w:r>
                    <w:rPr>
                      <w:szCs w:val="24"/>
                      <w:lang w:eastAsia="lt-LT"/>
                    </w:rPr>
                    <w:t xml:space="preserve"> metais, kWh;</w:t>
                  </w:r>
                </w:p>
                <w:p>
                  <w:pPr>
                    <w:spacing w:line="252" w:lineRule="auto"/>
                    <w:ind w:firstLine="709"/>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VĮ tinklų, faktiškai parduotas elektros energijos kiekis, kWh;</w:t>
                  </w:r>
                </w:p>
                <w:p>
                  <w:pPr>
                    <w:spacing w:line="252" w:lineRule="auto"/>
                    <w:ind w:firstLine="709"/>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ŽĮ tinklų, faktiškai parduotas elektros energijos kiekis, kWh;</w:t>
                  </w:r>
                </w:p>
                <w:p>
                  <w:pPr>
                    <w:spacing w:line="252" w:lineRule="auto"/>
                    <w:ind w:firstLine="709"/>
                    <w:jc w:val="both"/>
                    <w:rPr>
                      <w:szCs w:val="24"/>
                    </w:rPr>
                  </w:pPr>
                  <w:r>
                    <w:rPr>
                      <w:i/>
                      <w:szCs w:val="24"/>
                      <w:lang w:eastAsia="lt-LT"/>
                    </w:rPr>
                    <w:t>n</w:t>
                  </w:r>
                  <w:r>
                    <w:rPr>
                      <w:szCs w:val="24"/>
                      <w:lang w:eastAsia="lt-LT"/>
                    </w:rPr>
                    <w:t xml:space="preserve"> – STO, kurių licencijuojamos veiklos teritorijoje esantiems buitiniams vartotojams visuomeninės elektros energijos kainos viršutinėje riboje buvo taikytos kito STO elektros energijos skirstymo paslaugos VĮ ir ŽĮ tinklais kainos, skaičius.</w:t>
                  </w:r>
                  <w:r>
                    <w:rPr>
                      <w:szCs w:val="24"/>
                    </w:rPr>
                    <w:t xml:space="preserve"> </w:t>
                  </w:r>
                </w:p>
              </w:sdtContent>
            </w:sdt>
            <w:sdt>
              <w:sdtPr>
                <w:alias w:val="129 p."/>
                <w:tag w:val="part_425caa5715624a63a87a669677d718a7"/>
                <w:lock w:val="sdtLocked"/>
                <w:richText/>
              </w:sdtPr>
              <w:sdtContent>
                <w:p>
                  <w:pPr>
                    <w:spacing w:line="252" w:lineRule="auto"/>
                    <w:ind w:right="-1" w:firstLine="709"/>
                    <w:jc w:val="both"/>
                    <w:rPr>
                      <w:szCs w:val="24"/>
                      <w:lang w:eastAsia="lt-LT"/>
                    </w:rPr>
                  </w:pPr>
                  <w:sdt>
                    <w:sdtPr>
                      <w:alias w:val="Numeris"/>
                      <w:tag w:val="nr_425caa5715624a63a87a669677d718a7"/>
                      <w:lock w:val="sdtLocked"/>
                      <w:richText/>
                    </w:sdtPr>
                    <w:sdtContent>
                      <w:r>
                        <w:rPr>
                          <w:iCs/>
                          <w:szCs w:val="24"/>
                          <w:lang w:eastAsia="lt-LT"/>
                        </w:rPr>
                        <w:t>129</w:t>
                      </w:r>
                    </w:sdtContent>
                  </w:sdt>
                  <w:r>
                    <w:rPr>
                      <w:iCs/>
                      <w:szCs w:val="24"/>
                      <w:lang w:eastAsia="lt-LT"/>
                    </w:rPr>
                    <w:t xml:space="preserve">. </w:t>
                  </w:r>
                  <w:r>
                    <w:rPr>
                      <w:szCs w:val="24"/>
                      <w:lang w:eastAsia="lt-LT"/>
                    </w:rPr>
                    <w:t xml:space="preserve">Tarybos sprendimu įvertinamas faktinių elektros energijos įsigijimo ir prognozuotų elektros energijos įsigijimo sąnaudų skirtumas, susidaręs </w:t>
                  </w:r>
                  <w:r>
                    <w:rPr>
                      <w:i/>
                      <w:szCs w:val="24"/>
                      <w:lang w:eastAsia="lt-LT"/>
                    </w:rPr>
                    <w:t>t</w:t>
                  </w:r>
                  <w:r>
                    <w:rPr>
                      <w:szCs w:val="24"/>
                      <w:lang w:eastAsia="lt-LT"/>
                    </w:rPr>
                    <w:t xml:space="preserve">-2 metų spalio 1 d. – </w:t>
                  </w:r>
                  <w:r>
                    <w:br/>
                  </w:r>
                  <w:r>
                    <w:rPr>
                      <w:i/>
                      <w:szCs w:val="24"/>
                      <w:lang w:eastAsia="lt-LT"/>
                    </w:rPr>
                    <w:t>t</w:t>
                  </w:r>
                  <w:r>
                    <w:rPr>
                      <w:szCs w:val="24"/>
                      <w:lang w:eastAsia="lt-LT"/>
                    </w:rPr>
                    <w:t xml:space="preserve">-1 rugsėjo 30  d. laikotarpiu, kai nustatoma </w:t>
                  </w:r>
                  <w:r>
                    <w:rPr>
                      <w:szCs w:val="24"/>
                    </w:rPr>
                    <w:t xml:space="preserve">papildoma dedamoji prie buitiniams vartotojams </w:t>
                  </w:r>
                  <w:r>
                    <w:rPr>
                      <w:i/>
                      <w:iCs/>
                      <w:szCs w:val="24"/>
                    </w:rPr>
                    <w:t>t</w:t>
                  </w:r>
                  <w:r>
                    <w:rPr>
                      <w:szCs w:val="24"/>
                    </w:rPr>
                    <w:t xml:space="preserve"> metų skirstymo paslaugos kainos</w:t>
                  </w:r>
                  <w:r>
                    <w:rPr>
                      <w:szCs w:val="24"/>
                      <w:lang w:eastAsia="lt-LT"/>
                    </w:rPr>
                    <w:t>, ir apskaičiuojamas pagal formulę:</w:t>
                  </w:r>
                </w:p>
                <w:p>
                  <w:pPr>
                    <w:spacing w:line="252" w:lineRule="auto"/>
                    <w:ind w:right="-1"/>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r>
                      <w:rPr>
                        <w:rFonts w:ascii="Cambria Math" w:hAnsi="Cambria Math"/>
                        <w:szCs w:val="24"/>
                        <w:lang w:eastAsia="lt-LT"/>
                      </w:rPr>
                      <m:t xml:space="preserve"> </m:t>
                    </m:r>
                  </m:oMath>
                  <w:r>
                    <w:rPr>
                      <w:szCs w:val="24"/>
                      <w:lang w:eastAsia="lt-LT"/>
                    </w:rPr>
                    <w:t>(</w:t>
                  </w:r>
                  <w:r>
                    <w:rPr>
                      <w:szCs w:val="24"/>
                      <w:lang w:val="en-US" w:eastAsia="lt-LT"/>
                    </w:rPr>
                    <w:t>80</w:t>
                  </w:r>
                  <w:r>
                    <w:rPr>
                      <w:szCs w:val="24"/>
                      <w:lang w:eastAsia="lt-LT"/>
                    </w:rPr>
                    <w:t>)</w:t>
                  </w:r>
                </w:p>
                <w:p>
                  <w:pPr>
                    <w:spacing w:line="252" w:lineRule="auto"/>
                    <w:ind w:firstLine="709"/>
                    <w:rPr>
                      <w:szCs w:val="24"/>
                    </w:rPr>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30 p."/>
                <w:tag w:val="part_e34b6a4f812440cbb6e0d2d4c954dedd"/>
                <w:lock w:val="sdtLocked"/>
                <w:richText/>
              </w:sdtPr>
              <w:sdtContent>
                <w:p>
                  <w:pPr>
                    <w:spacing w:line="252" w:lineRule="auto"/>
                    <w:ind w:right="-1" w:firstLine="709"/>
                    <w:jc w:val="both"/>
                    <w:rPr>
                      <w:szCs w:val="24"/>
                      <w:lang w:eastAsia="lt-LT"/>
                    </w:rPr>
                  </w:pPr>
                  <w:sdt>
                    <w:sdtPr>
                      <w:alias w:val="Numeris"/>
                      <w:tag w:val="nr_e34b6a4f812440cbb6e0d2d4c954dedd"/>
                      <w:lock w:val="sdtLocked"/>
                      <w:richText/>
                    </w:sdtPr>
                    <w:sdtContent>
                      <w:r>
                        <w:rPr>
                          <w:iCs/>
                          <w:szCs w:val="24"/>
                          <w:lang w:eastAsia="lt-LT"/>
                        </w:rPr>
                        <w:t>130</w:t>
                      </w:r>
                    </w:sdtContent>
                  </w:sdt>
                  <w:r>
                    <w:rPr>
                      <w:iCs/>
                      <w:szCs w:val="24"/>
                      <w:lang w:eastAsia="lt-LT"/>
                    </w:rPr>
                    <w:t xml:space="preserve">. </w:t>
                  </w:r>
                  <w:r>
                    <w:rPr>
                      <w:szCs w:val="24"/>
                      <w:lang w:eastAsia="lt-LT"/>
                    </w:rPr>
                    <w:t xml:space="preserve">Tarybos sprendimu įvertinamas visuomeninio tiekėjo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szCs w:val="24"/>
                      <w:lang w:eastAsia="lt-LT"/>
                    </w:rPr>
                    <w:t xml:space="preserve">-1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firstLine="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l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 xml:space="preserve">vt,pl  </m:t>
                        </m:r>
                      </m:sub>
                    </m:sSub>
                  </m:oMath>
                  <w:r>
                    <w:rPr>
                      <w:szCs w:val="24"/>
                      <w:lang w:eastAsia="lt-LT"/>
                    </w:rPr>
                    <w:t>(81)</w:t>
                  </w:r>
                </w:p>
                <w:p>
                  <w:pPr>
                    <w:spacing w:line="252" w:lineRule="auto"/>
                    <w:rPr>
                      <w:szCs w:val="24"/>
                    </w:rPr>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1 kWh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už likusį laikotarpį, kuriam galioja nustatyti einamųjų metų visuomeninės elektros energijos tarifai, prognozuojama</w:t>
                  </w:r>
                  <w:r>
                    <w:t xml:space="preserve"> </w:t>
                  </w:r>
                  <w:r>
                    <w:rPr>
                      <w:szCs w:val="24"/>
                      <w:lang w:eastAsia="lt-LT"/>
                    </w:rPr>
                    <w:t>1 kWh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31 p."/>
                <w:tag w:val="part_d7d1cedf5748460a8c770fa512a58690"/>
                <w:lock w:val="sdtLocked"/>
                <w:richText/>
              </w:sdtPr>
              <w:sdtContent>
                <w:p>
                  <w:pPr>
                    <w:tabs>
                      <w:tab w:val="left" w:pos="1260"/>
                      <w:tab w:val="left" w:pos="1843"/>
                      <w:tab w:val="left" w:pos="2268"/>
                    </w:tabs>
                    <w:spacing w:line="252" w:lineRule="auto"/>
                    <w:ind w:firstLine="709"/>
                    <w:jc w:val="both"/>
                    <w:rPr>
                      <w:szCs w:val="24"/>
                    </w:rPr>
                  </w:pPr>
                  <w:sdt>
                    <w:sdtPr>
                      <w:alias w:val="Numeris"/>
                      <w:tag w:val="nr_d7d1cedf5748460a8c770fa512a58690"/>
                      <w:lock w:val="sdtLocked"/>
                      <w:richText/>
                    </w:sdtPr>
                    <w:sdtContent>
                      <w:r>
                        <w:rPr>
                          <w:szCs w:val="24"/>
                        </w:rPr>
                        <w:t>131</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2 p."/>
                <w:tag w:val="part_bf389bf366a34087b7302be392c05d97"/>
                <w:lock w:val="sdtLocked"/>
                <w:richText/>
              </w:sdtPr>
              <w:sdtContent>
                <w:p>
                  <w:pPr>
                    <w:tabs>
                      <w:tab w:val="left" w:pos="1260"/>
                      <w:tab w:val="left" w:pos="1843"/>
                      <w:tab w:val="left" w:pos="2268"/>
                    </w:tabs>
                    <w:spacing w:line="252" w:lineRule="auto"/>
                    <w:ind w:firstLine="709"/>
                    <w:jc w:val="both"/>
                    <w:rPr>
                      <w:szCs w:val="24"/>
                    </w:rPr>
                  </w:pPr>
                  <w:sdt>
                    <w:sdtPr>
                      <w:alias w:val="Numeris"/>
                      <w:tag w:val="nr_bf389bf366a34087b7302be392c05d97"/>
                      <w:lock w:val="sdtLocked"/>
                      <w:richText/>
                    </w:sdtPr>
                    <w:sdtContent>
                      <w:r>
                        <w:rPr>
                          <w:szCs w:val="24"/>
                        </w:rPr>
                        <w:t>132</w:t>
                      </w:r>
                    </w:sdtContent>
                  </w:sdt>
                  <w:r>
                    <w:rPr>
                      <w:szCs w:val="24"/>
                    </w:rPr>
                    <w:t>. PSO ir STO nustato elektros energijos perdavimo ir skirstymo kainas, neviršijančias jiems nustatytų kainų viršutinių ribų.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3 p."/>
                <w:tag w:val="part_b7d19f68ea824714ad99dc23f194cbc6"/>
                <w:lock w:val="sdtLocked"/>
                <w:richText/>
              </w:sdtPr>
              <w:sdtContent>
                <w:p>
                  <w:pPr>
                    <w:tabs>
                      <w:tab w:val="left" w:pos="1260"/>
                      <w:tab w:val="left" w:pos="1843"/>
                      <w:tab w:val="left" w:pos="2268"/>
                    </w:tabs>
                    <w:spacing w:line="252" w:lineRule="auto"/>
                    <w:ind w:firstLine="709"/>
                    <w:jc w:val="both"/>
                  </w:pPr>
                  <w:sdt>
                    <w:sdtPr>
                      <w:alias w:val="Numeris"/>
                      <w:tag w:val="nr_b7d19f68ea824714ad99dc23f194cbc6"/>
                      <w:lock w:val="sdtLocked"/>
                      <w:richText/>
                    </w:sdtPr>
                    <w:sdtContent>
                      <w:r>
                        <w:t>133</w:t>
                      </w:r>
                    </w:sdtContent>
                  </w:sdt>
                  <w:r>
                    <w:t xml:space="preserve">. Visuomeninę elektros energijos kainą ir tarifus apskaičiuoja ir nustato visuomeninis tiekėjas 6 kalendoriniams mėnesiams, kurios perskaičiuojamos, jeigu Taryba nustato naujas visuomeninės elektros energijos kainų viršutines ribas, bet ne dažniau nei kartą per kalendorinių metų ketvirtį. Jei Taryba nustato visuomeninės elektros energijos kainos viršutines ribas atskirai pažeidžiamiems vartotojams ir kitiems vartotojams, tai visuomeninis tiekėjas visuomenines elektros energijos kainas ir tarifus apskaičiuoja ir nustato atskirai pažeidžiamiems vartotojams ir kitiems vartotojams, neviršijant atitinkamos grupės vartotojams Tarybos nustatytų visuomeninės elektros energijos kainų viršutinių ribų.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4 p."/>
                <w:tag w:val="part_29473eaa0e2649d0a5b7d36a03cca858"/>
                <w:lock w:val="sdtLocked"/>
                <w:richText/>
              </w:sdtPr>
              <w:sdtContent>
                <w:p>
                  <w:pPr>
                    <w:tabs>
                      <w:tab w:val="left" w:pos="1260"/>
                      <w:tab w:val="left" w:pos="1843"/>
                      <w:tab w:val="left" w:pos="2268"/>
                    </w:tabs>
                    <w:spacing w:line="252" w:lineRule="auto"/>
                    <w:ind w:firstLine="709"/>
                    <w:jc w:val="both"/>
                    <w:rPr>
                      <w:szCs w:val="24"/>
                    </w:rPr>
                  </w:pPr>
                  <w:sdt>
                    <w:sdtPr>
                      <w:alias w:val="Numeris"/>
                      <w:tag w:val="nr_29473eaa0e2649d0a5b7d36a03cca858"/>
                      <w:lock w:val="sdtLocked"/>
                      <w:richText/>
                    </w:sdtPr>
                    <w:sdtContent>
                      <w:r>
                        <w:rPr>
                          <w:szCs w:val="24"/>
                        </w:rPr>
                        <w:t>134</w:t>
                      </w:r>
                    </w:sdtContent>
                  </w:sdt>
                  <w:r>
                    <w:rPr>
                      <w:szCs w:val="24"/>
                    </w:rPr>
                    <w:t>. Reguliuojamų paslaugų kainų viršutinėms riboms nustatyti Įmonė iki rugsėjo 1 d.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
                  <w:sdtPr>
                    <w:alias w:val="134.1 pp."/>
                    <w:tag w:val="part_2e8b43c24e5c48d9b3c8243fc9b75ee0"/>
                    <w:lock w:val="sdtLocked"/>
                    <w:richText/>
                  </w:sdtPr>
                  <w:sdtContent>
                    <w:p>
                      <w:pPr>
                        <w:tabs>
                          <w:tab w:val="left" w:pos="1440"/>
                          <w:tab w:val="left" w:pos="1843"/>
                          <w:tab w:val="left" w:pos="2268"/>
                        </w:tabs>
                        <w:spacing w:line="252" w:lineRule="auto"/>
                        <w:ind w:firstLine="709"/>
                        <w:jc w:val="both"/>
                        <w:rPr>
                          <w:szCs w:val="24"/>
                        </w:rPr>
                      </w:pPr>
                      <w:sdt>
                        <w:sdtPr>
                          <w:alias w:val="Numeris"/>
                          <w:tag w:val="nr_2e8b43c24e5c48d9b3c8243fc9b75ee0"/>
                          <w:lock w:val="sdtLocked"/>
                          <w:richText/>
                        </w:sdtPr>
                        <w:sdtContent>
                          <w:r>
                            <w:rPr>
                              <w:szCs w:val="24"/>
                            </w:rPr>
                            <w:t>134.1</w:t>
                          </w:r>
                        </w:sdtContent>
                      </w:sdt>
                      <w:r>
                        <w:rPr>
                          <w:szCs w:val="24"/>
                        </w:rPr>
                        <w:t>. PSO:</w:t>
                      </w:r>
                    </w:p>
                    <w:sdt>
                      <w:sdtPr>
                        <w:alias w:val="134.1.1 pp."/>
                        <w:tag w:val="part_85026ddc745e4ac4ae4589da79571fc4"/>
                        <w:lock w:val="sdtLocked"/>
                        <w:richText/>
                      </w:sdtPr>
                      <w:sdtContent>
                        <w:p>
                          <w:pPr>
                            <w:tabs>
                              <w:tab w:val="left" w:pos="1620"/>
                              <w:tab w:val="left" w:pos="1843"/>
                              <w:tab w:val="left" w:pos="2268"/>
                            </w:tabs>
                            <w:spacing w:line="252" w:lineRule="auto"/>
                            <w:ind w:firstLine="709"/>
                            <w:jc w:val="both"/>
                            <w:rPr>
                              <w:szCs w:val="24"/>
                            </w:rPr>
                          </w:pPr>
                          <w:sdt>
                            <w:sdtPr>
                              <w:alias w:val="Numeris"/>
                              <w:tag w:val="nr_85026ddc745e4ac4ae4589da79571fc4"/>
                              <w:lock w:val="sdtLocked"/>
                              <w:richText/>
                            </w:sdtPr>
                            <w:sdtContent>
                              <w:r>
                                <w:rPr>
                                  <w:szCs w:val="24"/>
                                </w:rPr>
                                <w:t>134.1.1</w:t>
                              </w:r>
                            </w:sdtContent>
                          </w:sdt>
                          <w:r>
                            <w:rPr>
                              <w:szCs w:val="24"/>
                            </w:rPr>
                            <w:t>. duomenų suvestinę kainos viršutinei ribai nustatyti (Metodikos 1 priedas);</w:t>
                          </w:r>
                        </w:p>
                      </w:sdtContent>
                    </w:sdt>
                    <w:sdt>
                      <w:sdtPr>
                        <w:alias w:val="134.1.2 pp."/>
                        <w:tag w:val="part_ad69f468ecb840c390d8c59d223e37d0"/>
                        <w:lock w:val="sdtLocked"/>
                        <w:richText/>
                      </w:sdtPr>
                      <w:sdtContent>
                        <w:p>
                          <w:pPr>
                            <w:tabs>
                              <w:tab w:val="left" w:pos="1620"/>
                              <w:tab w:val="left" w:pos="1843"/>
                              <w:tab w:val="left" w:pos="2268"/>
                            </w:tabs>
                            <w:spacing w:line="252" w:lineRule="auto"/>
                            <w:ind w:firstLine="709"/>
                            <w:jc w:val="both"/>
                            <w:rPr>
                              <w:szCs w:val="24"/>
                            </w:rPr>
                          </w:pPr>
                          <w:sdt>
                            <w:sdtPr>
                              <w:alias w:val="Numeris"/>
                              <w:tag w:val="nr_ad69f468ecb840c390d8c59d223e37d0"/>
                              <w:lock w:val="sdtLocked"/>
                              <w:richText/>
                            </w:sdtPr>
                            <w:sdtContent>
                              <w:r>
                                <w:rPr>
                                  <w:szCs w:val="24"/>
                                </w:rPr>
                                <w:t>134.1.2</w:t>
                              </w:r>
                            </w:sdtContent>
                          </w:sdt>
                          <w:r>
                            <w:rPr>
                              <w:szCs w:val="24"/>
                            </w:rPr>
                            <w:t>. veiklai naudojamo turto vertės skaičiavimo lentelę, atskirai nurodant visų teikiamų paslaugų duomenis (Metodikos 2 priedas);</w:t>
                          </w:r>
                        </w:p>
                      </w:sdtContent>
                    </w:sdt>
                    <w:sdt>
                      <w:sdtPr>
                        <w:alias w:val="134.1.3 pp."/>
                        <w:tag w:val="part_b8928614525d46768b588530ac5889ca"/>
                        <w:lock w:val="sdtLocked"/>
                        <w:richText/>
                      </w:sdtPr>
                      <w:sdtContent>
                        <w:p>
                          <w:pPr>
                            <w:tabs>
                              <w:tab w:val="left" w:pos="1620"/>
                              <w:tab w:val="left" w:pos="1843"/>
                              <w:tab w:val="left" w:pos="2268"/>
                            </w:tabs>
                            <w:spacing w:line="252" w:lineRule="auto"/>
                            <w:ind w:firstLine="709"/>
                            <w:jc w:val="both"/>
                            <w:rPr>
                              <w:szCs w:val="24"/>
                            </w:rPr>
                          </w:pPr>
                          <w:sdt>
                            <w:sdtPr>
                              <w:alias w:val="Numeris"/>
                              <w:tag w:val="nr_b8928614525d46768b588530ac5889ca"/>
                              <w:lock w:val="sdtLocked"/>
                              <w:richText/>
                            </w:sdtPr>
                            <w:sdtContent>
                              <w:r>
                                <w:rPr>
                                  <w:szCs w:val="24"/>
                                </w:rPr>
                                <w:t>134.1.3</w:t>
                              </w:r>
                            </w:sdtContent>
                          </w:sdt>
                          <w:r>
                            <w:rPr>
                              <w:szCs w:val="24"/>
                            </w:rPr>
                            <w:t>. ilgalaikės reguliuojamos veiklos programos lentelę (Metodikos 3 priedas);</w:t>
                          </w:r>
                        </w:p>
                      </w:sdtContent>
                    </w:sdt>
                    <w:sdt>
                      <w:sdtPr>
                        <w:alias w:val="134.1.4 pp."/>
                        <w:tag w:val="part_46d736119bf244428193f6a4ec42a080"/>
                        <w:lock w:val="sdtLocked"/>
                        <w:richText/>
                      </w:sdtPr>
                      <w:sdtContent>
                        <w:p>
                          <w:pPr>
                            <w:tabs>
                              <w:tab w:val="left" w:pos="1620"/>
                              <w:tab w:val="left" w:pos="1843"/>
                              <w:tab w:val="left" w:pos="2268"/>
                            </w:tabs>
                            <w:spacing w:line="252" w:lineRule="auto"/>
                            <w:ind w:firstLine="709"/>
                            <w:jc w:val="both"/>
                            <w:rPr>
                              <w:szCs w:val="24"/>
                            </w:rPr>
                          </w:pPr>
                          <w:sdt>
                            <w:sdtPr>
                              <w:alias w:val="Numeris"/>
                              <w:tag w:val="nr_46d736119bf244428193f6a4ec42a080"/>
                              <w:lock w:val="sdtLocked"/>
                              <w:richText/>
                            </w:sdtPr>
                            <w:sdtContent>
                              <w:r>
                                <w:rPr>
                                  <w:szCs w:val="24"/>
                                </w:rPr>
                                <w:t>134.1.4</w:t>
                              </w:r>
                            </w:sdtContent>
                          </w:sdt>
                          <w:r>
                            <w:rPr>
                              <w:szCs w:val="24"/>
                            </w:rPr>
                            <w:t>. valdomo turto priežiūros ir eksploatavimo planą (Metodikos 4 priedas);</w:t>
                          </w:r>
                        </w:p>
                      </w:sdtContent>
                    </w:sdt>
                    <w:sdt>
                      <w:sdtPr>
                        <w:alias w:val="134.1.5 pp."/>
                        <w:tag w:val="part_1817368eb3c045e986c84bb7bbc3b4bb"/>
                        <w:lock w:val="sdtLocked"/>
                        <w:richText/>
                      </w:sdtPr>
                      <w:sdtContent>
                        <w:p>
                          <w:pPr>
                            <w:tabs>
                              <w:tab w:val="left" w:pos="1620"/>
                              <w:tab w:val="left" w:pos="1843"/>
                              <w:tab w:val="left" w:pos="2268"/>
                            </w:tabs>
                            <w:spacing w:line="252" w:lineRule="auto"/>
                            <w:ind w:firstLine="709"/>
                            <w:jc w:val="both"/>
                            <w:rPr>
                              <w:szCs w:val="24"/>
                            </w:rPr>
                          </w:pPr>
                          <w:sdt>
                            <w:sdtPr>
                              <w:alias w:val="Numeris"/>
                              <w:tag w:val="nr_1817368eb3c045e986c84bb7bbc3b4bb"/>
                              <w:lock w:val="sdtLocked"/>
                              <w:richText/>
                            </w:sdtPr>
                            <w:sdtContent>
                              <w:r>
                                <w:rPr>
                                  <w:szCs w:val="24"/>
                                </w:rPr>
                                <w:t>134.1.5</w:t>
                              </w:r>
                            </w:sdtContent>
                          </w:sdt>
                          <w:r>
                            <w:rPr>
                              <w:szCs w:val="24"/>
                            </w:rPr>
                            <w:t>. efektyvumo rodiklius (Metodikos 6 priedas);</w:t>
                          </w:r>
                        </w:p>
                      </w:sdtContent>
                    </w:sdt>
                    <w:sdt>
                      <w:sdtPr>
                        <w:alias w:val="134.1.6 pp."/>
                        <w:tag w:val="part_43c4cb09adcc477d8d3ab07df3b11258"/>
                        <w:lock w:val="sdtLocked"/>
                        <w:richText/>
                      </w:sdtPr>
                      <w:sdtContent>
                        <w:p>
                          <w:pPr>
                            <w:tabs>
                              <w:tab w:val="left" w:pos="1620"/>
                              <w:tab w:val="left" w:pos="1843"/>
                              <w:tab w:val="left" w:pos="2268"/>
                            </w:tabs>
                            <w:spacing w:line="252" w:lineRule="auto"/>
                            <w:ind w:firstLine="709"/>
                            <w:jc w:val="both"/>
                            <w:rPr>
                              <w:szCs w:val="24"/>
                            </w:rPr>
                          </w:pPr>
                          <w:sdt>
                            <w:sdtPr>
                              <w:alias w:val="Numeris"/>
                              <w:tag w:val="nr_43c4cb09adcc477d8d3ab07df3b11258"/>
                              <w:lock w:val="sdtLocked"/>
                              <w:richText/>
                            </w:sdtPr>
                            <w:sdtContent>
                              <w:r>
                                <w:rPr>
                                  <w:szCs w:val="24"/>
                                </w:rPr>
                                <w:t>134.1.6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34.1.7 pp."/>
                        <w:tag w:val="part_6b7cf948732041e6b62db3cecb65ce27"/>
                        <w:lock w:val="sdtLocked"/>
                        <w:richText/>
                      </w:sdtPr>
                      <w:sdtContent>
                        <w:p>
                          <w:pPr>
                            <w:tabs>
                              <w:tab w:val="left" w:pos="1134"/>
                            </w:tabs>
                            <w:spacing w:line="252" w:lineRule="auto"/>
                            <w:ind w:firstLine="709"/>
                            <w:jc w:val="both"/>
                            <w:rPr>
                              <w:szCs w:val="24"/>
                            </w:rPr>
                          </w:pPr>
                          <w:sdt>
                            <w:sdtPr>
                              <w:alias w:val="Numeris"/>
                              <w:tag w:val="nr_6b7cf948732041e6b62db3cecb65ce27"/>
                              <w:lock w:val="sdtLocked"/>
                              <w:richText/>
                            </w:sdtPr>
                            <w:sdtContent>
                              <w:r>
                                <w:rPr>
                                  <w:szCs w:val="24"/>
                                </w:rPr>
                                <w:t>134.1.7</w:t>
                              </w:r>
                            </w:sdtContent>
                          </w:sdt>
                          <w:r>
                            <w:rPr>
                              <w:szCs w:val="24"/>
                            </w:rPr>
                            <w:t xml:space="preserve">. aiškinamąjį raštą, kuriame nurodomas detalus pateiktų duomenų pagrindimas ir įrodymai dėl veiklos efektyvumo gautų sutaupymų; </w:t>
                          </w:r>
                        </w:p>
                      </w:sdtContent>
                    </w:sdt>
                  </w:sdtContent>
                </w:sdt>
                <w:sdt>
                  <w:sdtPr>
                    <w:alias w:val="134.2 pp."/>
                    <w:tag w:val="part_f1504971d52c4e6ca4d112d8189fa33e"/>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f1504971d52c4e6ca4d112d8189fa33e"/>
                          <w:lock w:val="sdtLocked"/>
                          <w:richText/>
                        </w:sdtPr>
                        <w:sdtContent>
                          <w:r>
                            <w:rPr>
                              <w:szCs w:val="24"/>
                            </w:rPr>
                            <w:t>134.2</w:t>
                          </w:r>
                        </w:sdtContent>
                      </w:sdt>
                      <w:r>
                        <w:rPr>
                          <w:szCs w:val="24"/>
                        </w:rPr>
                        <w:t xml:space="preserve">. STO, </w:t>
                      </w:r>
                      <w:r>
                        <w:rPr>
                          <w:szCs w:val="24"/>
                          <w:lang w:eastAsia="lt-LT"/>
                        </w:rPr>
                        <w:t xml:space="preserve">licencijuojamoje veiklos </w:t>
                      </w:r>
                      <w:r>
                        <w:rPr>
                          <w:szCs w:val="24"/>
                        </w:rPr>
                        <w:t>teritorijoje turinčios daugiau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4.2.1 pp."/>
                        <w:tag w:val="part_86657a4c166846b3bc67a55cc80388b3"/>
                        <w:lock w:val="sdtLocked"/>
                        <w:richText/>
                      </w:sdtPr>
                      <w:sdtContent>
                        <w:p>
                          <w:pPr>
                            <w:tabs>
                              <w:tab w:val="left" w:pos="1620"/>
                              <w:tab w:val="left" w:pos="1843"/>
                              <w:tab w:val="left" w:pos="2268"/>
                            </w:tabs>
                            <w:spacing w:line="252" w:lineRule="auto"/>
                            <w:ind w:firstLine="709"/>
                            <w:jc w:val="both"/>
                            <w:rPr>
                              <w:szCs w:val="24"/>
                            </w:rPr>
                          </w:pPr>
                          <w:sdt>
                            <w:sdtPr>
                              <w:alias w:val="Numeris"/>
                              <w:tag w:val="nr_86657a4c166846b3bc67a55cc80388b3"/>
                              <w:lock w:val="sdtLocked"/>
                              <w:richText/>
                            </w:sdtPr>
                            <w:sdtContent>
                              <w:r>
                                <w:rPr>
                                  <w:szCs w:val="24"/>
                                </w:rPr>
                                <w:t>134.2.1</w:t>
                              </w:r>
                            </w:sdtContent>
                          </w:sdt>
                          <w:r>
                            <w:rPr>
                              <w:szCs w:val="24"/>
                            </w:rPr>
                            <w:t>. duomenų suvestinę kainos viršutinei ribai nustatyti (Metodikos 1 priedas);</w:t>
                          </w:r>
                        </w:p>
                      </w:sdtContent>
                    </w:sdt>
                    <w:sdt>
                      <w:sdtPr>
                        <w:alias w:val="134.2.2 pp."/>
                        <w:tag w:val="part_fe5df6cd351c4ed6ab9e0dfadf4208b2"/>
                        <w:lock w:val="sdtLocked"/>
                        <w:richText/>
                      </w:sdtPr>
                      <w:sdtContent>
                        <w:p>
                          <w:pPr>
                            <w:tabs>
                              <w:tab w:val="left" w:pos="1620"/>
                              <w:tab w:val="left" w:pos="1843"/>
                              <w:tab w:val="left" w:pos="2268"/>
                            </w:tabs>
                            <w:spacing w:line="252" w:lineRule="auto"/>
                            <w:ind w:firstLine="709"/>
                            <w:jc w:val="both"/>
                            <w:rPr>
                              <w:szCs w:val="24"/>
                            </w:rPr>
                          </w:pPr>
                          <w:sdt>
                            <w:sdtPr>
                              <w:alias w:val="Numeris"/>
                              <w:tag w:val="nr_fe5df6cd351c4ed6ab9e0dfadf4208b2"/>
                              <w:lock w:val="sdtLocked"/>
                              <w:richText/>
                            </w:sdtPr>
                            <w:sdtContent>
                              <w:r>
                                <w:rPr>
                                  <w:szCs w:val="24"/>
                                </w:rPr>
                                <w:t>134.2.2</w:t>
                              </w:r>
                            </w:sdtContent>
                          </w:sdt>
                          <w:r>
                            <w:rPr>
                              <w:szCs w:val="24"/>
                            </w:rPr>
                            <w:t>. veiklai naudojamo turto vertės skaičiavimo lentelę, atskirai nurodant visų teikiamų paslaugų duomenis (Metodikos 2 priedas);</w:t>
                          </w:r>
                        </w:p>
                      </w:sdtContent>
                    </w:sdt>
                    <w:sdt>
                      <w:sdtPr>
                        <w:alias w:val="134.2.3 pp."/>
                        <w:tag w:val="part_78cf03def6224870a9c5cd14fcd3ba5a"/>
                        <w:lock w:val="sdtLocked"/>
                        <w:richText/>
                      </w:sdtPr>
                      <w:sdtContent>
                        <w:p>
                          <w:pPr>
                            <w:tabs>
                              <w:tab w:val="left" w:pos="1620"/>
                              <w:tab w:val="left" w:pos="1843"/>
                              <w:tab w:val="left" w:pos="2268"/>
                            </w:tabs>
                            <w:spacing w:line="252" w:lineRule="auto"/>
                            <w:ind w:firstLine="709"/>
                            <w:jc w:val="both"/>
                            <w:rPr>
                              <w:szCs w:val="24"/>
                            </w:rPr>
                          </w:pPr>
                          <w:sdt>
                            <w:sdtPr>
                              <w:alias w:val="Numeris"/>
                              <w:tag w:val="nr_78cf03def6224870a9c5cd14fcd3ba5a"/>
                              <w:lock w:val="sdtLocked"/>
                              <w:richText/>
                            </w:sdtPr>
                            <w:sdtContent>
                              <w:r>
                                <w:rPr>
                                  <w:szCs w:val="24"/>
                                </w:rPr>
                                <w:t>134.2.3</w:t>
                              </w:r>
                            </w:sdtContent>
                          </w:sdt>
                          <w:r>
                            <w:rPr>
                              <w:szCs w:val="24"/>
                            </w:rPr>
                            <w:t>. ilgalaikės reguliuojamos veiklos programos lentelę (Metodikos 3 priedas);</w:t>
                          </w:r>
                        </w:p>
                      </w:sdtContent>
                    </w:sdt>
                    <w:sdt>
                      <w:sdtPr>
                        <w:alias w:val="134.2.4 pp."/>
                        <w:tag w:val="part_6f6f89530edb4a46a82f46d17c159669"/>
                        <w:lock w:val="sdtLocked"/>
                        <w:richText/>
                      </w:sdtPr>
                      <w:sdtContent>
                        <w:p>
                          <w:pPr>
                            <w:tabs>
                              <w:tab w:val="left" w:pos="1620"/>
                              <w:tab w:val="left" w:pos="1843"/>
                              <w:tab w:val="left" w:pos="2268"/>
                            </w:tabs>
                            <w:spacing w:line="252" w:lineRule="auto"/>
                            <w:ind w:firstLine="709"/>
                            <w:jc w:val="both"/>
                            <w:rPr>
                              <w:szCs w:val="24"/>
                            </w:rPr>
                          </w:pPr>
                          <w:sdt>
                            <w:sdtPr>
                              <w:alias w:val="Numeris"/>
                              <w:tag w:val="nr_6f6f89530edb4a46a82f46d17c159669"/>
                              <w:lock w:val="sdtLocked"/>
                              <w:richText/>
                            </w:sdtPr>
                            <w:sdtContent>
                              <w:r>
                                <w:rPr>
                                  <w:szCs w:val="24"/>
                                </w:rPr>
                                <w:t>134.2.4</w:t>
                              </w:r>
                            </w:sdtContent>
                          </w:sdt>
                          <w:r>
                            <w:rPr>
                              <w:szCs w:val="24"/>
                            </w:rPr>
                            <w:t>. valdomo turto priežiūros ir eksploatavimo planą (Metodikos 4 priedas);</w:t>
                          </w:r>
                        </w:p>
                      </w:sdtContent>
                    </w:sdt>
                    <w:sdt>
                      <w:sdtPr>
                        <w:alias w:val="134.2.5 pp."/>
                        <w:tag w:val="part_6f2688358adf42c5aea36025491ea269"/>
                        <w:lock w:val="sdtLocked"/>
                        <w:richText/>
                      </w:sdtPr>
                      <w:sdtContent>
                        <w:p>
                          <w:pPr>
                            <w:tabs>
                              <w:tab w:val="left" w:pos="1620"/>
                              <w:tab w:val="left" w:pos="1843"/>
                              <w:tab w:val="left" w:pos="2268"/>
                            </w:tabs>
                            <w:spacing w:line="252" w:lineRule="auto"/>
                            <w:ind w:firstLine="709"/>
                            <w:jc w:val="both"/>
                            <w:rPr>
                              <w:szCs w:val="24"/>
                            </w:rPr>
                          </w:pPr>
                          <w:sdt>
                            <w:sdtPr>
                              <w:alias w:val="Numeris"/>
                              <w:tag w:val="nr_6f2688358adf42c5aea36025491ea269"/>
                              <w:lock w:val="sdtLocked"/>
                              <w:richText/>
                            </w:sdtPr>
                            <w:sdtContent>
                              <w:r>
                                <w:rPr>
                                  <w:szCs w:val="24"/>
                                </w:rPr>
                                <w:t>134.2.5</w:t>
                              </w:r>
                            </w:sdtContent>
                          </w:sdt>
                          <w:r>
                            <w:rPr>
                              <w:szCs w:val="24"/>
                            </w:rPr>
                            <w:t>. efektyvumo rodiklius (Metodikos 7 priedas);</w:t>
                          </w:r>
                        </w:p>
                      </w:sdtContent>
                    </w:sdt>
                    <w:sdt>
                      <w:sdtPr>
                        <w:alias w:val="134.2.6 pp."/>
                        <w:tag w:val="part_67972e7fff6e47db8b0de4c79f2dc2d8"/>
                        <w:lock w:val="sdtLocked"/>
                        <w:richText/>
                      </w:sdtPr>
                      <w:sdtContent>
                        <w:p>
                          <w:pPr>
                            <w:tabs>
                              <w:tab w:val="left" w:pos="1620"/>
                              <w:tab w:val="left" w:pos="1843"/>
                              <w:tab w:val="left" w:pos="2268"/>
                            </w:tabs>
                            <w:spacing w:line="252" w:lineRule="auto"/>
                            <w:ind w:firstLine="709"/>
                            <w:jc w:val="both"/>
                            <w:rPr>
                              <w:szCs w:val="24"/>
                            </w:rPr>
                          </w:pPr>
                          <w:sdt>
                            <w:sdtPr>
                              <w:alias w:val="Numeris"/>
                              <w:tag w:val="nr_67972e7fff6e47db8b0de4c79f2dc2d8"/>
                              <w:lock w:val="sdtLocked"/>
                              <w:richText/>
                            </w:sdtPr>
                            <w:sdtContent>
                              <w:r>
                                <w:rPr>
                                  <w:szCs w:val="24"/>
                                </w:rPr>
                                <w:t>134.2.6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34.2.7 pp."/>
                        <w:tag w:val="part_823d631387aa49d5a2f60e2ea3586cf8"/>
                        <w:lock w:val="sdtLocked"/>
                        <w:richText/>
                      </w:sdtPr>
                      <w:sdtContent>
                        <w:p>
                          <w:pPr>
                            <w:tabs>
                              <w:tab w:val="left" w:pos="1134"/>
                            </w:tabs>
                            <w:spacing w:line="252" w:lineRule="auto"/>
                            <w:ind w:firstLine="709"/>
                            <w:jc w:val="both"/>
                            <w:rPr>
                              <w:szCs w:val="24"/>
                            </w:rPr>
                          </w:pPr>
                          <w:sdt>
                            <w:sdtPr>
                              <w:alias w:val="Numeris"/>
                              <w:tag w:val="nr_823d631387aa49d5a2f60e2ea3586cf8"/>
                              <w:lock w:val="sdtLocked"/>
                              <w:richText/>
                            </w:sdtPr>
                            <w:sdtContent>
                              <w:r>
                                <w:rPr>
                                  <w:szCs w:val="24"/>
                                </w:rPr>
                                <w:t>134.2.7</w:t>
                              </w:r>
                            </w:sdtContent>
                          </w:sdt>
                          <w:r>
                            <w:rPr>
                              <w:szCs w:val="24"/>
                            </w:rPr>
                            <w:t xml:space="preserve">. aiškinamąjį raštą, kuriame nurodomas detalus pateiktų duomenų pagrindimas ir įrodymai dėl veiklos efektyvumo gautų sutaupymų; </w:t>
                          </w:r>
                        </w:p>
                      </w:sdtContent>
                    </w:sdt>
                  </w:sdtContent>
                </w:sdt>
                <w:sdt>
                  <w:sdtPr>
                    <w:alias w:val="134.3 pp."/>
                    <w:tag w:val="part_ca12a9ea2a2b4ea1bc47dac4a79ed813"/>
                    <w:lock w:val="sdtLocked"/>
                    <w:richText/>
                  </w:sdtPr>
                  <w:sdtContent>
                    <w:p>
                      <w:pPr>
                        <w:tabs>
                          <w:tab w:val="left" w:pos="1440"/>
                          <w:tab w:val="left" w:pos="1843"/>
                          <w:tab w:val="left" w:pos="2268"/>
                        </w:tabs>
                        <w:spacing w:line="252" w:lineRule="auto"/>
                        <w:ind w:firstLine="709"/>
                        <w:jc w:val="both"/>
                        <w:rPr>
                          <w:szCs w:val="24"/>
                        </w:rPr>
                      </w:pPr>
                      <w:sdt>
                        <w:sdtPr>
                          <w:alias w:val="Numeris"/>
                          <w:tag w:val="nr_ca12a9ea2a2b4ea1bc47dac4a79ed813"/>
                          <w:lock w:val="sdtLocked"/>
                          <w:richText/>
                        </w:sdtPr>
                        <w:sdtContent>
                          <w:r>
                            <w:rPr>
                              <w:szCs w:val="24"/>
                            </w:rPr>
                            <w:t>134.3</w:t>
                          </w:r>
                        </w:sdtContent>
                      </w:sdt>
                      <w:r>
                        <w:rPr>
                          <w:szCs w:val="24"/>
                        </w:rPr>
                        <w:t xml:space="preserve">. STO, </w:t>
                      </w:r>
                      <w:r>
                        <w:rPr>
                          <w:szCs w:val="24"/>
                          <w:lang w:eastAsia="lt-LT"/>
                        </w:rPr>
                        <w:t xml:space="preserve">licencijuojamoje veiklos </w:t>
                      </w:r>
                      <w:r>
                        <w:rPr>
                          <w:szCs w:val="24"/>
                        </w:rPr>
                        <w:t>teritorijoje turinčios mažiau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4.3.1 pp."/>
                        <w:tag w:val="part_12d49bfc0df54ff9abb093ad780fa0a9"/>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12d49bfc0df54ff9abb093ad780fa0a9"/>
                              <w:lock w:val="sdtLocked"/>
                              <w:richText/>
                            </w:sdtPr>
                            <w:sdtContent>
                              <w:r>
                                <w:rPr>
                                  <w:szCs w:val="24"/>
                                </w:rPr>
                                <w:t>134.3.1</w:t>
                              </w:r>
                            </w:sdtContent>
                          </w:sdt>
                          <w:r>
                            <w:rPr>
                              <w:szCs w:val="24"/>
                            </w:rPr>
                            <w:t>. duomenų suvestinę kainos viršutinei ribai nustatyti (Metodikos 1 priedas);</w:t>
                          </w:r>
                        </w:p>
                      </w:sdtContent>
                    </w:sdt>
                    <w:sdt>
                      <w:sdtPr>
                        <w:alias w:val="134.3.2 pp."/>
                        <w:tag w:val="part_7127fcc110004a5399de631d4f834646"/>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7127fcc110004a5399de631d4f834646"/>
                              <w:lock w:val="sdtLocked"/>
                              <w:richText/>
                            </w:sdtPr>
                            <w:sdtContent>
                              <w:r>
                                <w:rPr>
                                  <w:szCs w:val="24"/>
                                </w:rPr>
                                <w:t>134.3.2</w:t>
                              </w:r>
                            </w:sdtContent>
                          </w:sdt>
                          <w:r>
                            <w:rPr>
                              <w:szCs w:val="24"/>
                            </w:rPr>
                            <w:t>. veiklai naudojamo turto vertės skaičiavimo lentelę, atskirai nurodant visų teikiamų paslaugų duomenis (Metodikos 2 priedas);</w:t>
                          </w:r>
                        </w:p>
                      </w:sdtContent>
                    </w:sdt>
                    <w:sdt>
                      <w:sdtPr>
                        <w:alias w:val="134.3.3 pp."/>
                        <w:tag w:val="part_84064b8ca5994f58882618e9cea23143"/>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84064b8ca5994f58882618e9cea23143"/>
                              <w:lock w:val="sdtLocked"/>
                              <w:richText/>
                            </w:sdtPr>
                            <w:sdtContent>
                              <w:r>
                                <w:rPr>
                                  <w:szCs w:val="24"/>
                                </w:rPr>
                                <w:t>134.3.3</w:t>
                              </w:r>
                            </w:sdtContent>
                          </w:sdt>
                          <w:r>
                            <w:rPr>
                              <w:szCs w:val="24"/>
                            </w:rPr>
                            <w:t>. ilgalaikės reguliuojamos veiklos programos lentelę (Metodikos 3 priedas);</w:t>
                          </w:r>
                        </w:p>
                      </w:sdtContent>
                    </w:sdt>
                    <w:sdt>
                      <w:sdtPr>
                        <w:alias w:val="134.3.4 pp."/>
                        <w:tag w:val="part_5016029563ac4da184f670f3038ef9e4"/>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5016029563ac4da184f670f3038ef9e4"/>
                              <w:lock w:val="sdtLocked"/>
                              <w:richText/>
                            </w:sdtPr>
                            <w:sdtContent>
                              <w:r>
                                <w:rPr>
                                  <w:szCs w:val="24"/>
                                </w:rPr>
                                <w:t>134.3.4</w:t>
                              </w:r>
                            </w:sdtContent>
                          </w:sdt>
                          <w:r>
                            <w:rPr>
                              <w:szCs w:val="24"/>
                            </w:rPr>
                            <w:t>. valdomo turto priežiūros ir eksploatavimo planus (Metodikos 4 priedas);</w:t>
                          </w:r>
                        </w:p>
                      </w:sdtContent>
                    </w:sdt>
                    <w:sdt>
                      <w:sdtPr>
                        <w:alias w:val="134.3.5 pp."/>
                        <w:tag w:val="part_3a35ed038de24423a05e7c88518ef558"/>
                        <w:lock w:val="sdtLocked"/>
                        <w:richText/>
                      </w:sdtPr>
                      <w:sdtContent>
                        <w:p>
                          <w:pPr>
                            <w:tabs>
                              <w:tab w:val="left" w:pos="1134"/>
                            </w:tabs>
                            <w:spacing w:line="252" w:lineRule="auto"/>
                            <w:ind w:firstLine="709"/>
                            <w:jc w:val="both"/>
                            <w:rPr>
                              <w:szCs w:val="24"/>
                            </w:rPr>
                          </w:pPr>
                          <w:sdt>
                            <w:sdtPr>
                              <w:alias w:val="Numeris"/>
                              <w:tag w:val="nr_3a35ed038de24423a05e7c88518ef558"/>
                              <w:lock w:val="sdtLocked"/>
                              <w:richText/>
                            </w:sdtPr>
                            <w:sdtContent>
                              <w:r>
                                <w:rPr>
                                  <w:szCs w:val="24"/>
                                </w:rPr>
                                <w:t>134.3.5</w:t>
                              </w:r>
                            </w:sdtContent>
                          </w:sdt>
                          <w:r>
                            <w:rPr>
                              <w:szCs w:val="24"/>
                            </w:rPr>
                            <w:t xml:space="preserve">. aiškinamąjį raštą, kuriame nurodomas detalus pateiktų duomenų pagrindimas ir įrodymai dėl veiklos efektyvumo gautų sutaupymų; </w:t>
                          </w:r>
                        </w:p>
                      </w:sdtContent>
                    </w:sdt>
                  </w:sdtContent>
                </w:sdt>
                <w:sdt>
                  <w:sdtPr>
                    <w:alias w:val="134.4 pp."/>
                    <w:tag w:val="part_8a7458b300e645519701cc97dfd61de3"/>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8a7458b300e645519701cc97dfd61de3"/>
                          <w:lock w:val="sdtLocked"/>
                          <w:richText/>
                        </w:sdtPr>
                        <w:sdtContent>
                          <w:r>
                            <w:rPr>
                              <w:szCs w:val="24"/>
                            </w:rPr>
                            <w:t>134.4</w:t>
                          </w:r>
                        </w:sdtContent>
                      </w:sdt>
                      <w:r>
                        <w:rPr>
                          <w:szCs w:val="24"/>
                        </w:rPr>
                        <w:t>. Visuomeninis tiekėjas:</w:t>
                      </w:r>
                    </w:p>
                    <w:sdt>
                      <w:sdtPr>
                        <w:alias w:val="134.4.1 pp."/>
                        <w:tag w:val="part_55cb6026b0e74926b7c906d78842c3f5"/>
                        <w:lock w:val="sdtLocked"/>
                        <w:richText/>
                      </w:sdtPr>
                      <w:sdtContent>
                        <w:p>
                          <w:pPr>
                            <w:tabs>
                              <w:tab w:val="left" w:pos="1620"/>
                              <w:tab w:val="left" w:pos="1843"/>
                              <w:tab w:val="left" w:pos="2268"/>
                            </w:tabs>
                            <w:spacing w:line="252" w:lineRule="auto"/>
                            <w:ind w:firstLine="709"/>
                            <w:jc w:val="both"/>
                            <w:rPr>
                              <w:szCs w:val="24"/>
                            </w:rPr>
                          </w:pPr>
                          <w:sdt>
                            <w:sdtPr>
                              <w:alias w:val="Numeris"/>
                              <w:tag w:val="nr_55cb6026b0e74926b7c906d78842c3f5"/>
                              <w:lock w:val="sdtLocked"/>
                              <w:richText/>
                            </w:sdtPr>
                            <w:sdtContent>
                              <w:r>
                                <w:rPr>
                                  <w:szCs w:val="24"/>
                                </w:rPr>
                                <w:t>134.4.1</w:t>
                              </w:r>
                            </w:sdtContent>
                          </w:sdt>
                          <w:r>
                            <w:rPr>
                              <w:szCs w:val="24"/>
                            </w:rPr>
                            <w:t>. duomenų suvestinę kainos viršutinei ribai nustatyti (Metodikos 1 priedas);</w:t>
                          </w:r>
                        </w:p>
                      </w:sdtContent>
                    </w:sdt>
                    <w:sdt>
                      <w:sdtPr>
                        <w:alias w:val="134.4.2 pp."/>
                        <w:tag w:val="part_abc114fd882942de8efca183f5185361"/>
                        <w:lock w:val="sdtLocked"/>
                        <w:richText/>
                      </w:sdtPr>
                      <w:sdtContent>
                        <w:p>
                          <w:pPr>
                            <w:tabs>
                              <w:tab w:val="left" w:pos="1418"/>
                              <w:tab w:val="left" w:pos="1843"/>
                              <w:tab w:val="left" w:pos="2268"/>
                            </w:tabs>
                            <w:spacing w:line="252" w:lineRule="auto"/>
                            <w:ind w:firstLine="709"/>
                            <w:jc w:val="both"/>
                            <w:rPr>
                              <w:szCs w:val="24"/>
                            </w:rPr>
                          </w:pPr>
                          <w:sdt>
                            <w:sdtPr>
                              <w:alias w:val="Numeris"/>
                              <w:tag w:val="nr_abc114fd882942de8efca183f5185361"/>
                              <w:lock w:val="sdtLocked"/>
                              <w:richText/>
                            </w:sdtPr>
                            <w:sdtContent>
                              <w:r>
                                <w:rPr>
                                  <w:szCs w:val="24"/>
                                </w:rPr>
                                <w:t>134.4.2</w:t>
                              </w:r>
                            </w:sdtContent>
                          </w:sdt>
                          <w:r>
                            <w:rPr>
                              <w:szCs w:val="24"/>
                            </w:rPr>
                            <w:t>. aiškinamąjį raštą su pateiktų duomenų pagrindimu.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135 p."/>
                <w:tag w:val="part_5ec0549c5eaa447bae5c29a278d3d7c7"/>
                <w:lock w:val="sdtLocked"/>
                <w:richText/>
              </w:sdtPr>
              <w:sdtContent>
                <w:p>
                  <w:pPr>
                    <w:spacing w:line="252" w:lineRule="auto"/>
                    <w:ind w:firstLine="709"/>
                    <w:jc w:val="both"/>
                    <w:rPr>
                      <w:szCs w:val="24"/>
                    </w:rPr>
                  </w:pPr>
                  <w:sdt>
                    <w:sdtPr>
                      <w:alias w:val="Numeris"/>
                      <w:tag w:val="nr_5ec0549c5eaa447bae5c29a278d3d7c7"/>
                      <w:lock w:val="sdtLocked"/>
                      <w:richText/>
                    </w:sdtPr>
                    <w:sdtContent>
                      <w:r>
                        <w:rPr>
                          <w:szCs w:val="24"/>
                        </w:rPr>
                        <w:t>135</w:t>
                      </w:r>
                    </w:sdtContent>
                  </w:sdt>
                  <w:r>
                    <w:rPr>
                      <w:szCs w:val="24"/>
                    </w:rPr>
                    <w:t>. Reguliuojamų paslaugų kainų viršutinėms riboms koreguoti Įmonė iki rugsėjo 1 d.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
                  <w:sdtPr>
                    <w:alias w:val="135.1 pp."/>
                    <w:tag w:val="part_0d9eb79a12af407083324c455898bcd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0d9eb79a12af407083324c455898bcd5"/>
                          <w:lock w:val="sdtLocked"/>
                          <w:richText/>
                        </w:sdtPr>
                        <w:sdtContent>
                          <w:r>
                            <w:rPr>
                              <w:szCs w:val="24"/>
                            </w:rPr>
                            <w:t>135.1</w:t>
                          </w:r>
                        </w:sdtContent>
                      </w:sdt>
                      <w:r>
                        <w:rPr>
                          <w:szCs w:val="24"/>
                        </w:rPr>
                        <w:t>. PSO:</w:t>
                      </w:r>
                    </w:p>
                    <w:sdt>
                      <w:sdtPr>
                        <w:alias w:val="135.1.1 pp."/>
                        <w:tag w:val="part_848dad0734d44ce19139711f871795e5"/>
                        <w:lock w:val="sdtLocked"/>
                        <w:richText/>
                      </w:sdtPr>
                      <w:sdtContent>
                        <w:p>
                          <w:pPr>
                            <w:spacing w:line="252" w:lineRule="auto"/>
                            <w:ind w:firstLine="709"/>
                            <w:jc w:val="both"/>
                            <w:rPr>
                              <w:szCs w:val="24"/>
                            </w:rPr>
                          </w:pPr>
                          <w:sdt>
                            <w:sdtPr>
                              <w:alias w:val="Numeris"/>
                              <w:tag w:val="nr_848dad0734d44ce19139711f871795e5"/>
                              <w:lock w:val="sdtLocked"/>
                              <w:richText/>
                            </w:sdtPr>
                            <w:sdtContent>
                              <w:r>
                                <w:rPr>
                                  <w:szCs w:val="24"/>
                                </w:rPr>
                                <w:t>135.1.1</w:t>
                              </w:r>
                            </w:sdtContent>
                          </w:sdt>
                          <w:r>
                            <w:rPr>
                              <w:szCs w:val="24"/>
                            </w:rPr>
                            <w:t>. veiklai naudojamo turto vertės skaičiavimo lentelę (Metodikos 2 priedas);</w:t>
                          </w:r>
                        </w:p>
                      </w:sdtContent>
                    </w:sdt>
                    <w:sdt>
                      <w:sdtPr>
                        <w:alias w:val="135.1.2 pp."/>
                        <w:tag w:val="part_bedcee84316748fca7d43103e33ec165"/>
                        <w:lock w:val="sdtLocked"/>
                        <w:richText/>
                      </w:sdtPr>
                      <w:sdtContent>
                        <w:p>
                          <w:pPr>
                            <w:spacing w:line="252" w:lineRule="auto"/>
                            <w:ind w:firstLine="709"/>
                            <w:jc w:val="both"/>
                            <w:rPr>
                              <w:szCs w:val="24"/>
                            </w:rPr>
                          </w:pPr>
                          <w:sdt>
                            <w:sdtPr>
                              <w:alias w:val="Numeris"/>
                              <w:tag w:val="nr_bedcee84316748fca7d43103e33ec165"/>
                              <w:lock w:val="sdtLocked"/>
                              <w:richText/>
                            </w:sdtPr>
                            <w:sdtContent>
                              <w:r>
                                <w:rPr>
                                  <w:szCs w:val="24"/>
                                </w:rPr>
                                <w:t>135.1.2</w:t>
                              </w:r>
                            </w:sdtContent>
                          </w:sdt>
                          <w:r>
                            <w:rPr>
                              <w:szCs w:val="24"/>
                            </w:rPr>
                            <w:t>. duomenų suvestinę kainos viršutinei ribai koreguoti (Metodikos 10 priedas);</w:t>
                          </w:r>
                        </w:p>
                      </w:sdtContent>
                    </w:sdt>
                    <w:sdt>
                      <w:sdtPr>
                        <w:alias w:val="135.1.3 pp."/>
                        <w:tag w:val="part_34823d74dc6e46e8b152115f22945eef"/>
                        <w:lock w:val="sdtLocked"/>
                        <w:richText/>
                      </w:sdtPr>
                      <w:sdtContent>
                        <w:p>
                          <w:pPr>
                            <w:spacing w:line="252" w:lineRule="auto"/>
                            <w:ind w:firstLine="709"/>
                            <w:jc w:val="both"/>
                            <w:rPr>
                              <w:szCs w:val="24"/>
                            </w:rPr>
                          </w:pPr>
                          <w:sdt>
                            <w:sdtPr>
                              <w:alias w:val="Numeris"/>
                              <w:tag w:val="nr_34823d74dc6e46e8b152115f22945eef"/>
                              <w:lock w:val="sdtLocked"/>
                              <w:richText/>
                            </w:sdtPr>
                            <w:sdtContent>
                              <w:r>
                                <w:rPr>
                                  <w:szCs w:val="24"/>
                                </w:rPr>
                                <w:t>135.1.3</w:t>
                              </w:r>
                            </w:sdtContent>
                          </w:sdt>
                          <w:r>
                            <w:rPr>
                              <w:szCs w:val="24"/>
                            </w:rPr>
                            <w:t>. aiškinamąjį raštą su pateiktų duomenų pagrindimu;</w:t>
                          </w:r>
                        </w:p>
                      </w:sdtContent>
                    </w:sdt>
                  </w:sdtContent>
                </w:sdt>
                <w:sdt>
                  <w:sdtPr>
                    <w:alias w:val="135.2 pp."/>
                    <w:tag w:val="part_79b29b298a66453c875e6c4dc480a91c"/>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9b29b298a66453c875e6c4dc480a91c"/>
                          <w:lock w:val="sdtLocked"/>
                          <w:richText/>
                        </w:sdtPr>
                        <w:sdtContent>
                          <w:r>
                            <w:rPr>
                              <w:szCs w:val="24"/>
                            </w:rPr>
                            <w:t>135.2</w:t>
                          </w:r>
                        </w:sdtContent>
                      </w:sdt>
                      <w:r>
                        <w:rPr>
                          <w:szCs w:val="24"/>
                        </w:rPr>
                        <w:t xml:space="preserve">. STO, </w:t>
                      </w:r>
                      <w:r>
                        <w:rPr>
                          <w:szCs w:val="24"/>
                          <w:lang w:eastAsia="lt-LT"/>
                        </w:rPr>
                        <w:t xml:space="preserve">licencijuojamoje veiklos </w:t>
                      </w:r>
                      <w:r>
                        <w:rPr>
                          <w:szCs w:val="24"/>
                        </w:rPr>
                        <w:t>teritorijoje turinčios daugiau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5.2.1 pp."/>
                        <w:tag w:val="part_8bbb31ecaef044ae82a96ac27f149704"/>
                        <w:lock w:val="sdtLocked"/>
                        <w:richText/>
                      </w:sdtPr>
                      <w:sdtContent>
                        <w:p>
                          <w:pPr>
                            <w:spacing w:line="252" w:lineRule="auto"/>
                            <w:ind w:firstLine="709"/>
                            <w:jc w:val="both"/>
                            <w:rPr>
                              <w:szCs w:val="24"/>
                            </w:rPr>
                          </w:pPr>
                          <w:sdt>
                            <w:sdtPr>
                              <w:alias w:val="Numeris"/>
                              <w:tag w:val="nr_8bbb31ecaef044ae82a96ac27f149704"/>
                              <w:lock w:val="sdtLocked"/>
                              <w:richText/>
                            </w:sdtPr>
                            <w:sdtContent>
                              <w:r>
                                <w:rPr>
                                  <w:szCs w:val="24"/>
                                </w:rPr>
                                <w:t>135.2.1</w:t>
                              </w:r>
                            </w:sdtContent>
                          </w:sdt>
                          <w:r>
                            <w:rPr>
                              <w:szCs w:val="24"/>
                            </w:rPr>
                            <w:t>. veiklai naudojamo turto vertės skaičiavimo lentelę (Metodikos 2 priedas);</w:t>
                          </w:r>
                        </w:p>
                      </w:sdtContent>
                    </w:sdt>
                    <w:sdt>
                      <w:sdtPr>
                        <w:alias w:val="135.2.2 pp."/>
                        <w:tag w:val="part_f6d466b0921540fab2da8b53a406362f"/>
                        <w:lock w:val="sdtLocked"/>
                        <w:richText/>
                      </w:sdtPr>
                      <w:sdtContent>
                        <w:p>
                          <w:pPr>
                            <w:spacing w:line="252" w:lineRule="auto"/>
                            <w:ind w:firstLine="709"/>
                            <w:jc w:val="both"/>
                            <w:rPr>
                              <w:szCs w:val="24"/>
                            </w:rPr>
                          </w:pPr>
                          <w:sdt>
                            <w:sdtPr>
                              <w:alias w:val="Numeris"/>
                              <w:tag w:val="nr_f6d466b0921540fab2da8b53a406362f"/>
                              <w:lock w:val="sdtLocked"/>
                              <w:richText/>
                            </w:sdtPr>
                            <w:sdtContent>
                              <w:r>
                                <w:rPr>
                                  <w:szCs w:val="24"/>
                                </w:rPr>
                                <w:t>135.2.2</w:t>
                              </w:r>
                            </w:sdtContent>
                          </w:sdt>
                          <w:r>
                            <w:rPr>
                              <w:szCs w:val="24"/>
                            </w:rPr>
                            <w:t>. duomenų suvestinę kainos viršutinei ribai koreguoti (Metodikos 10 priedas);</w:t>
                          </w:r>
                        </w:p>
                      </w:sdtContent>
                    </w:sdt>
                    <w:sdt>
                      <w:sdtPr>
                        <w:alias w:val="135.2.3 pp."/>
                        <w:tag w:val="part_5a251c759ad744aa96c114f8857a086a"/>
                        <w:lock w:val="sdtLocked"/>
                        <w:richText/>
                      </w:sdtPr>
                      <w:sdtContent>
                        <w:p>
                          <w:pPr>
                            <w:spacing w:line="252" w:lineRule="auto"/>
                            <w:ind w:firstLine="709"/>
                            <w:jc w:val="both"/>
                            <w:rPr>
                              <w:szCs w:val="24"/>
                            </w:rPr>
                          </w:pPr>
                          <w:sdt>
                            <w:sdtPr>
                              <w:alias w:val="Numeris"/>
                              <w:tag w:val="nr_5a251c759ad744aa96c114f8857a086a"/>
                              <w:lock w:val="sdtLocked"/>
                              <w:richText/>
                            </w:sdtPr>
                            <w:sdtContent>
                              <w:r>
                                <w:rPr>
                                  <w:szCs w:val="24"/>
                                </w:rPr>
                                <w:t>135.2.3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35.3 pp."/>
                    <w:tag w:val="part_e530485f4c574d5aa147ba3342ff9617"/>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e530485f4c574d5aa147ba3342ff9617"/>
                          <w:lock w:val="sdtLocked"/>
                          <w:richText/>
                        </w:sdtPr>
                        <w:sdtContent>
                          <w:r>
                            <w:rPr>
                              <w:szCs w:val="24"/>
                            </w:rPr>
                            <w:t>135.3</w:t>
                          </w:r>
                        </w:sdtContent>
                      </w:sdt>
                      <w:r>
                        <w:rPr>
                          <w:szCs w:val="24"/>
                        </w:rPr>
                        <w:t xml:space="preserve">. STO, </w:t>
                      </w:r>
                      <w:r>
                        <w:rPr>
                          <w:szCs w:val="24"/>
                          <w:lang w:eastAsia="lt-LT"/>
                        </w:rPr>
                        <w:t xml:space="preserve">licencijuojamoje veiklos </w:t>
                      </w:r>
                      <w:r>
                        <w:rPr>
                          <w:szCs w:val="24"/>
                        </w:rPr>
                        <w:t>teritorijoje turinčios mažiau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5.3.1 pp."/>
                        <w:tag w:val="part_1efaa29c2d3643cd88e800aac34c9e5b"/>
                        <w:lock w:val="sdtLocked"/>
                        <w:richText/>
                      </w:sdtPr>
                      <w:sdtContent>
                        <w:p>
                          <w:pPr>
                            <w:spacing w:line="252" w:lineRule="auto"/>
                            <w:ind w:firstLine="709"/>
                            <w:jc w:val="both"/>
                            <w:rPr>
                              <w:szCs w:val="24"/>
                            </w:rPr>
                          </w:pPr>
                          <w:sdt>
                            <w:sdtPr>
                              <w:alias w:val="Numeris"/>
                              <w:tag w:val="nr_1efaa29c2d3643cd88e800aac34c9e5b"/>
                              <w:lock w:val="sdtLocked"/>
                              <w:richText/>
                            </w:sdtPr>
                            <w:sdtContent>
                              <w:r>
                                <w:rPr>
                                  <w:szCs w:val="24"/>
                                </w:rPr>
                                <w:t>135.3.1</w:t>
                              </w:r>
                            </w:sdtContent>
                          </w:sdt>
                          <w:r>
                            <w:rPr>
                              <w:szCs w:val="24"/>
                            </w:rPr>
                            <w:t>. veiklai naudojamo turto vertės skaičiavimo lentelę (Metodikos 2 priedas);</w:t>
                          </w:r>
                        </w:p>
                      </w:sdtContent>
                    </w:sdt>
                    <w:sdt>
                      <w:sdtPr>
                        <w:alias w:val="135.3.2 pp."/>
                        <w:tag w:val="part_882993a20a8d4c55a5ec3d77829fbad1"/>
                        <w:lock w:val="sdtLocked"/>
                        <w:richText/>
                      </w:sdtPr>
                      <w:sdtContent>
                        <w:p>
                          <w:pPr>
                            <w:spacing w:line="252" w:lineRule="auto"/>
                            <w:ind w:firstLine="709"/>
                            <w:jc w:val="both"/>
                            <w:rPr>
                              <w:szCs w:val="24"/>
                            </w:rPr>
                          </w:pPr>
                          <w:sdt>
                            <w:sdtPr>
                              <w:alias w:val="Numeris"/>
                              <w:tag w:val="nr_882993a20a8d4c55a5ec3d77829fbad1"/>
                              <w:lock w:val="sdtLocked"/>
                              <w:richText/>
                            </w:sdtPr>
                            <w:sdtContent>
                              <w:r>
                                <w:rPr>
                                  <w:szCs w:val="24"/>
                                </w:rPr>
                                <w:t>135.3.2</w:t>
                              </w:r>
                            </w:sdtContent>
                          </w:sdt>
                          <w:r>
                            <w:rPr>
                              <w:szCs w:val="24"/>
                            </w:rPr>
                            <w:t>. duomenų suvestinę kainos viršutinei ribai koreguoti (Metodikos 10 priedas);</w:t>
                          </w:r>
                        </w:p>
                      </w:sdtContent>
                    </w:sdt>
                    <w:sdt>
                      <w:sdtPr>
                        <w:alias w:val="135.3.3 pp."/>
                        <w:tag w:val="part_d8f4d0770f4143f0909581f08c491538"/>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d8f4d0770f4143f0909581f08c491538"/>
                              <w:lock w:val="sdtLocked"/>
                              <w:richText/>
                            </w:sdtPr>
                            <w:sdtContent>
                              <w:r>
                                <w:rPr>
                                  <w:szCs w:val="24"/>
                                </w:rPr>
                                <w:t>135.3.3</w:t>
                              </w:r>
                            </w:sdtContent>
                          </w:sdt>
                          <w:r>
                            <w:rPr>
                              <w:szCs w:val="24"/>
                            </w:rPr>
                            <w:t>. aiškinamąjį raštą su pateiktų duomenų pagrindimu.</w:t>
                          </w:r>
                        </w:p>
                      </w:sdtContent>
                    </w:sdt>
                  </w:sdtContent>
                </w:sdt>
                <w:sdt>
                  <w:sdtPr>
                    <w:alias w:val="135.4 pp."/>
                    <w:tag w:val="part_fbbd6d951f7245c8a4dc08f565b18fd8"/>
                    <w:lock w:val="sdtLocked"/>
                    <w:richText/>
                  </w:sdtPr>
                  <w:sdtContent>
                    <w:p>
                      <w:pPr>
                        <w:tabs>
                          <w:tab w:val="left" w:pos="1418"/>
                          <w:tab w:val="left" w:pos="1843"/>
                          <w:tab w:val="left" w:pos="2268"/>
                        </w:tabs>
                        <w:ind w:firstLine="720"/>
                        <w:jc w:val="both"/>
                        <w:rPr>
                          <w:szCs w:val="24"/>
                        </w:rPr>
                      </w:pPr>
                      <w:sdt>
                        <w:sdtPr>
                          <w:alias w:val="Numeris"/>
                          <w:tag w:val="nr_fbbd6d951f7245c8a4dc08f565b18fd8"/>
                          <w:lock w:val="sdtLocked"/>
                          <w:richText/>
                        </w:sdtPr>
                        <w:sdtContent>
                          <w:r>
                            <w:rPr>
                              <w:szCs w:val="24"/>
                            </w:rPr>
                            <w:t>135.4</w:t>
                          </w:r>
                        </w:sdtContent>
                      </w:sdt>
                      <w:r>
                        <w:rPr>
                          <w:szCs w:val="24"/>
                        </w:rPr>
                        <w:t>. Visuomeninis tiekėjas:</w:t>
                      </w:r>
                    </w:p>
                    <w:sdt>
                      <w:sdtPr>
                        <w:alias w:val="135.4.1 pp."/>
                        <w:tag w:val="part_5a98ce48463b40598769f4ab7d95b5cd"/>
                        <w:lock w:val="sdtLocked"/>
                        <w:richText/>
                      </w:sdtPr>
                      <w:sdtContent>
                        <w:p>
                          <w:pPr>
                            <w:spacing w:line="252" w:lineRule="auto"/>
                            <w:ind w:firstLine="709"/>
                            <w:jc w:val="both"/>
                            <w:rPr>
                              <w:szCs w:val="24"/>
                            </w:rPr>
                          </w:pPr>
                          <w:sdt>
                            <w:sdtPr>
                              <w:alias w:val="Numeris"/>
                              <w:tag w:val="nr_5a98ce48463b40598769f4ab7d95b5cd"/>
                              <w:lock w:val="sdtLocked"/>
                              <w:richText/>
                            </w:sdtPr>
                            <w:sdtContent>
                              <w:r>
                                <w:rPr>
                                  <w:szCs w:val="24"/>
                                </w:rPr>
                                <w:t>135.4.1</w:t>
                              </w:r>
                            </w:sdtContent>
                          </w:sdt>
                          <w:r>
                            <w:rPr>
                              <w:szCs w:val="24"/>
                            </w:rPr>
                            <w:t>. veiklai naudojamo turto vertės skaičiavimo lentelę (Metodikos 2 priedas);</w:t>
                          </w:r>
                        </w:p>
                      </w:sdtContent>
                    </w:sdt>
                    <w:sdt>
                      <w:sdtPr>
                        <w:alias w:val="135.4.2 pp."/>
                        <w:tag w:val="part_e503d8bc15cf4e0bb74d4bd5dc32dbea"/>
                        <w:lock w:val="sdtLocked"/>
                        <w:richText/>
                      </w:sdtPr>
                      <w:sdtContent>
                        <w:p>
                          <w:pPr>
                            <w:spacing w:line="252" w:lineRule="auto"/>
                            <w:ind w:firstLine="709"/>
                            <w:jc w:val="both"/>
                            <w:rPr>
                              <w:szCs w:val="24"/>
                            </w:rPr>
                          </w:pPr>
                          <w:sdt>
                            <w:sdtPr>
                              <w:alias w:val="Numeris"/>
                              <w:tag w:val="nr_e503d8bc15cf4e0bb74d4bd5dc32dbea"/>
                              <w:lock w:val="sdtLocked"/>
                              <w:richText/>
                            </w:sdtPr>
                            <w:sdtContent>
                              <w:r>
                                <w:rPr>
                                  <w:szCs w:val="24"/>
                                </w:rPr>
                                <w:t>135.4.2</w:t>
                              </w:r>
                            </w:sdtContent>
                          </w:sdt>
                          <w:r>
                            <w:rPr>
                              <w:szCs w:val="24"/>
                            </w:rPr>
                            <w:t>. duomenų suvestinę visuomeninio elektros energijos tiekimo paslaugos kainos viršutinei ribai koreguoti (Metodikos 11 priedas);</w:t>
                          </w:r>
                        </w:p>
                      </w:sdtContent>
                    </w:sdt>
                    <w:sdt>
                      <w:sdtPr>
                        <w:alias w:val="135.4.3 pp."/>
                        <w:tag w:val="part_897ef964b45e4466b23d04315bbcc58a"/>
                        <w:lock w:val="sdtLocked"/>
                        <w:richText/>
                      </w:sdtPr>
                      <w:sdtContent>
                        <w:p>
                          <w:pPr>
                            <w:spacing w:line="252" w:lineRule="auto"/>
                            <w:ind w:firstLine="709"/>
                            <w:jc w:val="both"/>
                            <w:rPr>
                              <w:szCs w:val="24"/>
                            </w:rPr>
                          </w:pPr>
                          <w:sdt>
                            <w:sdtPr>
                              <w:alias w:val="Numeris"/>
                              <w:tag w:val="nr_897ef964b45e4466b23d04315bbcc58a"/>
                              <w:lock w:val="sdtLocked"/>
                              <w:richText/>
                            </w:sdtPr>
                            <w:sdtContent>
                              <w:r>
                                <w:rPr>
                                  <w:szCs w:val="24"/>
                                </w:rPr>
                                <w:t>135.4.3</w:t>
                              </w:r>
                            </w:sdtContent>
                          </w:sdt>
                          <w:r>
                            <w:rPr>
                              <w:szCs w:val="24"/>
                            </w:rPr>
                            <w:t xml:space="preserve"> aiškinamąjį raštą, kuriame turi būti nurodyta:</w:t>
                          </w:r>
                        </w:p>
                        <w:sdt>
                          <w:sdtPr>
                            <w:alias w:val="135.4.3.1 pp."/>
                            <w:tag w:val="part_ef9ae38555384638a3b7325d80c47562"/>
                            <w:lock w:val="sdtLocked"/>
                            <w:richText/>
                          </w:sdtPr>
                          <w:sdtContent>
                            <w:p>
                              <w:pPr>
                                <w:tabs>
                                  <w:tab w:val="left" w:pos="993"/>
                                </w:tabs>
                                <w:spacing w:line="252" w:lineRule="auto"/>
                                <w:ind w:firstLine="709"/>
                                <w:jc w:val="both"/>
                                <w:rPr>
                                  <w:szCs w:val="24"/>
                                </w:rPr>
                              </w:pPr>
                              <w:sdt>
                                <w:sdtPr>
                                  <w:alias w:val="Numeris"/>
                                  <w:tag w:val="nr_ef9ae38555384638a3b7325d80c47562"/>
                                  <w:lock w:val="sdtLocked"/>
                                  <w:richText/>
                                </w:sdtPr>
                                <w:sdtContent>
                                  <w:r>
                                    <w:rPr>
                                      <w:szCs w:val="24"/>
                                    </w:rPr>
                                    <w:t>135.4.3.1</w:t>
                                  </w:r>
                                </w:sdtContent>
                              </w:sdt>
                              <w:r>
                                <w:rPr>
                                  <w:szCs w:val="24"/>
                                </w:rPr>
                                <w:t>. objektų, kuriems visuomeninis tiekėjas teikė elektros energijos tiekimo paslaugą reguliavimo laikotarpio pradžioje, skaičius;</w:t>
                              </w:r>
                            </w:p>
                          </w:sdtContent>
                        </w:sdt>
                        <w:sdt>
                          <w:sdtPr>
                            <w:alias w:val="135.4.3.2 pp."/>
                            <w:tag w:val="part_0525f8c1123c41888d86f333d12cf8a6"/>
                            <w:lock w:val="sdtLocked"/>
                            <w:richText/>
                          </w:sdtPr>
                          <w:sdtContent>
                            <w:p>
                              <w:pPr>
                                <w:spacing w:line="252" w:lineRule="auto"/>
                                <w:ind w:firstLine="709"/>
                                <w:jc w:val="both"/>
                                <w:rPr>
                                  <w:szCs w:val="24"/>
                                </w:rPr>
                              </w:pPr>
                              <w:sdt>
                                <w:sdtPr>
                                  <w:alias w:val="Numeris"/>
                                  <w:tag w:val="nr_0525f8c1123c41888d86f333d12cf8a6"/>
                                  <w:lock w:val="sdtLocked"/>
                                  <w:richText/>
                                </w:sdtPr>
                                <w:sdtContent>
                                  <w:r>
                                    <w:rPr>
                                      <w:szCs w:val="24"/>
                                    </w:rPr>
                                    <w:t>135.4.3.2</w:t>
                                  </w:r>
                                </w:sdtContent>
                              </w:sdt>
                              <w:r>
                                <w:rPr>
                                  <w:szCs w:val="24"/>
                                </w:rPr>
                                <w:t xml:space="preserve">. prognozuojamas objektų, kuriems </w:t>
                              </w:r>
                              <w:r>
                                <w:rPr>
                                  <w:i/>
                                  <w:szCs w:val="24"/>
                                </w:rPr>
                                <w:t xml:space="preserve">t </w:t>
                              </w:r>
                              <w:r>
                                <w:rPr>
                                  <w:szCs w:val="24"/>
                                </w:rPr>
                                <w:t xml:space="preserve">metų pradžioje ir </w:t>
                              </w:r>
                              <w:r>
                                <w:rPr>
                                  <w:i/>
                                  <w:iCs/>
                                  <w:szCs w:val="24"/>
                                </w:rPr>
                                <w:t>t</w:t>
                              </w:r>
                              <w:r>
                                <w:rPr>
                                  <w:szCs w:val="24"/>
                                </w:rPr>
                                <w:t xml:space="preserve"> metų pabaigoje visuomeninis tiekėjas turės teikti elektros energijos tiekimo paslaugą, įvertinus Elektros energetikos įstatymo 43 straipsnio 1 dalies nuostatas, skaičius;</w:t>
                              </w:r>
                            </w:p>
                          </w:sdtContent>
                        </w:sdt>
                        <w:sdt>
                          <w:sdtPr>
                            <w:alias w:val="135.4.3.3 pp."/>
                            <w:tag w:val="part_afa3518a59bd44e7b7abc76115c73bff"/>
                            <w:lock w:val="sdtLocked"/>
                            <w:richText/>
                          </w:sdtPr>
                          <w:sdtContent>
                            <w:p>
                              <w:pPr>
                                <w:spacing w:line="252" w:lineRule="auto"/>
                                <w:ind w:firstLine="709"/>
                                <w:jc w:val="both"/>
                                <w:rPr>
                                  <w:szCs w:val="24"/>
                                </w:rPr>
                              </w:pPr>
                              <w:sdt>
                                <w:sdtPr>
                                  <w:alias w:val="Numeris"/>
                                  <w:tag w:val="nr_afa3518a59bd44e7b7abc76115c73bff"/>
                                  <w:lock w:val="sdtLocked"/>
                                  <w:richText/>
                                </w:sdtPr>
                                <w:sdtContent>
                                  <w:r>
                                    <w:rPr>
                                      <w:szCs w:val="24"/>
                                      <w:lang w:eastAsia="lt-LT"/>
                                    </w:rPr>
                                    <w:t>135.4.3.3</w:t>
                                  </w:r>
                                </w:sdtContent>
                              </w:sdt>
                              <w:r>
                                <w:rPr>
                                  <w:szCs w:val="24"/>
                                  <w:lang w:eastAsia="lt-LT"/>
                                </w:rPr>
                                <w:t xml:space="preserve"> 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35.4.3.4 pp."/>
                            <w:tag w:val="part_3b49e47a13284a05b9c6f97b82f435c5"/>
                            <w:lock w:val="sdtLocked"/>
                            <w:richText/>
                          </w:sdtPr>
                          <w:sdtContent>
                            <w:p>
                              <w:pPr>
                                <w:spacing w:line="252" w:lineRule="auto"/>
                                <w:ind w:firstLine="709"/>
                                <w:jc w:val="both"/>
                                <w:rPr>
                                  <w:szCs w:val="24"/>
                                </w:rPr>
                              </w:pPr>
                              <w:sdt>
                                <w:sdtPr>
                                  <w:alias w:val="Numeris"/>
                                  <w:tag w:val="nr_3b49e47a13284a05b9c6f97b82f435c5"/>
                                  <w:lock w:val="sdtLocked"/>
                                  <w:richText/>
                                </w:sdtPr>
                                <w:sdtContent>
                                  <w:r>
                                    <w:rPr>
                                      <w:szCs w:val="24"/>
                                    </w:rPr>
                                    <w:t>135.4.3.4</w:t>
                                  </w:r>
                                </w:sdtContent>
                              </w:sdt>
                              <w:r>
                                <w:rPr>
                                  <w:szCs w:val="24"/>
                                </w:rPr>
                                <w:t>. pateiktų duomenų pagrindimas.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136 p."/>
                <w:tag w:val="part_d89c9551ade4423a98b8a8bdf8b01adc"/>
                <w:lock w:val="sdtLocked"/>
                <w:richText/>
              </w:sdtPr>
              <w:sdtContent>
                <w:p>
                  <w:pPr>
                    <w:tabs>
                      <w:tab w:val="left" w:pos="993"/>
                    </w:tabs>
                    <w:ind w:firstLine="709"/>
                    <w:jc w:val="both"/>
                    <w:rPr>
                      <w:szCs w:val="24"/>
                    </w:rPr>
                  </w:pPr>
                  <w:sdt>
                    <w:sdtPr>
                      <w:alias w:val="Numeris"/>
                      <w:tag w:val="nr_d89c9551ade4423a98b8a8bdf8b01adc"/>
                      <w:lock w:val="sdtLocked"/>
                      <w:richText/>
                    </w:sdtPr>
                    <w:sdtContent>
                      <w:r>
                        <w:rPr>
                          <w:color w:val="000000"/>
                        </w:rPr>
                        <w:t>136</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6-1 p."/>
                <w:tag w:val="part_23293467d78645e7a7099ff7666b2bf9"/>
                <w:lock w:val="sdtLocked"/>
                <w:richText/>
              </w:sdtPr>
              <w:sdtContent>
                <w:p>
                  <w:pPr>
                    <w:tabs>
                      <w:tab w:val="left" w:pos="993"/>
                    </w:tabs>
                    <w:ind w:firstLine="709"/>
                    <w:jc w:val="both"/>
                    <w:rPr>
                      <w:color w:val="000000"/>
                    </w:rPr>
                  </w:pPr>
                  <w:sdt>
                    <w:sdtPr>
                      <w:alias w:val="Numeris"/>
                      <w:tag w:val="nr_23293467d78645e7a7099ff7666b2bf9"/>
                      <w:lock w:val="sdtLocked"/>
                      <w:richText/>
                    </w:sdtPr>
                    <w:sdtContent>
                      <w:r>
                        <w:rPr>
                          <w:szCs w:val="24"/>
                        </w:rPr>
                        <w:t>136</w:t>
                      </w:r>
                      <w:r>
                        <w:rPr>
                          <w:szCs w:val="24"/>
                          <w:vertAlign w:val="superscript"/>
                        </w:rPr>
                        <w:t>1</w:t>
                      </w:r>
                    </w:sdtContent>
                  </w:sdt>
                  <w:r>
                    <w:rPr>
                      <w:szCs w:val="24"/>
                    </w:rPr>
                    <w:t>. Visuomeninių elektros energijos kainų viršutinėms riboms nustatyti visuomeninis tiekėjas pateikia iki spalio 20 d., kai visuomeninės elektros energijos kainos viršutinės ribos nustatomos ateinančių metų I pusmečiui, arba iki gegužės 20 d., kai visuomeninės elektros energijos kainos viršutinės ribos nustatomos einamųjų metų II pusmečiui:</w:t>
                  </w:r>
                </w:p>
                <w:sdt>
                  <w:sdtPr>
                    <w:alias w:val="136-1.1 pp."/>
                    <w:tag w:val="part_22887eddec5947a7bb6536da62d1b966"/>
                    <w:lock w:val="sdtLocked"/>
                    <w:richText/>
                  </w:sdtPr>
                  <w:sdtContent>
                    <w:p>
                      <w:pPr>
                        <w:tabs>
                          <w:tab w:val="left" w:pos="993"/>
                        </w:tabs>
                        <w:ind w:firstLine="709"/>
                        <w:jc w:val="both"/>
                        <w:rPr>
                          <w:color w:val="000000"/>
                        </w:rPr>
                      </w:pPr>
                      <w:sdt>
                        <w:sdtPr>
                          <w:alias w:val="Numeris"/>
                          <w:tag w:val="nr_22887eddec5947a7bb6536da62d1b966"/>
                          <w:lock w:val="sdtLocked"/>
                          <w:richText/>
                        </w:sdtPr>
                        <w:sdtContent>
                          <w:r>
                            <w:rPr>
                              <w:szCs w:val="24"/>
                            </w:rPr>
                            <w:t>136</w:t>
                          </w:r>
                          <w:r>
                            <w:rPr>
                              <w:szCs w:val="24"/>
                              <w:vertAlign w:val="superscript"/>
                            </w:rPr>
                            <w:t>1</w:t>
                          </w:r>
                          <w:r>
                            <w:rPr>
                              <w:szCs w:val="24"/>
                            </w:rPr>
                            <w:t>.1</w:t>
                          </w:r>
                        </w:sdtContent>
                      </w:sdt>
                      <w:r>
                        <w:rPr>
                          <w:szCs w:val="24"/>
                        </w:rPr>
                        <w:t>. visuomeninio tiekėjo prognozuojamos elektros energijos įsigijimo kainos skaičiavimo suvestinius duomenis (Metodikos 5 priedas</w:t>
                      </w:r>
                      <w:r>
                        <w:rPr>
                          <w:color w:val="000000"/>
                        </w:rPr>
                        <w:t>);</w:t>
                      </w:r>
                    </w:p>
                  </w:sdtContent>
                </w:sdt>
                <w:sdt>
                  <w:sdtPr>
                    <w:alias w:val="136-1.2 pp."/>
                    <w:tag w:val="part_4e2b3b178ef348fb8ceb30f7855b32b1"/>
                    <w:lock w:val="sdtLocked"/>
                    <w:richText/>
                  </w:sdtPr>
                  <w:sdtContent>
                    <w:p>
                      <w:pPr>
                        <w:tabs>
                          <w:tab w:val="left" w:pos="993"/>
                        </w:tabs>
                        <w:ind w:firstLine="709"/>
                        <w:jc w:val="both"/>
                        <w:rPr>
                          <w:szCs w:val="24"/>
                        </w:rPr>
                      </w:pPr>
                      <w:sdt>
                        <w:sdtPr>
                          <w:alias w:val="Numeris"/>
                          <w:tag w:val="nr_4e2b3b178ef348fb8ceb30f7855b32b1"/>
                          <w:lock w:val="sdtLocked"/>
                          <w:richText/>
                        </w:sdtPr>
                        <w:sdtContent>
                          <w:r>
                            <w:rPr>
                              <w:szCs w:val="24"/>
                            </w:rPr>
                            <w:t>136</w:t>
                          </w:r>
                          <w:r>
                            <w:rPr>
                              <w:szCs w:val="24"/>
                              <w:vertAlign w:val="superscript"/>
                            </w:rPr>
                            <w:t>1</w:t>
                          </w:r>
                          <w:r>
                            <w:rPr>
                              <w:szCs w:val="24"/>
                            </w:rPr>
                            <w:t>.2</w:t>
                          </w:r>
                        </w:sdtContent>
                      </w:sdt>
                      <w:r>
                        <w:rPr>
                          <w:szCs w:val="24"/>
                        </w:rPr>
                        <w:t>. aiškinamąjį raštą, kuriame nurodomas detalus pažeidžiamiems vartotojams ir kitiems vartotojams prognozuojamos 1 kWh elektros energijos įsigijimo kainos pagrindimas</w:t>
                      </w:r>
                      <w:r>
                        <w:rPr>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7 p."/>
                <w:tag w:val="part_dfb85c44d37f4b5dac145b1f968c37b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dfb85c44d37f4b5dac145b1f968c37bc"/>
                      <w:lock w:val="sdtLocked"/>
                      <w:richText/>
                    </w:sdtPr>
                    <w:sdtContent>
                      <w:r>
                        <w:rPr>
                          <w:szCs w:val="24"/>
                        </w:rPr>
                        <w:t>137</w:t>
                      </w:r>
                    </w:sdtContent>
                  </w:sdt>
                  <w:r>
                    <w:rPr>
                      <w:szCs w:val="24"/>
                    </w:rPr>
                    <w:t>. Taryba motyvuotu sprendimu gali pratęsti nustatytų kainų viršutinių ribų galiojimo laikotarpį, įskaitant jei Įmonė laiku nepateikia Tarybai visų reikiamų duomenų.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8 p."/>
                <w:tag w:val="part_39609253f145446293a15c491dfdbec4"/>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39609253f145446293a15c491dfdbec4"/>
                      <w:lock w:val="sdtLocked"/>
                      <w:richText/>
                    </w:sdtPr>
                    <w:sdtContent>
                      <w:r>
                        <w:rPr>
                          <w:szCs w:val="24"/>
                        </w:rPr>
                        <w:t>138</w:t>
                      </w:r>
                    </w:sdtContent>
                  </w:sdt>
                  <w:r>
                    <w:rPr>
                      <w:szCs w:val="24"/>
                    </w:rPr>
                    <w:t>. Perdavimo, skirstymo ir visuomeninio tiekimo paslaugų kainų viršutinės ribos privalo būti nustatytos ne vėliau nei nurodyta Elektros energetikos įstatymo 69 straipsnio 6 dalyje.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9 p."/>
                <w:tag w:val="part_46b880a62d8a477e9a1814afa21e5b3e"/>
                <w:lock w:val="sdtLocked"/>
                <w:richText/>
              </w:sdtPr>
              <w:sdtContent>
                <w:p>
                  <w:pPr>
                    <w:tabs>
                      <w:tab w:val="left" w:pos="1260"/>
                      <w:tab w:val="left" w:pos="1843"/>
                      <w:tab w:val="left" w:pos="2268"/>
                    </w:tabs>
                    <w:spacing w:line="252" w:lineRule="auto"/>
                    <w:ind w:firstLine="709"/>
                    <w:jc w:val="both"/>
                    <w:rPr>
                      <w:szCs w:val="24"/>
                    </w:rPr>
                  </w:pPr>
                  <w:sdt>
                    <w:sdtPr>
                      <w:alias w:val="Numeris"/>
                      <w:tag w:val="nr_46b880a62d8a477e9a1814afa21e5b3e"/>
                      <w:lock w:val="sdtLocked"/>
                      <w:richText/>
                    </w:sdtPr>
                    <w:sdtContent>
                      <w:r>
                        <w:rPr>
                          <w:szCs w:val="24"/>
                        </w:rPr>
                        <w:t>139</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0 p."/>
                <w:tag w:val="part_33365b9ed6594d1f80d31dc9967bf950"/>
                <w:lock w:val="sdtLocked"/>
                <w:richText/>
              </w:sdtPr>
              <w:sdtContent>
                <w:p>
                  <w:pPr>
                    <w:tabs>
                      <w:tab w:val="right" w:pos="9638"/>
                    </w:tabs>
                    <w:suppressAutoHyphens/>
                    <w:ind w:firstLine="709"/>
                    <w:jc w:val="both"/>
                    <w:textAlignment w:val="center"/>
                    <w:rPr>
                      <w:szCs w:val="24"/>
                    </w:rPr>
                  </w:pPr>
                  <w:sdt>
                    <w:sdtPr>
                      <w:alias w:val="Numeris"/>
                      <w:tag w:val="nr_33365b9ed6594d1f80d31dc9967bf950"/>
                      <w:lock w:val="sdtLocked"/>
                      <w:richText/>
                    </w:sdtPr>
                    <w:sdtContent>
                      <w:r>
                        <w:rPr>
                          <w:szCs w:val="24"/>
                        </w:rPr>
                        <w:t>140</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r>
                    <w:rPr>
                      <w:color w:val="000000"/>
                      <w:sz w:val="30"/>
                      <w:szCs w:val="30"/>
                    </w:rPr>
                    <w:t xml:space="preserve"> </w:t>
                  </w:r>
                  <w:r>
                    <w:rPr>
                      <w:color w:val="000000"/>
                      <w:szCs w:val="24"/>
                    </w:rPr>
                    <w:t>D</w:t>
                  </w:r>
                  <w:r>
                    <w:t>iferencijuojant persiuntimo paslaugos kainas</w:t>
                  </w:r>
                  <w:r>
                    <w:rPr>
                      <w:color w:val="000000"/>
                      <w:szCs w:val="24"/>
                    </w:rPr>
                    <w:t xml:space="preserve">, VĮ ir ŽĮ tinklų vartotojams taikant diferencijuotas </w:t>
                  </w:r>
                  <w:r>
                    <w:rPr>
                      <w:i/>
                      <w:iCs/>
                      <w:color w:val="000000"/>
                      <w:szCs w:val="24"/>
                    </w:rPr>
                    <w:t>t</w:t>
                  </w:r>
                  <w:r>
                    <w:rPr>
                      <w:color w:val="000000"/>
                      <w:szCs w:val="24"/>
                    </w:rPr>
                    <w:t xml:space="preserve"> metų </w:t>
                  </w:r>
                  <w:r>
                    <w:t xml:space="preserve">perdavimo paslaugos, papildomų paslaugų įsigijimo dedamosios prie perdavimo paslaugos </w:t>
                  </w:r>
                  <w:r>
                    <w:rPr>
                      <w:color w:val="000000"/>
                      <w:szCs w:val="24"/>
                    </w:rPr>
                    <w:t xml:space="preserve">ir elektros energijos skirstymo paslaugos VĮ tinklais kainų viršutinės ribas, </w:t>
                  </w:r>
                  <w:r>
                    <w:t>atitinkamos paslaugos ar dedamosios diferencijuotų kainų svertinis vidurkis negali viršyti Tarybos nustatytos atitinkamos paslaugos kainos viršutinę ribą</w:t>
                  </w:r>
                  <w:r>
                    <w:rPr>
                      <w:color w:val="000000"/>
                      <w:szCs w:val="24"/>
                    </w:rPr>
                    <w:t>. STO</w:t>
                  </w:r>
                  <w:r>
                    <w:rPr>
                      <w:szCs w:val="24"/>
                    </w:rPr>
                    <w:t xml:space="preserve"> diferencijuodami persiuntimo paslaugos kainas, įvertina skirstymo paslaugos teikimo sąnaudų priskyrimo buitiniams vartotojams koeficientą, kuris nuosekliai didinamas visą skirstymo veiklos reguliavimo periodą iki reikšmės, ne didesnės kaip 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1 p."/>
                <w:tag w:val="part_98b228888bc7497a8b19f63484e3ffd6"/>
                <w:lock w:val="sdtLocked"/>
                <w:richText/>
              </w:sdtPr>
              <w:sdtContent>
                <w:p>
                  <w:pPr>
                    <w:tabs>
                      <w:tab w:val="left" w:pos="1260"/>
                      <w:tab w:val="left" w:pos="1843"/>
                      <w:tab w:val="left" w:pos="2268"/>
                    </w:tabs>
                    <w:spacing w:line="252" w:lineRule="auto"/>
                    <w:ind w:firstLine="709"/>
                    <w:jc w:val="both"/>
                    <w:rPr>
                      <w:szCs w:val="24"/>
                    </w:rPr>
                  </w:pPr>
                  <w:sdt>
                    <w:sdtPr>
                      <w:alias w:val="Numeris"/>
                      <w:tag w:val="nr_98b228888bc7497a8b19f63484e3ffd6"/>
                      <w:lock w:val="sdtLocked"/>
                      <w:richText/>
                    </w:sdtPr>
                    <w:sdtContent>
                      <w:r>
                        <w:rPr>
                          <w:szCs w:val="24"/>
                        </w:rPr>
                        <w:t>141</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2 p."/>
                <w:tag w:val="part_e74826901c1c4b69a298e77acb8a57cf"/>
                <w:lock w:val="sdtLocked"/>
                <w:richText/>
              </w:sdtPr>
              <w:sdtContent>
                <w:p>
                  <w:pPr>
                    <w:tabs>
                      <w:tab w:val="left" w:pos="1260"/>
                      <w:tab w:val="left" w:pos="1843"/>
                      <w:tab w:val="left" w:pos="2268"/>
                    </w:tabs>
                    <w:spacing w:line="252" w:lineRule="auto"/>
                    <w:ind w:firstLine="709"/>
                    <w:jc w:val="both"/>
                    <w:rPr>
                      <w:szCs w:val="24"/>
                    </w:rPr>
                  </w:pPr>
                  <w:sdt>
                    <w:sdtPr>
                      <w:alias w:val="Numeris"/>
                      <w:tag w:val="nr_e74826901c1c4b69a298e77acb8a57cf"/>
                      <w:lock w:val="sdtLocked"/>
                      <w:richText/>
                    </w:sdtPr>
                    <w:sdtContent>
                      <w:r>
                        <w:rPr>
                          <w:szCs w:val="24"/>
                        </w:rPr>
                        <w:t>142</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43 p."/>
                <w:tag w:val="part_5b35affa57834b0cb246e32651d925c2"/>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5b35affa57834b0cb246e32651d925c2"/>
                      <w:lock w:val="sdtLocked"/>
                      <w:richText/>
                    </w:sdtPr>
                    <w:sdtContent>
                      <w:r>
                        <w:rPr>
                          <w:szCs w:val="24"/>
                        </w:rPr>
                        <w:t>143</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4 p."/>
                <w:tag w:val="part_e64ddd0d941d40288d73dd0646f8b351"/>
                <w:lock w:val="sdtLocked"/>
                <w:richText/>
              </w:sdtPr>
              <w:sdtContent>
                <w:p>
                  <w:pPr>
                    <w:spacing w:line="252" w:lineRule="auto"/>
                    <w:ind w:firstLine="709"/>
                    <w:jc w:val="both"/>
                    <w:textAlignment w:val="baseline"/>
                    <w:rPr>
                      <w:szCs w:val="24"/>
                    </w:rPr>
                  </w:pPr>
                  <w:sdt>
                    <w:sdtPr>
                      <w:alias w:val="Numeris"/>
                      <w:tag w:val="nr_e64ddd0d941d40288d73dd0646f8b351"/>
                      <w:lock w:val="sdtLocked"/>
                      <w:richText/>
                    </w:sdtPr>
                    <w:sdtContent>
                      <w:r>
                        <w:rPr>
                          <w:szCs w:val="24"/>
                          <w:lang w:eastAsia="lt-LT"/>
                        </w:rPr>
                        <w:t>144</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5 p."/>
                <w:tag w:val="part_9709afef0d06406abaf9f86bcf0cf975"/>
                <w:lock w:val="sdtLocked"/>
                <w:richText/>
              </w:sdtPr>
              <w:sdtContent>
                <w:p>
                  <w:pPr>
                    <w:tabs>
                      <w:tab w:val="left" w:pos="1260"/>
                      <w:tab w:val="left" w:pos="1843"/>
                      <w:tab w:val="left" w:pos="2268"/>
                    </w:tabs>
                    <w:spacing w:line="252" w:lineRule="auto"/>
                    <w:ind w:firstLine="709"/>
                    <w:jc w:val="both"/>
                    <w:rPr>
                      <w:szCs w:val="24"/>
                    </w:rPr>
                  </w:pPr>
                  <w:sdt>
                    <w:sdtPr>
                      <w:alias w:val="Numeris"/>
                      <w:tag w:val="nr_9709afef0d06406abaf9f86bcf0cf975"/>
                      <w:lock w:val="sdtLocked"/>
                      <w:richText/>
                    </w:sdtPr>
                    <w:sdtContent>
                      <w:r>
                        <w:rPr>
                          <w:szCs w:val="24"/>
                        </w:rPr>
                        <w:t>145</w:t>
                      </w:r>
                    </w:sdtContent>
                  </w:sdt>
                  <w:r>
                    <w:rPr>
                      <w:szCs w:val="24"/>
                    </w:rPr>
                    <w:t>. Įmonės, pažeidusios Metodikoje nustatytus reikalavimus, atsako teisės aktų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6 p."/>
                <w:tag w:val="part_1efbfe28d9f041f39e61b8f3f6301c00"/>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1efbfe28d9f041f39e61b8f3f6301c00"/>
                      <w:lock w:val="sdtLocked"/>
                      <w:richText/>
                    </w:sdtPr>
                    <w:sdtContent>
                      <w:r>
                        <w:rPr>
                          <w:szCs w:val="24"/>
                        </w:rPr>
                        <w:t>146</w:t>
                      </w:r>
                    </w:sdtContent>
                  </w:sdt>
                  <w:r>
                    <w:rPr>
                      <w:szCs w:val="24"/>
                    </w:rPr>
                    <w:t>. Tarybos veiksmai ir neveikimas, susiję su Metodikos laikymusi ir įgyvendinimu,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1ea91068fc11ee9fc7ee37cec6fc59">
            <w:r w:rsidRPr="00532B9F">
              <w:rPr>
                <w:rFonts w:ascii="Times New Roman" w:eastAsia="MS Mincho" w:hAnsi="Times New Roman"/>
                <w:sz w:val="20"/>
                <w:iCs/>
                <w:color w:val="0000FF" w:themeColor="hyperlink"/>
                <w:u w:val="single"/>
              </w:rPr>
              <w:t>O3E-1481</w:t>
            </w:r>
          </w:fldSimple>
          <w:r>
            <w:rPr>
              <w:rFonts w:ascii="Times New Roman" w:eastAsia="MS Mincho" w:hAnsi="Times New Roman"/>
              <w:sz w:val="20"/>
              <w:iCs/>
            </w:rPr>
            <w:t>,
2023-10-12,
paskelbta TAR 2023-10-12, i. k. 2023-20145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a238f0aba611eea5a28c81c82193a8">
            <w:r w:rsidRPr="00532B9F">
              <w:rPr>
                <w:rFonts w:ascii="Times New Roman" w:eastAsia="MS Mincho" w:hAnsi="Times New Roman"/>
                <w:sz w:val="20"/>
                <w:iCs/>
                <w:color w:val="0000FF" w:themeColor="hyperlink"/>
                <w:u w:val="single"/>
              </w:rPr>
              <w:t>O3E-3</w:t>
            </w:r>
          </w:fldSimple>
          <w:r>
            <w:rPr>
              <w:rFonts w:ascii="Times New Roman" w:eastAsia="MS Mincho" w:hAnsi="Times New Roman"/>
              <w:sz w:val="20"/>
              <w:iCs/>
            </w:rPr>
            <w:t>,
2024-01-05,
paskelbta TAR 2024-01-05, i. k. 2024-00202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2541f6991111f0a8bbd1e98310677d">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2025-09-24,
paskelbta TAR 2025-09-24, i. k. 2025-15816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72</w:t>
    </w:r>
    <w:r>
      <w:rPr>
        <w:szCs w:val="24"/>
        <w:lang w:val="en-GB"/>
      </w:rPr>
      <w:fldChar w:fldCharType="end"/>
    </w:r>
  </w:p>
  <w:p>
    <w:pPr>
      <w:tabs>
        <w:tab w:val="center" w:pos="4819"/>
        <w:tab w:val="right" w:pos="9638"/>
      </w:tabs>
      <w:spacing w:after="160" w:line="259" w:lineRule="auto"/>
      <w:rPr>
        <w:sz w:val="22"/>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63</w:t>
    </w:r>
    <w:r>
      <w:rPr>
        <w:szCs w:val="24"/>
        <w:lang w:val="en-GB"/>
      </w:rPr>
      <w:fldChar w:fldCharType="end"/>
    </w:r>
  </w:p>
  <w:p>
    <w:pPr>
      <w:tabs>
        <w:tab w:val="center" w:pos="4819"/>
        <w:tab w:val="right" w:pos="9638"/>
      </w:tabs>
      <w:spacing w:after="160" w:line="259" w:lineRule="auto"/>
      <w:rPr>
        <w:sz w:val="22"/>
        <w:szCs w:val="24"/>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65</w:t>
    </w:r>
    <w:r>
      <w:rPr>
        <w:szCs w:val="24"/>
        <w:lang w:val="en-GB"/>
      </w:rPr>
      <w:fldChar w:fldCharType="end"/>
    </w:r>
  </w:p>
  <w:p>
    <w:pPr>
      <w:tabs>
        <w:tab w:val="center" w:pos="4819"/>
        <w:tab w:val="right" w:pos="9638"/>
      </w:tabs>
      <w:spacing w:after="160" w:line="259" w:lineRule="auto"/>
      <w:rPr>
        <w:sz w:val="22"/>
        <w:szCs w:val="24"/>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66</w:t>
    </w:r>
    <w:r>
      <w:rPr>
        <w:szCs w:val="24"/>
        <w:lang w:val="en-GB"/>
      </w:rPr>
      <w:fldChar w:fldCharType="end"/>
    </w:r>
  </w:p>
  <w:p>
    <w:pPr>
      <w:tabs>
        <w:tab w:val="center" w:pos="4819"/>
        <w:tab w:val="right" w:pos="9638"/>
      </w:tabs>
      <w:spacing w:after="160" w:line="259" w:lineRule="auto"/>
      <w:rPr>
        <w:sz w:val="22"/>
        <w:szCs w:val="24"/>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9F5A7C"/>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8.xml"/>
  <Relationship Id="rId11" Type="http://schemas.openxmlformats.org/officeDocument/2006/relationships/footer" Target="footer67.xml"/>
  <Relationship Id="rId12" Type="http://schemas.openxmlformats.org/officeDocument/2006/relationships/footer" Target="footer68.xml"/>
  <Relationship Id="rId13" Type="http://schemas.openxmlformats.org/officeDocument/2006/relationships/header" Target="header69.xml"/>
  <Relationship Id="rId14" Type="http://schemas.openxmlformats.org/officeDocument/2006/relationships/footer" Target="footer69.xml"/>
  <Relationship Id="rId15" Type="http://schemas.openxmlformats.org/officeDocument/2006/relationships/hyperlink" TargetMode="External" Target="https://www.e-tar.lt/portal/lt/legalAct/83778010052011e9a5eaf2cd290f1944/asr"/>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6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da696c297cf74df994ad1702b4ad25f6">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692be4127a2046bbb876c1b2784e9225"/>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76171429bb6846d2a1c491a870740a3f"/>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7299975c66994e5983ca4c0dcb4dcd44"/>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d09b6eb61a5c4d6a9fc16a17c25fe18f"/>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379fe8f3778d4f04b6a4aace21b92840" PartId="371d2291093b492293ec050dd2e4dcf7"/>
            <Part Type="papunktis" Nr="9.2.2" Abbr="9.2.2 pp." DocPartId="e129ff6a67c6434fae29f45f8870db6c" PartId="4e81ee7960c14d618f9199bb0b2c713b"/>
            <Part Type="papunktis" Nr="9.2.3" Abbr="9.2.3 pp." DocPartId="77781004e08d43089679a3a484633521" PartId="a0247dd4219e4a03aeb734360593382e"/>
            <Part Type="papunktis" Nr="9.2.4" Abbr="9.2.4 pp." DocPartId="8a4813876bc341318fbf15832eaf8273" PartId="bdc5bab346e04dd987d5d2f32746c8e5"/>
            <Part Type="papunktis" Nr="9.2.5" Abbr="9.2.5 pp." DocPartId="05948f36940c468aa04ce58472dbb7ba" PartId="42ec0ca900f34763acc67a2c9fb68c51"/>
            <Part Type="papunktis" Nr="9.2.6" Abbr="9.2.6 pp." DocPartId="8709b457cce14ffdac8b3cb81aec07a4" PartId="90adc8c0e1fe4f3d95181c90e3a6d1e6"/>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f7884cdfefe94b9f97c7d39bb36f3a34"/>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a80652d7d7f64eafa87862b125571fa0"/>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34cc8e57c9134ba896a5416a128e0e8f"/>
            <Part Type="papunktis" Nr="11.2.3" Abbr="11.2.3 pp." DocPartId="aebd0ac749e347398b0f67a283399645" PartId="6716a82fecda4c118a45cc96028568d8"/>
          </Part>
          <Part Type="papunktis" Nr="11.3" Abbr="11.3 pp." DocPartId="53b3bdb31e9243f4b9a3ccb51eb12778" PartId="2a7b9006c8ad408696f9e1dbc52f1e5c"/>
          <Part Type="papunktis" Nr="11.4" Abbr="11.4 pp." DocPartId="cea088ecb90849089c4b5f0179b9c781" PartId="de790a27dc2441819d546deb50e9ebba"/>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690bd353aaa64d658115199b54142927"/>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237ae3e65f4645fcb775028a844fa680">
          <Part Type="papunktis" Nr="14.1" Abbr="14.1 pp." DocPartId="47b6f376e2b84531b67906cf380aed18" PartId="477c18254f8b410682935933a1727fa9"/>
          <Part Type="papunktis" Nr="14.2" Abbr="14.2 pp." DocPartId="29f87f227d17424fad76a8d2885c2446" PartId="81992d1a9c4544a5863135ac58420688"/>
          <Part Type="papunktis" Nr="14.3" Abbr="14.3 pp." DocPartId="ffb6640fe3c0485a9e8c385ec1171424" PartId="6cb71664a4ca4e01be15ab276c4025ad"/>
        </Part>
        <Part Type="punktas" Nr="15" Abbr="15 p." DocPartId="8804e3ec937c4955977c7cc112544be4" PartId="f4114a51d4c34bca99c366279f91ffa3"/>
        <Part Type="punktas" Nr="16" Abbr="16 p." DocPartId="cddace8c15d84a7aad407fc3ae55dcaf" PartId="b91850475ace41b3ad50c9b1528c2df7"/>
        <Part Type="punktas" Nr="17" Abbr="17 p." DocPartId="7a31f4e39c63480fa938c1580727a019" PartId="4aca46735e2f4e719af68d386f206caf"/>
        <Part Type="punktas" Nr="18" Abbr="18 p." DocPartId="e31c6f77b922473182c60a8333f7b47b" PartId="a515cb9fa2fa490f8e558c9df531ef8e"/>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86b86beb3bfe42b1a659a992e286c7d7">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ee7273d2f49341af97af323c6d4ce499">
          <Part Type="papunktis" Nr="22.1" Abbr="22.1 pp." DocPartId="2afa5059d02142128796f034e99b4ae7" PartId="a1065d1730f34437945c105888d4b336"/>
          <Part Type="papunktis" Nr="22.2" Abbr="22.2 pp." DocPartId="7eb67a8221ee47079663a50124ded88a" PartId="941b05336eb6434e80d79fef18b207ff"/>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5b8274f0be8c4dc8ba4043c72804863a"/>
        </Part>
        <Part Type="punktas" Nr="23-1" Abbr="23-1 p." DocPartId="e99de1d5ed3847f89457e7889e25d2da" PartId="067f1943b0704ecd865521726825c8d4"/>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ac44d2c7e1ed436185302751e3a0b22a"/>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3bde5725e2c8495982255a8e59a3a8c9"/>
            <Part Type="papunktis" Nr="24.2.6" Abbr="24.2.6 pp." DocPartId="77e53e9783e64e4fa85c5b14ced49af1" PartId="b0cccb2069684b7e93205d45650b64dd"/>
            <Part Type="papunktis" Nr="24.2.7" Abbr="24.2.7 pp." DocPartId="6acf25f86f3f437192ed8b7a8e3dd1b6" PartId="13674a8e656f4c94bf52002689807445"/>
          </Part>
        </Part>
        <Part Type="punktas" Nr="24-1" Abbr="24-1 p." DocPartId="7af764d4758941f58bf16ecbfa7f0e80" PartId="f73ee11e7d8c46fb804654134166fb86"/>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f64cf270abda4f5a909a11e33181ab00"/>
          <Part Type="papunktis" Nr="25.3" Abbr="25.3 pp." DocPartId="e81c37d71e114669ab1249628e2376ca" PartId="b1e7739dea76462887531cc0fc5d7477">
            <Part Type="papunktis" Nr="25.3.1" Abbr="25.3.1 pp." DocPartId="a3eeef4eecd04f6bab56fdce29238ccf" PartId="8bb6690b91f0422a979e846e848308c4"/>
            <Part Type="papunktis" Nr="25.3.2" Abbr="25.3.2 pp." DocPartId="cf2675ce9b4f44af8959a0a98597ece0" PartId="c8f0824b10db4078874108a5a1e490da"/>
            <Part Type="papunktis" Nr="25.3.3" Abbr="25.3.3 pp." DocPartId="d2cc6512b30f495ba91014c210653cab" PartId="c8e9bb4723b9450f83cb4572c33c77fb"/>
            <Part Type="papunktis" Nr="25.3.4" Abbr="25.3.4 pp." DocPartId="6cf655756e3e401485421a6c5c7248c1" PartId="bb0e1140db2342ebb9cf39108c54216e"/>
            <Part Type="papunktis" Nr="25.3.5" Abbr="25.3.5 pp." DocPartId="c7c4df1304984b899226c44143e561c7" PartId="38473748c5864b33a00762159855098c"/>
          </Part>
          <Part Type="papunktis" Nr="25.3-1" Abbr="25.3-1 pp." DocPartId="4b67d60c81cc4ad98b2738bbdcb9d457" PartId="40c14e06cd474519b45618b23fa38e11"/>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7160ddfbbdc4d5bb856dd6a05a3b8df">
            <Part Type="papunktis" Nr="29.1.1" Abbr="29.1.1 pp." DocPartId="bc8e7595b6e5404e835b8bf6848bffa2" PartId="77086c258836400cade8414e5920ce2c">
              <Part Type="papunktis" Nr="29.1.1.1" Abbr="29.1.1.1 pp." DocPartId="6d275360311b4fc2aa91476f5cda86f4" PartId="215bb9c8c98e4332b858acf817729f61"/>
              <Part Type="papunktis" Nr="29.1.1.2" Abbr="29.1.1.2 pp." DocPartId="55b401b6142248adaf0dea2e007ef2c3" PartId="9f69f1ba96e543aaa69cc662f607e7f5"/>
              <Part Type="papunktis" Nr="29.1.1.3" Abbr="29.1.1.3 pp." DocPartId="635de6370a574c2087429edf03c9915a" PartId="e55b7c50752344679d0f0bffce2077a9">
                <Part Type="papunktis" Nr="29.1.1.3.1" Abbr="29.1.1.3.1 pp." DocPartId="274d7498778047b1905b6df088c5a508" PartId="de604b02746e4062a73e11cb28becbe2"/>
                <Part Type="papunktis" Nr="29.1.1.3.2" Abbr="29.1.1.3.2 pp." DocPartId="bf14e3de983f4432b01d3dd12eefcbf5" PartId="2eee5d99f7574e11a48792e969ee002d"/>
                <Part Type="papunktis" Nr="29.1.1.3.3" Abbr="29.1.1.3.3 pp." DocPartId="77eb042a86594e8b8495f3d2b4429f3f" PartId="f0dbcc8eaa914b74b2a90a71129b1ace"/>
              </Part>
              <Part Type="papunktis" Nr="29.1.1.4" Abbr="29.1.1.4 pp." DocPartId="4f0df00512a94067b8e155d30da3cec5" PartId="76127c9b0d1147308ed1329d375a7823"/>
              <Part Type="papunktis" Nr="29.1.1.5" Abbr="29.1.1.5 pp." DocPartId="0dd9b8afd8944e8ab416ddddfb4dafcc" PartId="af335b69aae442d88f366ef1f27ebb6e"/>
              <Part Type="papunktis" Nr="29.1.1.6" Abbr="29.1.1.6 pp." DocPartId="3b44486f59a24ab8b8bf4407c1dd363d" PartId="75340416e88a40bfaf3918b762efe1db"/>
            </Part>
            <Part Type="papunktis" Nr="29.1.2" Abbr="29.1.2 pp." DocPartId="6c30db982ca74ae2b76cb03457f41f2f" PartId="143eb9daf32f4edc9bf2bc0720ee4faa">
              <Part Type="papunktis" Nr="29.1.2.1" Abbr="29.1.2.1 pp." DocPartId="dad05a4276d34997bb9f6ea18dd7b3c8" PartId="ae6d4b6c4b6b45cdb1b4df76054775e4">
                <Part Type="papunktis" Nr="29.1.2.1.1" Abbr="29.1.2.1.1 pp." DocPartId="ffe44e19042b427395423696ef0c8ea2" PartId="4ef85920335f4eb3b8eed3f94c134fb1"/>
                <Part Type="papunktis" Nr="29.1.2.1.2" Abbr="29.1.2.1.2 pp." DocPartId="4d3ab952788a484aa007822dc7aa5de4" PartId="73bbb1884d4e4211afda9e132f5b25ed"/>
                <Part Type="papunktis" Nr="29.1.2.1.3" Abbr="29.1.2.1.3 pp." DocPartId="4eee520cb5004ed5af0e148f6e528c42" PartId="142b8499e9574a08af1e260808e8214f">
                  <Part Type="papunktis" Nr="29.1.2.1.3.1" Abbr="29.1.2.1.3.1 pp." DocPartId="688426c77bed4d52821823becab4f304" PartId="b8276c0583074ab69f3ca228401bc571"/>
                  <Part Type="papunktis" Nr="29.1.2.1.3.2" Abbr="29.1.2.1.3.2 pp." DocPartId="8618d01ebe9b43f8a74dfad8d1d62d6f" PartId="2731e7a3cffa4100989f09e693b8280a"/>
                  <Part Type="papunktis" Nr="29.1.2.1.3.3" Abbr="29.1.2.1.3.3 pp." DocPartId="8bd5f676fa114ee0b96135e0f5dbaf6d" PartId="4323a5eb1f7c439bae59164ea4e4f7e7"/>
                </Part>
                <Part Type="papunktis" Nr="29.1.2.1.4" Abbr="29.1.2.1.4 pp." DocPartId="ffe2d39d0d244b72a252dabc03239fa5" PartId="549cf68216f44744afb9344792de7392"/>
                <Part Type="papunktis" Nr="29.1.2.1.5" Abbr="29.1.2.1.5 pp." DocPartId="5b17a318a07b454ebd79ecd88c8566dd" PartId="9d016d8f51c84bc1902fd1076ea6271e"/>
                <Part Type="papunktis" Nr="29.1.2.1.6" Abbr="29.1.2.1.6 pp." DocPartId="6babde19fc3540bbb5551b9d11b4c2c8" PartId="aa0d856b4f7f485cbb0215ab91bd70af"/>
              </Part>
              <Part Type="papunktis" Nr="29.1.2.2" Abbr="29.1.2.2 pp." DocPartId="d9ff3dd0cc9a4267aecd56101dd67238" PartId="190f0d52ea344fefa7d6c4f68eeeec76">
                <Part Type="papunktis" Nr="29.1.2.2.1" Abbr="29.1.2.2.1 pp." DocPartId="5f1444b6c68444fab6b18ae59534c375" PartId="13eed7e098cf47ba8f53499d4cc15cb4"/>
                <Part Type="papunktis" Nr="29.1.2.2.2" Abbr="29.1.2.2.2 pp." DocPartId="37b1c22f9d0a4608b31d5d9fb477dbf8" PartId="fd74078028684abf85ea9385b634e8f0"/>
                <Part Type="papunktis" Nr="29.1.2.2.3" Abbr="29.1.2.2.3 pp." DocPartId="740b67057a3f4c88886fc382f41850b6" PartId="803095f494d345a98e44541ea3c5e7d7">
                  <Part Type="papunktis" Nr="29.1.2.2.3.1" Abbr="29.1.2.2.3.1 pp." DocPartId="c911934b3eea420f92f0d1a9af03db35" PartId="53166e1b2e444fbe8efa5b82f355ba6f"/>
                  <Part Type="papunktis" Nr="29.1.2.2.3.2" Abbr="29.1.2.2.3.2 pp." DocPartId="de9cf4cce2994b7f88e3448e674c4115" PartId="5534c4d9751e4b19b891436aeb6d42c7"/>
                  <Part Type="papunktis" Nr="29.1.2.2.3.3" Abbr="29.1.2.2.3.3 pp." DocPartId="5ffe8e19260245f88dc5e27f9298bc6b" PartId="772fd927c3b84bb2984f762577bf23b0"/>
                </Part>
                <Part Type="papunktis" Nr="29.1.2.2.4" Abbr="29.1.2.2.4 pp." DocPartId="c9b04c2fd1fd41dab99a1992c34ee8b4" PartId="f6c298d1c15046d4b46449001a5130b0"/>
                <Part Type="papunktis" Nr="29.1.2.2.5" Abbr="29.1.2.2.5 pp." DocPartId="22a1731685f1469b8057e0b4872547f1" PartId="bc8101916ef94eaaac8b11925e697dc7"/>
                <Part Type="papunktis" Nr="29.1.2.2.6" Abbr="29.1.2.2.6 pp." DocPartId="01dacd16fabd4938b40ccffff7a044e6" PartId="758f5456c80c48779856c47a9b93eb42"/>
              </Part>
            </Part>
          </Part>
          <Part Type="papunktis" Nr="29.2" Abbr="29.2 pp." DocPartId="6214ea6fb6864493b1664bbfea6f6ca6" PartId="e94deba0fb714aa9861b4fb84cad0c77">
            <Part Type="papunktis" Nr="29.2.1" Abbr="29.2.1 pp." DocPartId="9ca7bb2c45324de9b987807186d0d286" PartId="06329c205ce74dacbe32edd1484bd8b1"/>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0a10dadb783a4ae8a24263bfb96c7c63"/>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2675229342594a73832b279c21e57472"/>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42068f6fbdc440578156d93ce208c519"/>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a47b3c7f6f214bbf851f5f08f0531699"/>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92c091ba1975466da0222e6689fa04c6"/>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cdae6bb4a83141688aaf1ae1fdcdec86">
          <Part Type="papunktis" Nr="36.1" Abbr="36.1 pp." DocPartId="c0c7ee64f48a4f0f93d914c153db6195" PartId="0e5e1af700bc412191e7cc934ff023fc"/>
          <Part Type="papunktis" Nr="36.2" Abbr="36.2 pp." DocPartId="b594f94afec04ff7851235be4efcda37" PartId="0ecfa38025214b53b9b367c020a2334f"/>
          <Part Type="papunktis" Nr="36.3" Abbr="36.3 pp." DocPartId="28b56ba40ab34c05ba11332adb5d3f4e" PartId="a5c7439d286e43c49be4e94d13eab82c"/>
        </Part>
        <Part Type="punktas" Nr="37" Abbr="37 p." DocPartId="786db3943bd1428885bf4c220d1a398e" PartId="37df5cd9b8a14d648a1dbb1695d7518f"/>
        <Part Type="punktas" Nr="38" Abbr="38 p." DocPartId="49783678195c42b8b625b42f8f8a70df" PartId="3bcd466850be4bd3957e47f2775fa4f7"/>
        <Part Type="punktas" Nr="39" Abbr="39 p." DocPartId="67e8608b565b47c7a673a31002938244" PartId="7c2d86c52adf4a579137a0b9878c617c"/>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5-1" Abbr="45-1 p." DocPartId="2b81c4d5d15d4f218cf3135da599aadb" PartId="a98c8cd033374ca6a9b16c46d1467628"/>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38b090d8210a4d17ac653551ff42483e"/>
          <Part Type="papunktis" Nr="52.2" Abbr="52.2 pp." DocPartId="bfd598e531c049e6b72d7082de247f0f" PartId="9568eaee03e64d4f9c0a6a9d43608a08"/>
          <Part Type="papunktis" Nr="52.3" Abbr="52.3 pp." DocPartId="d71a9b04ee754f718218134e1af463cd" PartId="ec2ceff84f38455abb303f2b0b998838"/>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0a7f973626924f6ab86785ffe35370f9"/>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7996d09d75234e98bdbc6b09551accce"/>
        <Part Type="punktas" Nr="60" Abbr="60 p." DocPartId="c2875babb84840bc8e4e5d78b17f2d64" PartId="d64dac6c75f946b090689a7b845bf65b"/>
        <Part Type="punktas" Nr="61" Abbr="61 p." DocPartId="bd459d5a6b50455a9de11522170175ad" PartId="1f396366f57143748783a4812bc8928d"/>
        <Part Type="punktas" Nr="62" Abbr="62 p." DocPartId="57aec78c6362439d85bcb1de56ecd08b" PartId="064cce36cec64f96bf17f5a0bca14efb"/>
        <Part Type="punktas" Nr="63" Abbr="63 p." DocPartId="190d8a60e6bf46d2b53802d5ba3fa455" PartId="4e6d7d3d9c9545779a1e079ab32dba81"/>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f0bb86b360b54e3fab5b44012547a1dc"/>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4b25c6fc9c1f462ba46d7856bf8aa456"/>
        <Part Type="punktas" Nr="69" Abbr="69 p." DocPartId="ecf8d6c2a35f4461a1d7608f4ab222b6" PartId="67c10f851a934af7a8f6dc6c6c612bc8"/>
        <Part Type="punktas" Nr="70" Abbr="70 p." DocPartId="08f8408186494801a29ae25e6e28c7eb" PartId="84fb94b289b2482c9bccaa54b1913675"/>
        <Part Type="punktas" Nr="71" Abbr="71 p." DocPartId="d1ed73cf55904fbc8b43bc8b34e07404" PartId="912f9c686bb74923b2121bc6b2264c6c"/>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fcb220515b34404f80f2b68b3b920ba5"/>
          <Part Type="papunktis" Nr="73.2" Abbr="73.2 pp." DocPartId="e9a1a7342e9f48448c7c3bb873109b25" PartId="e1f00cc4ac544dd2998c7f8035e5ad0f"/>
        </Part>
        <Part Type="punktas" Nr="74" Abbr="74 p." DocPartId="1d2e39b9cc6c4ec2abd0e2c0d24c85d2" PartId="970672610a614f268990879a15d4e748"/>
        <Part Type="punktas" Nr="75" Abbr="75 p." DocPartId="015524a569734faf9ce2a88774e3d6cd" PartId="ebcf5cac4efd444096e49293a5018a7a"/>
        <Part Type="punktas" Nr="76" Abbr="76 p." DocPartId="c6913a5a1b344312adbf2b1a8d1d2dea" PartId="3401b15b7ef04d269831442e0a5e7fd0"/>
        <Part Type="punktas" Nr="77" Abbr="77 p." DocPartId="e7757d8f1bcd4100b804a45c76855847" PartId="f466ce44180a4ebf989cef624423683d"/>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cd62d376045d49c394c49553ded86c98"/>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343f5265c8d745f79e997d0a34b84501"/>
        <Part Type="punktas" Nr="84" Abbr="84 p." DocPartId="00e0a5ee2868494abc225a61c58a9a1e" PartId="0b44f8c285c5422d9f420bd5d3c3d8bb"/>
        <Part Type="punktas" Nr="85" Abbr="85 p." DocPartId="81c1334550ed4834907364eb870f70ea" PartId="6135cb02b34d4ba8b2e30d77256d9e10"/>
        <Part Type="punktas" Nr="86" Abbr="86 p." DocPartId="ba7756e711944312bb68845c8ce5a976" PartId="4461794904be4ca98e2d342b38925286"/>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a7a37b86623d470eb9e73feba2970e25"/>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5b4da977efd340558b358706b6b9817b"/>
      <Part Type="punktas" Nr="92" Abbr="92 p." DocPartId="9c22af333f7c46d898eb5a9056566258" PartId="b07b7ddc7e6a444f84860e9eb4334d6c"/>
      <Part Type="punktas" Nr="93" Abbr="93 p." DocPartId="bbc421cfd52b461bb4f1f8d30a910c46" PartId="44816c9816974f46af24bf2778d788a8"/>
      <Part Type="punktas" Nr="94" Abbr="94 p." DocPartId="738b6d32a5434eeeb84f146d97a97835" PartId="d5b26ea4e6504544a4d8c76af4a146da"/>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8aa93882bf004fcfb9633702ca658aba"/>
      <Part Type="punktas" Nr="97" Abbr="97 p." DocPartId="3314ca6189134e368d0a94985e4ff26e" PartId="463f1905107147be89edd563ac373148">
        <Part Type="papunktis" Nr="97.1" Abbr="97.1 pp." DocPartId="425ca42ebaf74583ab311021854e4ec7" PartId="af15ff5b9b5f406cb581b86bb4644225"/>
        <Part Type="papunktis" Nr="97.2" Abbr="97.2 pp." DocPartId="8c19dad0331248779daeb62ea63d9ce0" PartId="04fd699fa221430080e6441f02b6f547"/>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ce6125282cdb4f7aaeb03559b021a3e0"/>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a707b68f46c64e519029b78cad1522bc"/>
      <Part Type="punktas" Nr="104" Abbr="104 p." DocPartId="2b3eea0ea7b94748b09c09c56726f27e" PartId="1b0bd180f1eb4df6b5c18332e3675942"/>
      <Part Type="punktas" Nr="105" Abbr="105 p." DocPartId="c1f0918a257640fca58dfd36b3c48917" PartId="84e6b328a2764fc094b9f68eb024251f"/>
      <Part Type="punktas" Nr="106" Abbr="106 p." DocPartId="b8afeca9eaeb49d48130d8ddbb111dae" PartId="1185ac731f89465a867a2522e97e06b0"/>
      <Part Type="punktas" Nr="107" Abbr="107 p." DocPartId="8fff956bb8dc4673985f67aa6f5490b3" PartId="ce201bbccd334beb86f7e1bb476788bb"/>
      <Part Type="punktas" Nr="108" Abbr="108 p." DocPartId="06b0ee67557248dba6aa95f1918ef15c" PartId="73a5db879f80410382ef5e8bae508807"/>
      <Part Type="punktas" Nr="109" Abbr="109 p." DocPartId="f58b412a27b24591b1f3850e37df974d" PartId="fcbcbce6186b476ba072600c71b122a9"/>
      <Part Type="punktas" Nr="110" Abbr="110 p." DocPartId="ea868e51685e4023b95680dfd94b4095" PartId="09c90857ef6445bf9fac2cc66146efce"/>
    </Part>
    <Part Type="skyrius" Nr="7" Title="VISUOMENINIŲ ELEKTROS ENERGIJOS KAINŲ VIRŠUTINIŲ RIBŲ NUSTATYMAS" DocPartId="f12ee9c8065b40b6a4fd8db25b75d5ee" PartId="957c179d2ab4457281a2ed2bef6bf19a">
      <Part Type="punktas" Nr="111" Abbr="111 p." DocPartId="2f32d730802f4561b05682a3eb5cea5e" PartId="c0056f8a843b44fdb23c33ae0752218a"/>
      <Part Type="punktas" Nr="112" Abbr="112 p." DocPartId="272917e60cf441eca085ca123e25eb32" PartId="5113990e2ee34c148fc15febb335616d"/>
      <Part Type="punktas" Nr="113" Abbr="113 p." DocPartId="a33f2fdcb3b94b0eb443e9185a83b3da" PartId="41876029bf014d67860de78d9e698401">
        <Part Type="papunktis" Nr="113.1" Abbr="113.1 pp." DocPartId="0e4c6751381149e7986e5ad8336711bb" PartId="dd9fcb6f98ce404db38a4dcd90d81a7e"/>
        <Part Type="papunktis" Nr="113.2" Abbr="113.2 pp." DocPartId="c097c502e6254773ad57b3bc5c5d3a9b" PartId="5adb7e20067749f7b6213c32a1901857"/>
        <Part Type="papunktis" Nr="113.3" Abbr="113.3 pp." DocPartId="fce9ec7a787544ad86ceee160063a4b4" PartId="fd41005d70be41e5b5e9193b2277e846"/>
        <Part Type="papunktis" Nr="113.4" Abbr="113.4 pp." DocPartId="dc0aeb6f5147412a8fe9da11c5320c45" PartId="833ed7b3feaf4f26b151c9c2758f0187"/>
        <Part Type="papunktis" Nr="113.5" Abbr="113.5 pp." DocPartId="869055d33c18495cb6bd9687a0894245" PartId="0fbf85614b40416fa3403de4edfd0fcb"/>
      </Part>
      <Part Type="punktas" Nr="114" Abbr="114 p." DocPartId="1e97c2616b9e440aaa213b5bd7fad931" PartId="9b0fd17fba1c4e6b8865c549ff24658d"/>
      <Part Type="punktas" Nr="115" Abbr="115 p." DocPartId="10a84d032a12409c9c914a3f7465d718" PartId="67e89db376834601966a71d32605cd48"/>
      <Part Type="punktas" Nr="116" Abbr="116 p." DocPartId="e6f827c4922a4b53ad128a476ff8bd31" PartId="cd41ec5c94564481be669134e9967591"/>
      <Part Type="punktas" Nr="117" Abbr="117 p." DocPartId="d05cd1dc7c454db288dba5f1f35f7692" PartId="9c1cf5773c6d4851a54b42bddbeabf6a">
        <Part Type="papunktis" Nr="117.1" Abbr="117.1 pp." DocPartId="06135fdd456f43cfb11709b1f4e1e58d" PartId="1edfb127e3a34333b8aff5a1360a1f37"/>
        <Part Type="papunktis" Nr="117.2" Abbr="117.2 pp." DocPartId="efdc2ea1b8d04e7eabcdf1c97489b4ee" PartId="9b10ff5aa0a24da3b59658f241ef9077"/>
        <Part Type="papunktis" Nr="117.3" Abbr="117.3 pp." DocPartId="e48d427b3a60451ba746d9048d5d7214" PartId="84cb2bae59bb46088b72b1e237a4ef8b"/>
        <Part Type="papunktis" Nr="117.4" Abbr="117.4 pp." DocPartId="cb0fa0f0d6f34e6a94a13a72c2d19b64" PartId="41d03325ff984965965f8af555b279dc"/>
        <Part Type="papunktis" Nr="117.5" Abbr="117.5 pp." DocPartId="06ab928d9657485ea715f9f9289bb6e1" PartId="22333463e4b14fe3856017db03b8fcd5"/>
      </Part>
      <Part Type="punktas" Nr="118" Abbr="118 p." DocPartId="46b47058d3614a8189bb86bfde9be9b7" PartId="e90ad734b7804574bf92058dac30777f"/>
      <Part Type="punktas" Nr="119" Abbr="119 p." DocPartId="63e80a24a1474ed4a34fc0cd559d6a2b" PartId="33b1554dcc0d4b21915fd6ea0f104c6d"/>
      <Part Type="punktas" Nr="120" Abbr="120 p." DocPartId="86234f4a7a8b4e608f7ddda1d1083704" PartId="8f2d731d7a9b4d8595bfc76753e1fc89"/>
      <Part Type="punktas" Nr="121" Abbr="121 p." DocPartId="2b38a5bb522a404bae6e7fe3e7b5684f" PartId="4c43f37aae3744f8b9e64a68884eea7b"/>
      <Part Type="punktas" Nr="122" Abbr="122 p." DocPartId="0793b4d7b0994f748cd2fec42cc0d8d6" PartId="6a69bf2509904537979a00f42886b5cf"/>
      <Part Type="punktas" Nr="123" Abbr="123 p." DocPartId="d9a629fcad074295b3ce822bd2722767" PartId="f17b3f9ad90046b282713a0205dfd321"/>
      <Part Type="punktas" Nr="124" Abbr="124 p." DocPartId="c41db86bd6514adf8b2e85e6296e1bc1" PartId="fde96a6750ff4da8a6135a6aa1a5fa41"/>
      <Part Type="punktas" Nr="125" Abbr="125 p." DocPartId="c6ed16e913d04f58b2fe54b4b85fc3a3" PartId="4eba15f1cbc944a291e8251acdbce2f0">
        <Part Type="papunktis" Nr="125.1" Abbr="125.1 pp." DocPartId="e84059b5e7c744259a8c981d4fc77fc2" PartId="4d87e901bc7849c2b284fbefdf0cd0cf"/>
        <Part Type="papunktis" Nr="125.2" Abbr="125.2 pp." DocPartId="70b561eb2fb543edbc72a17e77c097e1" PartId="3df7cc2437c94554a49193fcdcda9b5e"/>
      </Part>
      <Part Type="punktas" Nr="126" Abbr="126 p." DocPartId="e51a036b4f324deab5519d68a939c4c5" PartId="216dc73e996a43e3b8cd1b0faa898ba8"/>
      <Part Type="punktas" Nr="127" Abbr="127 p." DocPartId="209a57b98b6447c0a566130192314118" PartId="b884ec24c4f846b0ac73ddb297ef8e9a"/>
      <Part Type="punktas" Nr="128" Abbr="128 p." DocPartId="409b2c38ac124b00b2f9eb97560e7106" PartId="8abc6eddf9d64b59861da3d16a831e0d"/>
      <Part Type="punktas" Nr="129" Abbr="129 p." DocPartId="ed9b0952328943ba8377b81111573f98" PartId="425caa5715624a63a87a669677d718a7"/>
      <Part Type="punktas" Nr="130" Abbr="130 p." DocPartId="b5f1059a8fe9474c91000304e81bfdcf" PartId="e34b6a4f812440cbb6e0d2d4c954dedd"/>
    </Part>
    <Part Type="skyrius" Nr="8" Title="REIKALAVIMAI, SUSIJĘ SU ĮMONIŲ REGULIUOJAMŲ VEIKLŲ KAINŲ IR KAINŲ VIRŠUTINIŲ RIBŲ NUSTATYMU" DocPartId="6bf15a465a1c4ee7881d757472114e3e" PartId="e6679705c46c446ba9f040612c791a0a">
      <Part Type="punktas" Nr="131" Abbr="131 p." DocPartId="e250f11185d041bcb6bd57a553c33f13" PartId="d7d1cedf5748460a8c770fa512a58690"/>
      <Part Type="punktas" Nr="132" Abbr="132 p." DocPartId="99e19558db834badac101ce586435a03" PartId="bf389bf366a34087b7302be392c05d97"/>
      <Part Type="punktas" Nr="133" Abbr="133 p." DocPartId="87d0d9f88d6a4648b56992bf7f439733" PartId="b7d19f68ea824714ad99dc23f194cbc6"/>
      <Part Type="punktas" Nr="134" Abbr="134 p." DocPartId="2143ef19b2c54059b15e24a3ac02de3a" PartId="29473eaa0e2649d0a5b7d36a03cca858">
        <Part Type="papunktis" Nr="134.1" Abbr="134.1 pp." DocPartId="679710af818c4583a39d55e520bb607c" PartId="2e8b43c24e5c48d9b3c8243fc9b75ee0">
          <Part Type="papunktis" Nr="134.1.1" Abbr="134.1.1 pp." DocPartId="55b1b6681bf049d38151c46955fd6032" PartId="85026ddc745e4ac4ae4589da79571fc4"/>
          <Part Type="papunktis" Nr="134.1.2" Abbr="134.1.2 pp." DocPartId="c200ae8d1ef448f8b4e5afc487c7a3a2" PartId="ad69f468ecb840c390d8c59d223e37d0"/>
          <Part Type="papunktis" Nr="134.1.3" Abbr="134.1.3 pp." DocPartId="dd5bbe0c001d4d7fa5d447674e373116" PartId="b8928614525d46768b588530ac5889ca"/>
          <Part Type="papunktis" Nr="134.1.4" Abbr="134.1.4 pp." DocPartId="d9e07acca64c4184ab772937723ccce0" PartId="46d736119bf244428193f6a4ec42a080"/>
          <Part Type="papunktis" Nr="134.1.5" Abbr="134.1.5 pp." DocPartId="5829d5bd91da40148d11fc230cfdd8e3" PartId="1817368eb3c045e986c84bb7bbc3b4bb"/>
          <Part Type="papunktis" Nr="134.1.6" Abbr="134.1.6 pp." DocPartId="481fc13355e742b6b0df7f19e04e792f" PartId="43c4cb09adcc477d8d3ab07df3b11258"/>
          <Part Type="papunktis" Nr="134.1.7" Abbr="134.1.7 pp." DocPartId="b5564d925c124b6c9c2ae7b3066168b8" PartId="6b7cf948732041e6b62db3cecb65ce27"/>
        </Part>
        <Part Type="papunktis" Nr="134.2" Abbr="134.2 pp." DocPartId="7d7c0007e59748f88a1bc869685f7d5c" PartId="f1504971d52c4e6ca4d112d8189fa33e">
          <Part Type="papunktis" Nr="134.2.1" Abbr="134.2.1 pp." DocPartId="bc6a7656b04e46e1862979fe8adfc585" PartId="86657a4c166846b3bc67a55cc80388b3"/>
          <Part Type="papunktis" Nr="134.2.2" Abbr="134.2.2 pp." DocPartId="fa4b80b022f24302a04258a328994072" PartId="fe5df6cd351c4ed6ab9e0dfadf4208b2"/>
          <Part Type="papunktis" Nr="134.2.3" Abbr="134.2.3 pp." DocPartId="8912ed69e06043dcb9e10e0e4eecf29d" PartId="78cf03def6224870a9c5cd14fcd3ba5a"/>
          <Part Type="papunktis" Nr="134.2.4" Abbr="134.2.4 pp." DocPartId="d1c2acf406f14af7ae8610d0a6fd44b8" PartId="6f6f89530edb4a46a82f46d17c159669"/>
          <Part Type="papunktis" Nr="134.2.5" Abbr="134.2.5 pp." DocPartId="f9beac80eccf49f8b1856acc7ccd2606" PartId="6f2688358adf42c5aea36025491ea269"/>
          <Part Type="papunktis" Nr="134.2.6" Abbr="134.2.6 pp." DocPartId="15661cebee584e24b39f4d58ca1102d9" PartId="67972e7fff6e47db8b0de4c79f2dc2d8"/>
          <Part Type="papunktis" Nr="134.2.7" Abbr="134.2.7 pp." DocPartId="641dbd3fd5ec4f3d8277cdf6df96403d" PartId="823d631387aa49d5a2f60e2ea3586cf8"/>
        </Part>
        <Part Type="papunktis" Nr="134.3" Abbr="134.3 pp." DocPartId="053fe1ae0945464abcc745b6996d7485" PartId="ca12a9ea2a2b4ea1bc47dac4a79ed813">
          <Part Type="papunktis" Nr="134.3.1" Abbr="134.3.1 pp." DocPartId="6a64cbde4caf4ce481986f9da0629f07" PartId="12d49bfc0df54ff9abb093ad780fa0a9"/>
          <Part Type="papunktis" Nr="134.3.2" Abbr="134.3.2 pp." DocPartId="4585a753cc104f0ca941a9c7a19d8079" PartId="7127fcc110004a5399de631d4f834646"/>
          <Part Type="papunktis" Nr="134.3.3" Abbr="134.3.3 pp." DocPartId="5cf97e6f11e44934995bb55ef4eff6d1" PartId="84064b8ca5994f58882618e9cea23143"/>
          <Part Type="papunktis" Nr="134.3.4" Abbr="134.3.4 pp." DocPartId="36148ece40634817bd7a246643d1eb92" PartId="5016029563ac4da184f670f3038ef9e4"/>
          <Part Type="papunktis" Nr="134.3.5" Abbr="134.3.5 pp." DocPartId="5d637182e4994fa393e32979b3943880" PartId="3a35ed038de24423a05e7c88518ef558"/>
        </Part>
        <Part Type="papunktis" Nr="134.4" Abbr="134.4 pp." DocPartId="e6f887080d2147d2a9ca05eca52934d6" PartId="8a7458b300e645519701cc97dfd61de3">
          <Part Type="papunktis" Nr="134.4.1" Abbr="134.4.1 pp." DocPartId="02e5b7c1eaf942539a8b5e392da45ac9" PartId="55cb6026b0e74926b7c906d78842c3f5"/>
          <Part Type="papunktis" Nr="134.4.2" Abbr="134.4.2 pp." DocPartId="2256ce8f0ede4c8ca27a2a30e372e7c1" PartId="abc114fd882942de8efca183f5185361"/>
        </Part>
      </Part>
      <Part Type="punktas" Nr="135" Abbr="135 p." DocPartId="33c69a8c213b49338f9fe70e1e75d4ef" PartId="5ec0549c5eaa447bae5c29a278d3d7c7">
        <Part Type="papunktis" Nr="135.1" Abbr="135.1 pp." DocPartId="cd6bb7c217e243a7a08b9fb211764539" PartId="0d9eb79a12af407083324c455898bcd5">
          <Part Type="papunktis" Nr="135.1.1" Abbr="135.1.1 pp." DocPartId="605d5664935d48c5844690510df9bf07" PartId="848dad0734d44ce19139711f871795e5"/>
          <Part Type="papunktis" Nr="135.1.2" Abbr="135.1.2 pp." DocPartId="3991451128bf468f98d21430d3e4fcbd" PartId="bedcee84316748fca7d43103e33ec165"/>
          <Part Type="papunktis" Nr="135.1.3" Abbr="135.1.3 pp." DocPartId="a1e7d8ea2c8b471e80a5c1fd069d295e" PartId="34823d74dc6e46e8b152115f22945eef"/>
        </Part>
        <Part Type="papunktis" Nr="135.2" Abbr="135.2 pp." DocPartId="6cf6039fb11e4a939e47e0ccf83e6713" PartId="79b29b298a66453c875e6c4dc480a91c">
          <Part Type="papunktis" Nr="135.2.1" Abbr="135.2.1 pp." DocPartId="51da0aae6651489b8d06db7063d2ee26" PartId="8bbb31ecaef044ae82a96ac27f149704"/>
          <Part Type="papunktis" Nr="135.2.2" Abbr="135.2.2 pp." DocPartId="92b5f8b679344fe7a49ffb7b3f6c50bb" PartId="f6d466b0921540fab2da8b53a406362f"/>
          <Part Type="papunktis" Nr="135.2.3" Abbr="135.2.3 pp." DocPartId="c8f531e3eac0433d810869ae2dade598" PartId="5a251c759ad744aa96c114f8857a086a"/>
        </Part>
        <Part Type="papunktis" Nr="135.3" Abbr="135.3 pp." DocPartId="5862255a4bc549979e908adb90a10ca4" PartId="e530485f4c574d5aa147ba3342ff9617">
          <Part Type="papunktis" Nr="135.3.1" Abbr="135.3.1 pp." DocPartId="370b47d162d9468db216baf264ec96d0" PartId="1efaa29c2d3643cd88e800aac34c9e5b"/>
          <Part Type="papunktis" Nr="135.3.2" Abbr="135.3.2 pp." DocPartId="44d86bc0a3e344008dbfa470f5e47fab" PartId="882993a20a8d4c55a5ec3d77829fbad1"/>
          <Part Type="papunktis" Nr="135.3.3" Abbr="135.3.3 pp." DocPartId="3ac7b29c0f1945949bdff33c905a6cd9" PartId="d8f4d0770f4143f0909581f08c491538"/>
        </Part>
        <Part Type="papunktis" Nr="135.4" Abbr="135.4 pp." DocPartId="83ab0882b71e40689cc90e4b7c86f84b" PartId="fbbd6d951f7245c8a4dc08f565b18fd8">
          <Part Type="papunktis" Nr="135.4.1" Abbr="135.4.1 pp." DocPartId="30ba6251fbe84555b3065511000c0c19" PartId="5a98ce48463b40598769f4ab7d95b5cd"/>
          <Part Type="papunktis" Nr="135.4.2" Abbr="135.4.2 pp." DocPartId="0e4135cdaa0d46c79367e11d3d75951f" PartId="e503d8bc15cf4e0bb74d4bd5dc32dbea"/>
          <Part Type="papunktis" Nr="135.4.3" Abbr="135.4.3 pp." DocPartId="726de725486e4ffbb591ef41f0371925" PartId="897ef964b45e4466b23d04315bbcc58a">
            <Part Type="papunktis" Nr="135.4.3.1" Abbr="135.4.3.1 pp." DocPartId="26c2e09c43574128a36cb3ed77b3e9b2" PartId="ef9ae38555384638a3b7325d80c47562"/>
            <Part Type="papunktis" Nr="135.4.3.2" Abbr="135.4.3.2 pp." DocPartId="fb621c6f7b43443aaa433643335c2de2" PartId="0525f8c1123c41888d86f333d12cf8a6"/>
            <Part Type="papunktis" Nr="135.4.3.3" Abbr="135.4.3.3 pp." DocPartId="f34d5dc46f824e979a11190d38c40dc1" PartId="afa3518a59bd44e7b7abc76115c73bff"/>
            <Part Type="papunktis" Nr="135.4.3.4" Abbr="135.4.3.4 pp." DocPartId="9cac49c3afd34d4d9f4c1900c39ca3ae" PartId="3b49e47a13284a05b9c6f97b82f435c5"/>
          </Part>
        </Part>
      </Part>
      <Part Type="punktas" Nr="136" Abbr="136 p." DocPartId="67cc934bcc75442ba43bebe46c60e17f" PartId="d89c9551ade4423a98b8a8bdf8b01adc"/>
      <Part Type="punktas" Nr="136-1" Abbr="136-1 p." DocPartId="530c3a7d6f7e46399a1d7c49a51dd4fa" PartId="23293467d78645e7a7099ff7666b2bf9">
        <Part Type="papunktis" Nr="136-1.1" Abbr="136-1.1 pp." DocPartId="99f0bac469aa49708ab971ff6add6177" PartId="22887eddec5947a7bb6536da62d1b966"/>
        <Part Type="papunktis" Nr="136-1.2" Abbr="136-1.2 pp." DocPartId="3a355376ad3743098d0dd6a93d3bd798" PartId="4e2b3b178ef348fb8ceb30f7855b32b1"/>
      </Part>
      <Part Type="punktas" Nr="137" Abbr="137 p." DocPartId="baca439979bc4fbda7ef208fb44be8cd" PartId="dfb85c44d37f4b5dac145b1f968c37bc"/>
      <Part Type="punktas" Nr="138" Abbr="138 p." DocPartId="33d7ebb35ce24b41a06c3a07a29d370a" PartId="39609253f145446293a15c491dfdbec4"/>
      <Part Type="punktas" Nr="139" Abbr="139 p." DocPartId="a3b500d21caf4cfa8144bebda13c7bba" PartId="46b880a62d8a477e9a1814afa21e5b3e"/>
      <Part Type="punktas" Nr="140" Abbr="140 p." DocPartId="372127a96e2b4dc2992229e3add5ea0f" PartId="33365b9ed6594d1f80d31dc9967bf950"/>
      <Part Type="punktas" Nr="141" Abbr="141 p." DocPartId="ba130f09f13e47ea95dfa86e4ed615ab" PartId="98b228888bc7497a8b19f63484e3ffd6"/>
      <Part Type="punktas" Nr="142" Abbr="142 p." DocPartId="b8d62ef55ab747a9be512c666553afc6" PartId="e74826901c1c4b69a298e77acb8a57cf"/>
    </Part>
    <Part Type="skyrius" Nr="9" Title="BAIGIAMOSIOS NUOSTATOS" DocPartId="e35cb229445e45e98f5f0bd0c18edd38" PartId="c396bd090d4d4cd892a3005d25d66ac4">
      <Part Type="punktas" Nr="143" Abbr="143 p." DocPartId="48320c5648a348ea99d5e52aaf0a5c81" PartId="5b35affa57834b0cb246e32651d925c2"/>
      <Part Type="punktas" Nr="144" Abbr="144 p." DocPartId="d031f5e329b347b2a742500524bcda58" PartId="e64ddd0d941d40288d73dd0646f8b351"/>
      <Part Type="punktas" Nr="145" Abbr="145 p." DocPartId="1026b9335a2a4a55813a905989d11b50" PartId="9709afef0d06406abaf9f86bcf0cf975"/>
      <Part Type="punktas" Nr="146" Abbr="146 p." DocPartId="260683b7c6db485d93f4fe61b202188e" PartId="1efbfe28d9f041f39e61b8f3f6301c00"/>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68DC15-019F-46E8-B733-0F4D08EACEBF}">
  <ds:schemaRefs>
    <ds:schemaRef ds:uri="http://lrs.lt/TAIS/DocParts"/>
  </ds:schemaRefs>
</ds:datastoreItem>
</file>

<file path=customXml/itemProps3.xml><?xml version="1.0" encoding="utf-8"?>
<ds:datastoreItem xmlns:ds="http://schemas.openxmlformats.org/officeDocument/2006/customXml" ds:itemID="{82269F0B-5522-49A3-A29E-C78D9FE15B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254</TotalTime>
  <Pages>69</Pages>
  <Words>27641</Words>
  <Characters>212349</Characters>
  <Application>Microsoft Office Word</Application>
  <DocSecurity>0</DocSecurity>
  <Lines>1769</Lines>
  <Paragraphs>479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239511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2025-09-30T05:50:00Z</dcterms:modified>
  <revision>66</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