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d6be502eef548c5b6187f8c14d43aab"/>
        <w:lock w:val="sdtLocked"/>
        <w:richText/>
      </w:sdtPr>
      <w:sdtContent>
        <w:p>
          <w:pPr>
            <w:jc w:val="both"/>
            <w:rPr>
              <w:rFonts w:ascii="Times New Roman" w:hAnsi="Times New Roman"/>
            </w:rPr>
          </w:pPr>
          <w:r>
            <w:rPr>
              <w:rFonts w:ascii="Times New Roman" w:hAnsi="Times New Roman"/>
              <w:b/>
              <w:i/>
            </w:rPr>
            <w:t>Suvestinė redakcija nuo 2016-12-10 iki 2017-09-15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2015-01-16, i. k. 2015-00679</w:t>
          </w:r>
        </w:p>
        <w:p>
          <w:pPr>
            <w:jc w:val="both"/>
            <w:rPr>
              <w:rFonts w:ascii="Times New Roman" w:hAnsi="Times New Roman"/>
              <w:sz w:val="20"/>
            </w:rPr>
          </w:pPr>
        </w:p>
        <w:p>
          <w:pPr>
            <w:tabs>
              <w:tab w:val="center" w:pos="4819"/>
              <w:tab w:val="right" w:pos="9638"/>
            </w:tabs>
            <w:rPr>
              <w:szCs w:val="24"/>
              <w:lang w:val="en-GB"/>
            </w:rPr>
          </w:pPr>
          <w:r>
            <w:t xml:space="preserve"> </w:t>
          </w:r>
        </w:p>
        <w:p>
          <w:pPr>
            <w:tabs>
              <w:tab w:val="center" w:pos="4819"/>
              <w:tab w:val="right" w:pos="9638"/>
            </w:tabs>
            <w:rPr>
              <w:szCs w:val="24"/>
              <w:lang w:val="en-GB"/>
            </w:rPr>
          </w:pPr>
        </w:p>
        <w:p>
          <w:pPr>
            <w:tabs>
              <w:tab w:val="left" w:pos="2835"/>
            </w:tabs>
            <w:suppressAutoHyphens/>
            <w:spacing w:line="240" w:lineRule="atLeast"/>
            <w:jc w:val="center"/>
            <w:rPr>
              <w:b/>
              <w:szCs w:val="24"/>
            </w:rPr>
          </w:pPr>
          <w:r>
            <w:rPr>
              <w:lang w:eastAsia="lt-LT"/>
            </w:rPr>
            <w:drawing>
              <wp:inline distT="0" distB="0" distL="0" distR="0">
                <wp:extent cx="543560" cy="595630"/>
                <wp:effectExtent l="0" t="0" r="8890" b="0"/>
                <wp:docPr id="2" name="Picture 2"/>
                <wp:cNvGraphicFramePr/>
                <a:graphic xmlns:a="http://schemas.openxmlformats.org/drawingml/2006/main">
                  <a:graphicData uri="http://schemas.openxmlformats.org/drawingml/2006/picture">
                    <pic:pic xmlns:pic="http://schemas.openxmlformats.org/drawingml/2006/picture">
                      <pic:nvPicPr>
                        <pic:cNvPr id="6" name="Picture 2"/>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tabs>
              <w:tab w:val="left" w:pos="2835"/>
            </w:tabs>
            <w:suppressAutoHyphens/>
            <w:spacing w:line="240" w:lineRule="atLeast"/>
            <w:jc w:val="center"/>
            <w:rPr>
              <w:b/>
              <w:szCs w:val="24"/>
            </w:rPr>
          </w:pPr>
          <w:r>
            <w:rPr>
              <w:b/>
              <w:szCs w:val="24"/>
            </w:rPr>
            <w:t>VALSTYBINĖ KAINŲ IR ENERGETIKOS KONTROLĖS KOMISIJA</w:t>
          </w:r>
        </w:p>
        <w:p>
          <w:pPr>
            <w:tabs>
              <w:tab w:val="left" w:pos="2835"/>
              <w:tab w:val="center" w:pos="4819"/>
              <w:tab w:val="right" w:pos="9638"/>
            </w:tabs>
            <w:spacing w:line="240" w:lineRule="atLeast"/>
            <w:jc w:val="center"/>
            <w:rPr>
              <w:caps/>
              <w:szCs w:val="24"/>
            </w:rPr>
          </w:pPr>
        </w:p>
        <w:p>
          <w:pPr>
            <w:tabs>
              <w:tab w:val="left" w:pos="2835"/>
              <w:tab w:val="center" w:pos="4819"/>
              <w:tab w:val="right" w:pos="9638"/>
            </w:tabs>
            <w:jc w:val="center"/>
            <w:rPr>
              <w:b/>
              <w:caps/>
              <w:szCs w:val="24"/>
            </w:rPr>
          </w:pPr>
          <w:r>
            <w:rPr>
              <w:b/>
              <w:caps/>
              <w:szCs w:val="24"/>
            </w:rPr>
            <w:t>Nutarimas</w:t>
          </w:r>
        </w:p>
        <w:p>
          <w:pPr>
            <w:keepLines/>
            <w:tabs>
              <w:tab w:val="left" w:pos="2835"/>
            </w:tabs>
            <w:suppressAutoHyphens/>
            <w:jc w:val="center"/>
            <w:textAlignment w:val="center"/>
            <w:rPr>
              <w:b/>
              <w:bCs/>
              <w:caps/>
              <w:szCs w:val="24"/>
            </w:rPr>
          </w:pPr>
          <w:r>
            <w:rPr>
              <w:b/>
              <w:bCs/>
              <w:caps/>
              <w:szCs w:val="24"/>
            </w:rPr>
            <w:t>DĖL Elektros energijos Perdavimo, skirstymo IR visuomeninio tiekimo paslaugų bei visuomeninės kainos viršutinės ribos nustatymo METODIKos patvirtinimo</w:t>
            <w:br/>
          </w:r>
        </w:p>
        <w:p>
          <w:pPr>
            <w:tabs>
              <w:tab w:val="left" w:pos="2835"/>
            </w:tabs>
            <w:suppressAutoHyphens/>
            <w:spacing w:line="240" w:lineRule="atLeast"/>
            <w:jc w:val="center"/>
            <w:rPr>
              <w:szCs w:val="24"/>
            </w:rPr>
          </w:pPr>
          <w:r>
            <w:rPr>
              <w:szCs w:val="24"/>
            </w:rPr>
            <w:t>2015 m. sausio 15 d. Nr. O3-3</w:t>
          </w:r>
        </w:p>
        <w:p>
          <w:pPr>
            <w:tabs>
              <w:tab w:val="left" w:pos="2835"/>
            </w:tabs>
            <w:suppressAutoHyphens/>
            <w:spacing w:line="240" w:lineRule="atLeast"/>
            <w:jc w:val="center"/>
            <w:rPr>
              <w:szCs w:val="24"/>
            </w:rPr>
          </w:pPr>
          <w:r>
            <w:rPr>
              <w:szCs w:val="24"/>
            </w:rPr>
            <w:t>Vilnius</w:t>
          </w:r>
        </w:p>
        <w:p>
          <w:pPr>
            <w:tabs>
              <w:tab w:val="left" w:pos="2835"/>
            </w:tabs>
            <w:suppressAutoHyphens/>
            <w:spacing w:line="240" w:lineRule="atLeast"/>
            <w:jc w:val="center"/>
            <w:rPr>
              <w:szCs w:val="24"/>
            </w:rPr>
          </w:pPr>
        </w:p>
        <w:sdt>
          <w:sdtPr>
            <w:alias w:val="preambule"/>
            <w:tag w:val="part_724459fd21db4a9a95492b3e7d6c137f"/>
            <w:lock w:val="sdtLocked"/>
            <w:richText/>
          </w:sdtPr>
          <w:sdtContent>
            <w:p>
              <w:pPr>
                <w:tabs>
                  <w:tab w:val="left" w:pos="993"/>
                  <w:tab w:val="left" w:pos="2835"/>
                  <w:tab w:val="right" w:pos="9638"/>
                </w:tabs>
                <w:suppressAutoHyphens/>
                <w:spacing w:line="276" w:lineRule="auto"/>
                <w:ind w:firstLine="709"/>
                <w:jc w:val="both"/>
                <w:textAlignment w:val="center"/>
                <w:rPr>
                  <w:szCs w:val="24"/>
                </w:rPr>
              </w:pPr>
              <w:r>
                <w:rPr>
                  <w:szCs w:val="24"/>
                </w:rPr>
                <w:t>Vadovaudamasi Lietuvos Respublikos energetikos įstatymo 8 straipsnio 9 dalies 2 punktu, Lietuvos Respublikos elektros energetikos įstatymo 9 straipsnio 3 dalies 5 punktu, 68 straipsnio 1 ir 5 dalimis, 69 straipsnio 1 dalimi, Valstybės reguliuojamų kainų elektros energetikos sektoriuje nustatymo principų aprašu, patvirtintu Lietuvos Respublikos Vyriausybės 2014 m. rugsėjo 24 d. nutarimu Nr. 1026 „Dėl Valstybės reguliuojamų kainų elektros energetikos sektoriuje nustatymo principų aprašo patvirtinimo“,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Komisija) 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bei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w:t>
              </w:r>
              <w:r>
                <w:rPr>
                  <w:caps/>
                  <w:szCs w:val="24"/>
                </w:rPr>
                <w:t>“</w:t>
              </w:r>
              <w:r>
                <w:rPr>
                  <w:szCs w:val="24"/>
                </w:rPr>
                <w:t xml:space="preserve"> bei atsižvelgdama į Komisijos Dujų ir elektros departamento Elektros skyriaus 2015 m. sausio 7 d. pažymą Nr. O5-1 „</w:t>
              </w:r>
              <w:r>
                <w:rPr>
                  <w:caps/>
                  <w:szCs w:val="24"/>
                </w:rPr>
                <w:t>D</w:t>
              </w:r>
              <w:r>
                <w:rPr>
                  <w:szCs w:val="24"/>
                </w:rPr>
                <w:t>ėl</w:t>
              </w:r>
              <w:r>
                <w:rPr>
                  <w:caps/>
                  <w:szCs w:val="24"/>
                </w:rPr>
                <w:t xml:space="preserve"> E</w:t>
              </w:r>
              <w:r>
                <w:rPr>
                  <w:szCs w:val="24"/>
                </w:rPr>
                <w:t>lektros energijos perdavimo, skirstymo ir visuomeninio tiekimo paslaugų bei visuomeninės kainos viršutinės ribos nustatymo metodikos patvirtinimo“, Komisija n u t a r i a:</w:t>
              </w:r>
            </w:p>
          </w:sdtContent>
        </w:sdt>
        <w:sdt>
          <w:sdtPr>
            <w:alias w:val="1 p."/>
            <w:tag w:val="part_5339e44e9bdb4366b6d0c0ba001e949b"/>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5339e44e9bdb4366b6d0c0ba001e949b"/>
                  <w:lock w:val="sdtLocked"/>
                  <w:richText/>
                </w:sdtPr>
                <w:sdtContent>
                  <w:r>
                    <w:rPr>
                      <w:szCs w:val="24"/>
                    </w:rPr>
                    <w:t>1</w:t>
                  </w:r>
                </w:sdtContent>
              </w:sdt>
              <w:r>
                <w:rPr>
                  <w:szCs w:val="24"/>
                </w:rPr>
                <w:t xml:space="preserve">. Patvirtinti </w:t>
              </w:r>
              <w:r>
                <w:rPr>
                  <w:caps/>
                  <w:szCs w:val="24"/>
                </w:rPr>
                <w:t>E</w:t>
              </w:r>
              <w:r>
                <w:rPr>
                  <w:szCs w:val="24"/>
                </w:rPr>
                <w:t>lektros energijos perdavimo, skirstymo ir visuomeninio tiekimo paslaugų bei visuomeninės kainos viršutinės ribos nustatymo metodiką (pridedama).</w:t>
              </w:r>
            </w:p>
          </w:sdtContent>
        </w:sdt>
        <w:sdt>
          <w:sdtPr>
            <w:alias w:val="2 p."/>
            <w:tag w:val="part_be1d99e9b98b459f9b21e02fd217f1f4"/>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be1d99e9b98b459f9b21e02fd217f1f4"/>
                  <w:lock w:val="sdtLocked"/>
                  <w:richText/>
                </w:sdtPr>
                <w:sdtContent>
                  <w:r>
                    <w:rPr>
                      <w:szCs w:val="24"/>
                    </w:rPr>
                    <w:t>2</w:t>
                  </w:r>
                </w:sdtContent>
              </w:sdt>
              <w:r>
                <w:rPr>
                  <w:szCs w:val="24"/>
                </w:rPr>
                <w:t>. Pripažinti netekusiu galios Komisijos 2009 m. rugsėjo 25 d. nutarimą Nr. O3-139 „Dėl Elektros energijos perdavimo ir skirstymo paslaugų kainų ir jų viršutinių ribų nustatymo metodikos“ su visais pakeitimais ir papildymais.</w:t>
              </w:r>
            </w:p>
          </w:sdtContent>
        </w:sdt>
        <w:sdt>
          <w:sdtPr>
            <w:alias w:val="3 p."/>
            <w:tag w:val="part_8df18e3f615f4342a2ae88eb29697807"/>
            <w:lock w:val="sdtLocked"/>
            <w:richText/>
          </w:sdtPr>
          <w:sdtContent>
            <w:p>
              <w:pPr>
                <w:widowControl w:val="0"/>
                <w:tabs>
                  <w:tab w:val="left" w:pos="993"/>
                  <w:tab w:val="left" w:pos="1134"/>
                </w:tabs>
                <w:suppressAutoHyphens/>
                <w:spacing w:line="276" w:lineRule="auto"/>
                <w:ind w:firstLine="709"/>
                <w:contextualSpacing/>
                <w:jc w:val="both"/>
                <w:textAlignment w:val="center"/>
                <w:rPr>
                  <w:caps/>
                  <w:szCs w:val="24"/>
                </w:rPr>
              </w:pPr>
              <w:sdt>
                <w:sdtPr>
                  <w:alias w:val="Numeris"/>
                  <w:tag w:val="nr_8df18e3f615f4342a2ae88eb29697807"/>
                  <w:lock w:val="sdtLocked"/>
                  <w:richText/>
                </w:sdtPr>
                <w:sdtContent>
                  <w:r>
                    <w:rPr>
                      <w:szCs w:val="24"/>
                    </w:rPr>
                    <w:t>3</w:t>
                  </w:r>
                </w:sdtContent>
              </w:sdt>
              <w:r>
                <w:rPr>
                  <w:szCs w:val="24"/>
                </w:rPr>
                <w:t>. Pripažinti netekusiu galios Komisijos 2009 m. lapkričio 9 d. nutarimą Nr. O3-199 „Dėl Visuomeninių elektros energijos kainų, visuomeninio tiekimo paslaugos kainos ir jos viršutinės ribos nustatymo metodikos“ su visais pakeitimais ir papildymais.</w:t>
              </w:r>
            </w:p>
          </w:sdtContent>
        </w:sdt>
        <w:sdt>
          <w:sdtPr>
            <w:alias w:val="signatura"/>
            <w:tag w:val="part_9cae92821c2c4a1698213145a123848e"/>
            <w:lock w:val="sdtLocked"/>
            <w:richText/>
          </w:sdtPr>
          <w:sdtContent>
            <w:p>
              <w:pPr>
                <w:tabs>
                  <w:tab w:val="left" w:pos="993"/>
                  <w:tab w:val="left" w:pos="7938"/>
                </w:tabs>
                <w:jc w:val="both"/>
              </w:pPr>
            </w:p>
            <w:p>
              <w:pPr>
                <w:tabs>
                  <w:tab w:val="left" w:pos="993"/>
                  <w:tab w:val="left" w:pos="7938"/>
                </w:tabs>
                <w:jc w:val="both"/>
              </w:pPr>
            </w:p>
            <w:p>
              <w:pPr>
                <w:tabs>
                  <w:tab w:val="left" w:pos="993"/>
                  <w:tab w:val="left" w:pos="7938"/>
                </w:tabs>
                <w:jc w:val="both"/>
                <w:rPr>
                  <w:szCs w:val="24"/>
                </w:rPr>
              </w:pPr>
              <w:r>
                <w:rPr>
                  <w:szCs w:val="24"/>
                </w:rPr>
                <w:t>Komisijos pirmininkė</w:t>
                <w:tab/>
                <w:t>Diana Korsakaitė</w:t>
              </w:r>
            </w:p>
          </w:sdtContent>
        </w:sdt>
      </w:sdtContent>
    </w:sdt>
    <w:sdt>
      <w:sdtPr>
        <w:alias w:val="patvirtinta"/>
        <w:tag w:val="part_1b21b42953994a08a46d1f8b4c70d599"/>
        <w:lock w:val="sdtLocked"/>
        <w:richText/>
      </w:sdtPr>
      <w:sdtContent>
        <w:p>
          <w:pPr>
            <w:keepLines/>
            <w:tabs>
              <w:tab w:val="left" w:pos="1304"/>
              <w:tab w:val="left" w:pos="1457"/>
              <w:tab w:val="left" w:pos="1604"/>
              <w:tab w:val="left" w:pos="1757"/>
            </w:tabs>
            <w:suppressAutoHyphens/>
            <w:ind w:left="5953"/>
            <w:textAlignment w:val="center"/>
            <w:rPr>
              <w:szCs w:val="24"/>
            </w:rPr>
          </w:pPr>
          <w:r>
            <w:rPr>
              <w:b/>
              <w:szCs w:val="24"/>
            </w:rPr>
            <w:br w:type="page"/>
          </w:r>
          <w:r>
            <w:rPr>
              <w:szCs w:val="24"/>
            </w:rPr>
            <w:t>PATVIRTINTA</w:t>
          </w:r>
        </w:p>
        <w:p>
          <w:pPr>
            <w:keepLines/>
            <w:tabs>
              <w:tab w:val="left" w:pos="1304"/>
              <w:tab w:val="left" w:pos="1457"/>
              <w:tab w:val="left" w:pos="1604"/>
              <w:tab w:val="left" w:pos="1757"/>
            </w:tabs>
            <w:suppressAutoHyphens/>
            <w:ind w:left="5954"/>
            <w:textAlignment w:val="center"/>
            <w:rPr>
              <w:szCs w:val="24"/>
            </w:rPr>
          </w:pPr>
          <w:r>
            <w:rPr>
              <w:szCs w:val="24"/>
            </w:rPr>
            <w:t>Valstybinės kainų ir energetikos kontrolės komisijos</w:t>
          </w:r>
        </w:p>
        <w:p>
          <w:pPr>
            <w:keepLines/>
            <w:tabs>
              <w:tab w:val="left" w:pos="1304"/>
              <w:tab w:val="left" w:pos="1457"/>
              <w:tab w:val="left" w:pos="1604"/>
              <w:tab w:val="left" w:pos="1757"/>
            </w:tabs>
            <w:suppressAutoHyphens/>
            <w:ind w:left="5954"/>
            <w:textAlignment w:val="center"/>
            <w:rPr>
              <w:szCs w:val="24"/>
            </w:rPr>
          </w:pPr>
          <w:r>
            <w:rPr>
              <w:szCs w:val="24"/>
            </w:rPr>
            <w:t>2015 m. sausio 15 d. nutarimu</w:t>
          </w:r>
        </w:p>
        <w:p>
          <w:pPr>
            <w:keepLines/>
            <w:tabs>
              <w:tab w:val="left" w:pos="1304"/>
              <w:tab w:val="left" w:pos="1457"/>
              <w:tab w:val="left" w:pos="1604"/>
              <w:tab w:val="left" w:pos="1757"/>
            </w:tabs>
            <w:suppressAutoHyphens/>
            <w:ind w:left="5954"/>
            <w:textAlignment w:val="center"/>
            <w:rPr>
              <w:szCs w:val="24"/>
            </w:rPr>
          </w:pPr>
          <w:r>
            <w:rPr>
              <w:szCs w:val="24"/>
            </w:rPr>
            <w:t>Nr. O3-3</w:t>
          </w:r>
        </w:p>
        <w:p>
          <w:pPr>
            <w:suppressAutoHyphens/>
            <w:jc w:val="center"/>
            <w:textAlignment w:val="center"/>
            <w:rPr>
              <w:szCs w:val="24"/>
            </w:rPr>
          </w:pPr>
        </w:p>
        <w:p>
          <w:pPr>
            <w:keepLines/>
            <w:tabs>
              <w:tab w:val="left" w:pos="1304"/>
              <w:tab w:val="left" w:pos="1457"/>
              <w:tab w:val="left" w:pos="1604"/>
              <w:tab w:val="left" w:pos="1757"/>
              <w:tab w:val="left" w:pos="2835"/>
            </w:tabs>
            <w:suppressAutoHyphens/>
            <w:jc w:val="center"/>
            <w:textAlignment w:val="center"/>
            <w:rPr>
              <w:szCs w:val="24"/>
            </w:rPr>
          </w:pPr>
        </w:p>
        <w:p>
          <w:pPr>
            <w:tabs>
              <w:tab w:val="left" w:pos="2835"/>
            </w:tabs>
            <w:suppressAutoHyphens/>
            <w:jc w:val="center"/>
            <w:textAlignment w:val="center"/>
            <w:rPr>
              <w:b/>
              <w:caps/>
              <w:szCs w:val="24"/>
            </w:rPr>
          </w:pPr>
          <w:sdt>
            <w:sdtPr>
              <w:alias w:val="Pavadinimas"/>
              <w:tag w:val="title_1b21b42953994a08a46d1f8b4c70d599"/>
              <w:lock w:val="sdtLocked"/>
              <w:richText/>
            </w:sdtPr>
            <w:sdtContent>
              <w:r>
                <w:rPr>
                  <w:b/>
                  <w:szCs w:val="24"/>
                </w:rPr>
                <w:t>E</w:t>
              </w:r>
              <w:r>
                <w:rPr>
                  <w:b/>
                  <w:caps/>
                  <w:szCs w:val="24"/>
                </w:rPr>
                <w:t>lektros energijos perdavimo, skirstymo ir visuomeninio tiekimo paslaugų bei visuomeninės kainos viršutinės ribos nustatymo metodikA</w:t>
              </w:r>
            </w:sdtContent>
          </w:sdt>
        </w:p>
        <w:p>
          <w:pPr>
            <w:tabs>
              <w:tab w:val="left" w:pos="2835"/>
            </w:tabs>
            <w:suppressAutoHyphens/>
            <w:jc w:val="center"/>
            <w:textAlignment w:val="center"/>
            <w:rPr>
              <w:b/>
              <w:bCs/>
              <w:szCs w:val="24"/>
            </w:rPr>
          </w:pPr>
        </w:p>
        <w:p>
          <w:pPr>
            <w:tabs>
              <w:tab w:val="left" w:pos="2835"/>
            </w:tabs>
            <w:suppressAutoHyphens/>
            <w:jc w:val="center"/>
            <w:textAlignment w:val="center"/>
            <w:rPr>
              <w:b/>
              <w:bCs/>
              <w:szCs w:val="24"/>
            </w:rPr>
          </w:pPr>
        </w:p>
        <w:sdt>
          <w:sdtPr>
            <w:alias w:val="skyrius"/>
            <w:tag w:val="part_6a3ae0d30f3c45c782bca9fa08a4d9df"/>
            <w:lock w:val="sdtLocked"/>
            <w:richText/>
          </w:sdtPr>
          <w:sdtContent>
            <w:p>
              <w:pPr>
                <w:keepLines/>
                <w:tabs>
                  <w:tab w:val="left" w:pos="2835"/>
                </w:tabs>
                <w:suppressAutoHyphens/>
                <w:jc w:val="center"/>
                <w:textAlignment w:val="center"/>
                <w:rPr>
                  <w:b/>
                  <w:bCs/>
                  <w:caps/>
                  <w:szCs w:val="24"/>
                </w:rPr>
              </w:pPr>
              <w:sdt>
                <w:sdtPr>
                  <w:alias w:val="Numeris"/>
                  <w:tag w:val="nr_6a3ae0d30f3c45c782bca9fa08a4d9df"/>
                  <w:lock w:val="sdtLocked"/>
                  <w:richText/>
                </w:sdtPr>
                <w:sdtContent>
                  <w:r>
                    <w:rPr>
                      <w:b/>
                      <w:bCs/>
                      <w:caps/>
                      <w:szCs w:val="24"/>
                    </w:rPr>
                    <w:t>I</w:t>
                  </w:r>
                </w:sdtContent>
              </w:sdt>
              <w:r>
                <w:rPr>
                  <w:b/>
                  <w:bCs/>
                  <w:caps/>
                  <w:szCs w:val="24"/>
                </w:rPr>
                <w:t xml:space="preserve"> SKYRIUS</w:t>
              </w:r>
            </w:p>
            <w:p>
              <w:pPr>
                <w:keepLines/>
                <w:tabs>
                  <w:tab w:val="left" w:pos="2835"/>
                </w:tabs>
                <w:suppressAutoHyphens/>
                <w:jc w:val="center"/>
                <w:textAlignment w:val="center"/>
                <w:rPr>
                  <w:b/>
                  <w:bCs/>
                  <w:caps/>
                  <w:strike/>
                  <w:szCs w:val="24"/>
                </w:rPr>
              </w:pPr>
              <w:sdt>
                <w:sdtPr>
                  <w:alias w:val="Pavadinimas"/>
                  <w:tag w:val="title_6a3ae0d30f3c45c782bca9fa08a4d9df"/>
                  <w:lock w:val="sdtLocked"/>
                  <w:richText/>
                </w:sdtPr>
                <w:sdtContent>
                  <w:r>
                    <w:rPr>
                      <w:b/>
                      <w:bCs/>
                      <w:caps/>
                      <w:szCs w:val="24"/>
                    </w:rPr>
                    <w:t>Bendrosios nuostatos</w:t>
                  </w:r>
                </w:sdtContent>
              </w:sdt>
            </w:p>
            <w:p>
              <w:pPr>
                <w:tabs>
                  <w:tab w:val="left" w:pos="1134"/>
                </w:tabs>
                <w:suppressAutoHyphens/>
                <w:jc w:val="center"/>
                <w:textAlignment w:val="center"/>
                <w:rPr>
                  <w:szCs w:val="24"/>
                </w:rPr>
              </w:pPr>
            </w:p>
            <w:p>
              <w:pPr>
                <w:tabs>
                  <w:tab w:val="left" w:pos="1134"/>
                </w:tabs>
                <w:suppressAutoHyphens/>
                <w:jc w:val="center"/>
                <w:textAlignment w:val="center"/>
                <w:rPr>
                  <w:szCs w:val="24"/>
                </w:rPr>
              </w:pPr>
            </w:p>
            <w:sdt>
              <w:sdtPr>
                <w:alias w:val="1 p."/>
                <w:tag w:val="part_dcc34cffce9d4cfcbad5b1f5d26a5728"/>
                <w:lock w:val="sdtLocked"/>
                <w:richText/>
              </w:sdtPr>
              <w:sdtContent>
                <w:p>
                  <w:pPr>
                    <w:tabs>
                      <w:tab w:val="left" w:pos="993"/>
                    </w:tabs>
                    <w:suppressAutoHyphens/>
                    <w:ind w:firstLine="709"/>
                    <w:jc w:val="both"/>
                    <w:textAlignment w:val="center"/>
                    <w:rPr>
                      <w:szCs w:val="24"/>
                    </w:rPr>
                  </w:pPr>
                  <w:sdt>
                    <w:sdtPr>
                      <w:alias w:val="Numeris"/>
                      <w:tag w:val="nr_dcc34cffce9d4cfcbad5b1f5d26a5728"/>
                      <w:lock w:val="sdtLocked"/>
                      <w:richText/>
                    </w:sdtPr>
                    <w:sdtContent>
                      <w:r>
                        <w:rPr>
                          <w:szCs w:val="24"/>
                        </w:rPr>
                        <w:t>1</w:t>
                      </w:r>
                    </w:sdtContent>
                  </w:sdt>
                  <w:r>
                    <w:rPr>
                      <w:szCs w:val="24"/>
                    </w:rPr>
                    <w:t>. Elektros energijos perdavimo, skirstymo ir visuomeninio tiekimo paslaugų bei visuomeninės kainos viršutinės ribos nustatymo metodika (toliau – Metodika) reglamentuoja elektros energetikos įmonių (toliau – Įmonė) reguliuojamų paslaugų ir (ar) produktų kainų viršutinių ribų ir konkrečių kainų nustatymą, kai reguliuojamų kainų paslaugos ir (ar) produktai patenka į:</w:t>
                  </w:r>
                </w:p>
                <w:sdt>
                  <w:sdtPr>
                    <w:alias w:val="1.1 p."/>
                    <w:tag w:val="part_a9404ff43515478ca6c1fd8c1035fd13"/>
                    <w:lock w:val="sdtLocked"/>
                    <w:richText/>
                  </w:sdtPr>
                  <w:sdtContent>
                    <w:p>
                      <w:pPr>
                        <w:tabs>
                          <w:tab w:val="left" w:pos="1134"/>
                        </w:tabs>
                        <w:ind w:firstLine="709"/>
                        <w:jc w:val="both"/>
                        <w:rPr>
                          <w:szCs w:val="24"/>
                        </w:rPr>
                      </w:pPr>
                      <w:sdt>
                        <w:sdtPr>
                          <w:alias w:val="Numeris"/>
                          <w:tag w:val="nr_a9404ff43515478ca6c1fd8c1035fd13"/>
                          <w:lock w:val="sdtLocked"/>
                          <w:richText/>
                        </w:sdtPr>
                        <w:sdtContent>
                          <w:r>
                            <w:rPr>
                              <w:szCs w:val="24"/>
                            </w:rPr>
                            <w:t>1.1</w:t>
                          </w:r>
                        </w:sdtContent>
                      </w:sdt>
                      <w:r>
                        <w:rPr>
                          <w:szCs w:val="24"/>
                        </w:rPr>
                        <w:t>. elektros energijos perdavimo veiklos verslo vienetą;</w:t>
                      </w:r>
                    </w:p>
                  </w:sdtContent>
                </w:sdt>
                <w:sdt>
                  <w:sdtPr>
                    <w:alias w:val="1.2 p."/>
                    <w:tag w:val="part_fd0f45cb0e2c4baf960b4cdff3203db7"/>
                    <w:lock w:val="sdtLocked"/>
                    <w:richText/>
                  </w:sdtPr>
                  <w:sdtContent>
                    <w:p>
                      <w:pPr>
                        <w:tabs>
                          <w:tab w:val="left" w:pos="1134"/>
                        </w:tabs>
                        <w:ind w:firstLine="709"/>
                        <w:jc w:val="both"/>
                        <w:rPr>
                          <w:szCs w:val="24"/>
                        </w:rPr>
                      </w:pPr>
                      <w:sdt>
                        <w:sdtPr>
                          <w:alias w:val="Numeris"/>
                          <w:tag w:val="nr_fd0f45cb0e2c4baf960b4cdff3203db7"/>
                          <w:lock w:val="sdtLocked"/>
                          <w:richText/>
                        </w:sdtPr>
                        <w:sdtContent>
                          <w:r>
                            <w:rPr>
                              <w:szCs w:val="24"/>
                            </w:rPr>
                            <w:t>1.2</w:t>
                          </w:r>
                        </w:sdtContent>
                      </w:sdt>
                      <w:r>
                        <w:rPr>
                          <w:szCs w:val="24"/>
                        </w:rPr>
                        <w:t>. elektros energijos skirstymo veiklos įmonių, kurių veiklos teritorijoje esančių vartotojų skaičius didesnis nei 100 tūkstančių, verslo vienetą;</w:t>
                      </w:r>
                    </w:p>
                  </w:sdtContent>
                </w:sdt>
                <w:sdt>
                  <w:sdtPr>
                    <w:alias w:val="1.3 p."/>
                    <w:tag w:val="part_c7f6f8133f9c427ebbc7d6abf41656d7"/>
                    <w:lock w:val="sdtLocked"/>
                    <w:richText/>
                  </w:sdtPr>
                  <w:sdtContent>
                    <w:p>
                      <w:pPr>
                        <w:tabs>
                          <w:tab w:val="left" w:pos="1134"/>
                        </w:tabs>
                        <w:ind w:firstLine="709"/>
                        <w:jc w:val="both"/>
                        <w:rPr>
                          <w:szCs w:val="24"/>
                        </w:rPr>
                      </w:pPr>
                      <w:sdt>
                        <w:sdtPr>
                          <w:alias w:val="Numeris"/>
                          <w:tag w:val="nr_c7f6f8133f9c427ebbc7d6abf41656d7"/>
                          <w:lock w:val="sdtLocked"/>
                          <w:richText/>
                        </w:sdtPr>
                        <w:sdtContent>
                          <w:r>
                            <w:rPr>
                              <w:szCs w:val="24"/>
                            </w:rPr>
                            <w:t>1.3</w:t>
                          </w:r>
                        </w:sdtContent>
                      </w:sdt>
                      <w:r>
                        <w:rPr>
                          <w:szCs w:val="24"/>
                        </w:rPr>
                        <w:t>. elektros energijos visuomeninio tiekimo veiklos verslo vienetą;</w:t>
                      </w:r>
                    </w:p>
                  </w:sdtContent>
                </w:sdt>
                <w:sdt>
                  <w:sdtPr>
                    <w:alias w:val="1.4 p."/>
                    <w:tag w:val="part_5d7450eb6e8e469996750ce1dab478f8"/>
                    <w:lock w:val="sdtLocked"/>
                    <w:richText/>
                  </w:sdtPr>
                  <w:sdtContent>
                    <w:p>
                      <w:pPr>
                        <w:tabs>
                          <w:tab w:val="left" w:pos="1134"/>
                        </w:tabs>
                        <w:ind w:firstLine="709"/>
                        <w:jc w:val="both"/>
                        <w:rPr>
                          <w:szCs w:val="24"/>
                        </w:rPr>
                      </w:pPr>
                      <w:sdt>
                        <w:sdtPr>
                          <w:alias w:val="Numeris"/>
                          <w:tag w:val="nr_5d7450eb6e8e469996750ce1dab478f8"/>
                          <w:lock w:val="sdtLocked"/>
                          <w:richText/>
                        </w:sdtPr>
                        <w:sdtContent>
                          <w:r>
                            <w:rPr>
                              <w:szCs w:val="24"/>
                            </w:rPr>
                            <w:t>1.4</w:t>
                          </w:r>
                        </w:sdtContent>
                      </w:sdt>
                      <w:r>
                        <w:rPr>
                          <w:szCs w:val="24"/>
                        </w:rPr>
                        <w:t>. elektros energijos skirstymo veiklos įmonių, kurių veiklos teritorijoje esančių vartotojų skaičius mažesnis nei 100 tūkstančių,</w:t>
                      </w:r>
                      <w:r>
                        <w:rPr>
                          <w:b/>
                          <w:szCs w:val="24"/>
                        </w:rPr>
                        <w:t xml:space="preserve"> </w:t>
                      </w:r>
                      <w:r>
                        <w:rPr>
                          <w:szCs w:val="24"/>
                        </w:rPr>
                        <w:t>verslo vienetą;</w:t>
                      </w:r>
                    </w:p>
                  </w:sdtContent>
                </w:sdt>
              </w:sdtContent>
            </w:sdt>
            <w:sdt>
              <w:sdtPr>
                <w:alias w:val="2 p."/>
                <w:tag w:val="part_6b92513673174e7793902e11448fa4c7"/>
                <w:lock w:val="sdtLocked"/>
                <w:richText/>
              </w:sdtPr>
              <w:sdtContent>
                <w:p>
                  <w:pPr>
                    <w:tabs>
                      <w:tab w:val="left" w:pos="993"/>
                    </w:tabs>
                    <w:suppressAutoHyphens/>
                    <w:ind w:firstLine="709"/>
                    <w:jc w:val="both"/>
                    <w:textAlignment w:val="center"/>
                    <w:rPr>
                      <w:szCs w:val="24"/>
                    </w:rPr>
                  </w:pPr>
                  <w:sdt>
                    <w:sdtPr>
                      <w:alias w:val="Numeris"/>
                      <w:tag w:val="nr_6b92513673174e7793902e11448fa4c7"/>
                      <w:lock w:val="sdtLocked"/>
                      <w:richText/>
                    </w:sdtPr>
                    <w:sdtContent>
                      <w:r>
                        <w:rPr>
                          <w:szCs w:val="24"/>
                        </w:rPr>
                        <w:t>2</w:t>
                      </w:r>
                    </w:sdtContent>
                  </w:sdt>
                  <w:r>
                    <w:rPr>
                      <w:szCs w:val="24"/>
                    </w:rPr>
                    <w:t>. Metodikos tikslas – nustatyti skaidrius, objektyvius, nediskriminuojančius principus ir konkrečius skaičiavimo metodus kainų viršutinėms riboms ir konkrečioms kainoms nustatyti.</w:t>
                  </w:r>
                </w:p>
              </w:sdtContent>
            </w:sdt>
            <w:sdt>
              <w:sdtPr>
                <w:alias w:val="3 p."/>
                <w:tag w:val="part_bfd1b945f5ba46f1bd3229bc91499a99"/>
                <w:lock w:val="sdtLocked"/>
                <w:richText/>
              </w:sdtPr>
              <w:sdtContent>
                <w:p>
                  <w:pPr>
                    <w:tabs>
                      <w:tab w:val="left" w:pos="993"/>
                    </w:tabs>
                    <w:suppressAutoHyphens/>
                    <w:ind w:firstLine="709"/>
                    <w:jc w:val="both"/>
                    <w:textAlignment w:val="center"/>
                    <w:rPr>
                      <w:szCs w:val="24"/>
                    </w:rPr>
                  </w:pPr>
                  <w:sdt>
                    <w:sdtPr>
                      <w:alias w:val="Numeris"/>
                      <w:tag w:val="nr_bfd1b945f5ba46f1bd3229bc91499a99"/>
                      <w:lock w:val="sdtLocked"/>
                      <w:richText/>
                    </w:sdtPr>
                    <w:sdtContent>
                      <w:r>
                        <w:rPr>
                          <w:szCs w:val="24"/>
                        </w:rPr>
                        <w:t>3</w:t>
                      </w:r>
                    </w:sdtContent>
                  </w:sdt>
                  <w:r>
                    <w:rPr>
                      <w:szCs w:val="24"/>
                    </w:rPr>
                    <w:t xml:space="preserve">. Metodika parengta vadovaujantis Lietuvos Respublikos energetikos įstatymu, Lietuvos Respublikos elektros energetikos įstatymu,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Komisija) </w:t>
                    <w:br/>
                    <w:t>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w:t>
                  </w:r>
                  <w:r>
                    <w:rPr>
                      <w:caps/>
                      <w:szCs w:val="24"/>
                    </w:rPr>
                    <w:t xml:space="preserve">“, </w:t>
                  </w:r>
                  <w:r>
                    <w:rPr>
                      <w:szCs w:val="24"/>
                    </w:rPr>
                    <w:t>Lietuvos Respublikos Vyriausybės nutarimais, kitais</w:t>
                  </w:r>
                  <w:r>
                    <w:rPr>
                      <w:b/>
                      <w:szCs w:val="24"/>
                    </w:rPr>
                    <w:t xml:space="preserve"> </w:t>
                  </w:r>
                  <w:r>
                    <w:rPr>
                      <w:szCs w:val="24"/>
                    </w:rPr>
                    <w:t>Lietuvos Respublikos ir Europos Sąjungos teisės aktų reikalavimais.</w:t>
                  </w:r>
                </w:p>
              </w:sdtContent>
            </w:sdt>
            <w:sdt>
              <w:sdtPr>
                <w:alias w:val="4 p."/>
                <w:tag w:val="part_88b02b93544a49a38568cda023dd0d82"/>
                <w:lock w:val="sdtLocked"/>
                <w:richText/>
              </w:sdtPr>
              <w:sdtContent>
                <w:p>
                  <w:pPr>
                    <w:tabs>
                      <w:tab w:val="left" w:pos="993"/>
                    </w:tabs>
                    <w:suppressAutoHyphens/>
                    <w:ind w:firstLine="709"/>
                    <w:jc w:val="both"/>
                    <w:textAlignment w:val="center"/>
                    <w:rPr>
                      <w:szCs w:val="24"/>
                    </w:rPr>
                  </w:pPr>
                  <w:sdt>
                    <w:sdtPr>
                      <w:alias w:val="Numeris"/>
                      <w:tag w:val="nr_88b02b93544a49a38568cda023dd0d82"/>
                      <w:lock w:val="sdtLocked"/>
                      <w:richText/>
                    </w:sdtPr>
                    <w:sdtContent>
                      <w:r>
                        <w:rPr>
                          <w:szCs w:val="24"/>
                        </w:rPr>
                        <w:t>4</w:t>
                      </w:r>
                    </w:sdtContent>
                  </w:sdt>
                  <w:r>
                    <w:rPr>
                      <w:szCs w:val="24"/>
                    </w:rPr>
                    <w:t>. Metodikoje vartojamos sąvokos:</w:t>
                  </w:r>
                </w:p>
                <w:p>
                  <w:pPr>
                    <w:tabs>
                      <w:tab w:val="left" w:pos="993"/>
                    </w:tabs>
                    <w:suppressAutoHyphens/>
                    <w:ind w:firstLine="709"/>
                    <w:jc w:val="both"/>
                    <w:textAlignment w:val="center"/>
                    <w:rPr>
                      <w:szCs w:val="24"/>
                    </w:rPr>
                  </w:pPr>
                  <w:r>
                    <w:rPr>
                      <w:b/>
                      <w:szCs w:val="24"/>
                    </w:rPr>
                    <w:t>Elektros energijos tranzitas</w:t>
                  </w:r>
                  <w:r>
                    <w:rPr>
                      <w:szCs w:val="24"/>
                    </w:rPr>
                    <w:t xml:space="preserve"> – elektros energijos, pagamintos valstybės, kuri nėra Europos Sąjungos narė, teritorijoje ir skirtos</w:t>
                  </w:r>
                  <w:r>
                    <w:rPr>
                      <w:b/>
                      <w:szCs w:val="24"/>
                    </w:rPr>
                    <w:t xml:space="preserve"> </w:t>
                  </w:r>
                  <w:r>
                    <w:rPr>
                      <w:szCs w:val="24"/>
                    </w:rPr>
                    <w:t>tos ir (ar)</w:t>
                  </w:r>
                  <w:r>
                    <w:rPr>
                      <w:b/>
                      <w:szCs w:val="24"/>
                    </w:rPr>
                    <w:t xml:space="preserve"> </w:t>
                  </w:r>
                  <w:r>
                    <w:rPr>
                      <w:szCs w:val="24"/>
                    </w:rPr>
                    <w:t>kitos valstybės, kuri nėra Europos Sąjungos narė teritorijai, transportavimas per šalies teritoriją.</w:t>
                  </w:r>
                </w:p>
                <w:p>
                  <w:pPr>
                    <w:tabs>
                      <w:tab w:val="num" w:pos="1211"/>
                      <w:tab w:val="left" w:pos="1843"/>
                    </w:tabs>
                    <w:ind w:firstLine="709"/>
                    <w:jc w:val="both"/>
                    <w:rPr>
                      <w:szCs w:val="24"/>
                    </w:rPr>
                  </w:pPr>
                  <w:r>
                    <w:rPr>
                      <w:b/>
                      <w:szCs w:val="24"/>
                    </w:rPr>
                    <w:t>Kainos viršutinė riba</w:t>
                  </w:r>
                  <w:r>
                    <w:rPr>
                      <w:szCs w:val="24"/>
                    </w:rPr>
                    <w:t xml:space="preserve"> – Įmonės atitinkamos reguliuojamos paslaugos kaštų bei investicijų grąžos sumos ir atitinkamos reguliuojamos veiklos elektros energijos kiekio santykis, kuris ne dažniau kaip du kartus per metus gali būti koreguojamas, kai yra vieno ar kelių veiksnių, kuriais remiantis buvo nustatytos viršutinės kainų ribos, reikšmingų pokyčių, įskaitant paslaugų apimties, infliacijos, mokesčių, kitų objektyvių (nuo Įmonės nepriklausančių) veiksnių pokytį.</w:t>
                  </w:r>
                </w:p>
                <w:p>
                  <w:pPr>
                    <w:tabs>
                      <w:tab w:val="left" w:pos="1843"/>
                    </w:tabs>
                    <w:suppressAutoHyphens/>
                    <w:ind w:firstLine="709"/>
                    <w:jc w:val="both"/>
                    <w:textAlignment w:val="center"/>
                    <w:rPr>
                      <w:szCs w:val="24"/>
                    </w:rPr>
                  </w:pPr>
                  <w:r>
                    <w:rPr>
                      <w:b/>
                      <w:szCs w:val="24"/>
                    </w:rPr>
                    <w:t>Nekoreguotos leistinos pajamos</w:t>
                  </w:r>
                  <w:r>
                    <w:rPr>
                      <w:szCs w:val="24"/>
                    </w:rPr>
                    <w:t xml:space="preserve"> – pajamos, apskaičiuojamos naudojant Ilgo laikotarpio vidutinių padidėjimo sąnaudų (LRAIC) modelį, kuris sumodeliuoja tinklą, atsižvelgiant į būsimą elektros energijos paklausą bei įvertinus visas verslo vieneto teikiamas paslaugas.</w:t>
                  </w:r>
                </w:p>
                <w:p>
                  <w:pPr>
                    <w:tabs>
                      <w:tab w:val="left" w:pos="1843"/>
                    </w:tabs>
                    <w:suppressAutoHyphens/>
                    <w:ind w:firstLine="709"/>
                    <w:jc w:val="both"/>
                    <w:textAlignment w:val="center"/>
                    <w:rPr>
                      <w:szCs w:val="24"/>
                    </w:rPr>
                  </w:pPr>
                  <w:r>
                    <w:rPr>
                      <w:szCs w:val="24"/>
                    </w:rPr>
                    <w:t>Kitos Metodikoje vartojamos sąvokos suprantamos taip, kaip jos apibrėžtos energetikos veiklą reglamentuojančiuose įstatymuose ir Verslo apskaitos standartuose.</w:t>
                  </w:r>
                </w:p>
                <w:p>
                  <w:pPr>
                    <w:tabs>
                      <w:tab w:val="left" w:pos="1418"/>
                      <w:tab w:val="left" w:pos="1843"/>
                    </w:tabs>
                    <w:suppressAutoHyphens/>
                    <w:ind w:firstLine="709"/>
                    <w:jc w:val="both"/>
                    <w:textAlignment w:val="center"/>
                    <w:rPr>
                      <w:szCs w:val="24"/>
                    </w:rPr>
                  </w:pPr>
                </w:p>
                <w:p>
                  <w:pPr>
                    <w:tabs>
                      <w:tab w:val="left" w:pos="1418"/>
                      <w:tab w:val="left" w:pos="1843"/>
                    </w:tabs>
                    <w:suppressAutoHyphens/>
                    <w:ind w:firstLine="709"/>
                    <w:jc w:val="both"/>
                    <w:textAlignment w:val="center"/>
                    <w:rPr>
                      <w:szCs w:val="24"/>
                    </w:rPr>
                  </w:pPr>
                </w:p>
              </w:sdtContent>
            </w:sdt>
          </w:sdtContent>
        </w:sdt>
        <w:sdt>
          <w:sdtPr>
            <w:alias w:val="skyrius"/>
            <w:tag w:val="part_a27c18789a0f46058ae6975ffc242403"/>
            <w:lock w:val="sdtLocked"/>
            <w:richText/>
          </w:sdtPr>
          <w:sdtContent>
            <w:p>
              <w:pPr>
                <w:tabs>
                  <w:tab w:val="left" w:pos="1843"/>
                </w:tabs>
                <w:suppressAutoHyphens/>
                <w:jc w:val="center"/>
                <w:textAlignment w:val="center"/>
                <w:rPr>
                  <w:b/>
                  <w:szCs w:val="24"/>
                </w:rPr>
              </w:pPr>
              <w:sdt>
                <w:sdtPr>
                  <w:alias w:val="Numeris"/>
                  <w:tag w:val="nr_a27c18789a0f46058ae6975ffc242403"/>
                  <w:lock w:val="sdtLocked"/>
                  <w:richText/>
                </w:sdtPr>
                <w:sdtContent>
                  <w:r>
                    <w:rPr>
                      <w:b/>
                      <w:szCs w:val="24"/>
                    </w:rPr>
                    <w:t>II</w:t>
                  </w:r>
                </w:sdtContent>
              </w:sdt>
              <w:r>
                <w:rPr>
                  <w:b/>
                  <w:szCs w:val="24"/>
                </w:rPr>
                <w:t xml:space="preserve"> SKYRIUS</w:t>
              </w:r>
            </w:p>
            <w:p>
              <w:pPr>
                <w:tabs>
                  <w:tab w:val="left" w:pos="1843"/>
                </w:tabs>
                <w:suppressAutoHyphens/>
                <w:jc w:val="center"/>
                <w:textAlignment w:val="center"/>
                <w:rPr>
                  <w:b/>
                  <w:szCs w:val="24"/>
                </w:rPr>
              </w:pPr>
              <w:sdt>
                <w:sdtPr>
                  <w:alias w:val="Pavadinimas"/>
                  <w:tag w:val="title_a27c18789a0f46058ae6975ffc242403"/>
                  <w:lock w:val="sdtLocked"/>
                  <w:richText/>
                </w:sdtPr>
                <w:sdtContent>
                  <w:r>
                    <w:rPr>
                      <w:b/>
                      <w:szCs w:val="24"/>
                    </w:rPr>
                    <w:t>ELEKTROS ENERGETIKOS SEKTORIAUS KAINODAROS TAISYKLĖS</w:t>
                  </w:r>
                </w:sdtContent>
              </w:sdt>
            </w:p>
            <w:p>
              <w:pPr>
                <w:tabs>
                  <w:tab w:val="left" w:pos="1843"/>
                </w:tabs>
                <w:suppressAutoHyphens/>
                <w:jc w:val="center"/>
                <w:textAlignment w:val="center"/>
                <w:rPr>
                  <w:b/>
                  <w:szCs w:val="24"/>
                </w:rPr>
              </w:pPr>
            </w:p>
            <w:p>
              <w:pPr>
                <w:tabs>
                  <w:tab w:val="left" w:pos="1843"/>
                </w:tabs>
                <w:suppressAutoHyphens/>
                <w:jc w:val="center"/>
                <w:textAlignment w:val="center"/>
                <w:rPr>
                  <w:b/>
                  <w:szCs w:val="24"/>
                </w:rPr>
              </w:pPr>
            </w:p>
            <w:sdt>
              <w:sdtPr>
                <w:alias w:val="5 p."/>
                <w:tag w:val="part_019ad8481cd04f7e958ade9b86cfddad"/>
                <w:lock w:val="sdtLocked"/>
                <w:richText/>
              </w:sdtPr>
              <w:sdtContent>
                <w:p>
                  <w:pPr>
                    <w:widowControl w:val="0"/>
                    <w:tabs>
                      <w:tab w:val="left" w:pos="900"/>
                    </w:tabs>
                    <w:ind w:firstLine="709"/>
                    <w:jc w:val="both"/>
                    <w:rPr>
                      <w:szCs w:val="24"/>
                    </w:rPr>
                  </w:pPr>
                  <w:sdt>
                    <w:sdtPr>
                      <w:alias w:val="Numeris"/>
                      <w:tag w:val="nr_019ad8481cd04f7e958ade9b86cfddad"/>
                      <w:lock w:val="sdtLocked"/>
                      <w:richText/>
                    </w:sdtPr>
                    <w:sdtContent>
                      <w:r>
                        <w:rPr>
                          <w:szCs w:val="24"/>
                        </w:rPr>
                        <w:t>5</w:t>
                      </w:r>
                    </w:sdtContent>
                  </w:sdt>
                  <w:r>
                    <w:rPr>
                      <w:szCs w:val="24"/>
                    </w:rPr>
                    <w:t>. Reguliuojamų paslaugų kainų viršutinės ribos:</w:t>
                  </w:r>
                </w:p>
                <w:sdt>
                  <w:sdtPr>
                    <w:alias w:val="5.1 p."/>
                    <w:tag w:val="part_15f8d38010fc445b94ba236940f44ec5"/>
                    <w:lock w:val="sdtLocked"/>
                    <w:richText/>
                  </w:sdtPr>
                  <w:sdtContent>
                    <w:p>
                      <w:pPr>
                        <w:widowControl w:val="0"/>
                        <w:tabs>
                          <w:tab w:val="left" w:pos="142"/>
                          <w:tab w:val="left" w:pos="1134"/>
                        </w:tabs>
                        <w:ind w:firstLine="709"/>
                        <w:jc w:val="both"/>
                        <w:rPr>
                          <w:szCs w:val="24"/>
                        </w:rPr>
                      </w:pPr>
                      <w:sdt>
                        <w:sdtPr>
                          <w:alias w:val="Numeris"/>
                          <w:tag w:val="nr_15f8d38010fc445b94ba236940f44ec5"/>
                          <w:lock w:val="sdtLocked"/>
                          <w:richText/>
                        </w:sdtPr>
                        <w:sdtContent>
                          <w:r>
                            <w:rPr>
                              <w:szCs w:val="24"/>
                            </w:rPr>
                            <w:t>5.1</w:t>
                          </w:r>
                        </w:sdtContent>
                      </w:sdt>
                      <w:r>
                        <w:rPr>
                          <w:szCs w:val="24"/>
                        </w:rPr>
                        <w:t>. nurodytos Metodikos III skyriuje, nustatomos taikant Ilgo laikotarpio vidutinių padidėjimo sąnaudų (LRAIC) modelį (toliau – Modelis), kuris remiasi prielaida, kad ilguoju laikotarpiu elektros energijos perdavimo sistemos operatoriaus ir skirstymo tinklų operatoriaus kaštai yra kintantys, išskyrus reguliuojamų paslaugų kainas, kurios teikiamos Įmonių, savo veiklos teritorijoje yra mažiau nei 100 000 sistemos naudotojų;</w:t>
                      </w:r>
                    </w:p>
                  </w:sdtContent>
                </w:sdt>
                <w:sdt>
                  <w:sdtPr>
                    <w:alias w:val="5.2 p."/>
                    <w:tag w:val="part_024a3355756b413ba326cba1d6fa817f"/>
                    <w:lock w:val="sdtLocked"/>
                    <w:richText/>
                  </w:sdtPr>
                  <w:sdtContent>
                    <w:p>
                      <w:pPr>
                        <w:widowControl w:val="0"/>
                        <w:tabs>
                          <w:tab w:val="left" w:pos="142"/>
                          <w:tab w:val="left" w:pos="1134"/>
                        </w:tabs>
                        <w:ind w:firstLine="709"/>
                        <w:jc w:val="both"/>
                        <w:rPr>
                          <w:szCs w:val="24"/>
                        </w:rPr>
                      </w:pPr>
                      <w:sdt>
                        <w:sdtPr>
                          <w:alias w:val="Numeris"/>
                          <w:tag w:val="nr_024a3355756b413ba326cba1d6fa817f"/>
                          <w:lock w:val="sdtLocked"/>
                          <w:richText/>
                        </w:sdtPr>
                        <w:sdtContent>
                          <w:r>
                            <w:rPr>
                              <w:szCs w:val="24"/>
                            </w:rPr>
                            <w:t>5.2</w:t>
                          </w:r>
                        </w:sdtContent>
                      </w:sdt>
                      <w:r>
                        <w:rPr>
                          <w:szCs w:val="24"/>
                        </w:rPr>
                        <w:t>. nurodytos Metodikos IV ir V skyriuose – nustatomos atsižvelgiant į reguliuojamų kainų paslaugų teikimo ekonomiškai pagrįstus kaštus, įskaitant protingumo kriterijų atitinkančią investicijų grąžą;</w:t>
                      </w:r>
                    </w:p>
                  </w:sdtContent>
                </w:sdt>
                <w:sdt>
                  <w:sdtPr>
                    <w:alias w:val="5.3 p."/>
                    <w:tag w:val="part_3ce99e68b06743fa9aa8f47951e6e431"/>
                    <w:lock w:val="sdtLocked"/>
                    <w:richText/>
                  </w:sdtPr>
                  <w:sdtContent>
                    <w:p>
                      <w:pPr>
                        <w:widowControl w:val="0"/>
                        <w:tabs>
                          <w:tab w:val="left" w:pos="142"/>
                          <w:tab w:val="left" w:pos="1134"/>
                        </w:tabs>
                        <w:ind w:firstLine="709"/>
                        <w:jc w:val="both"/>
                        <w:rPr>
                          <w:szCs w:val="24"/>
                        </w:rPr>
                      </w:pPr>
                      <w:sdt>
                        <w:sdtPr>
                          <w:alias w:val="Numeris"/>
                          <w:tag w:val="nr_3ce99e68b06743fa9aa8f47951e6e431"/>
                          <w:lock w:val="sdtLocked"/>
                          <w:richText/>
                        </w:sdtPr>
                        <w:sdtContent>
                          <w:r>
                            <w:rPr>
                              <w:szCs w:val="24"/>
                            </w:rPr>
                            <w:t>5.3</w:t>
                          </w:r>
                        </w:sdtContent>
                      </w:sdt>
                      <w:r>
                        <w:rPr>
                          <w:szCs w:val="24"/>
                        </w:rPr>
                        <w:t>. nurodytos Metodikos VI skyriuje, nustatomos atsižvelgiant į reguliuojamų paslaugų kainų viršutinių ribų bei Komisijos suderintos elektros energijos įsigijimo kainos buitiniams vartotojams sumą.</w:t>
                      </w:r>
                    </w:p>
                    <w:p>
                      <w:pPr>
                        <w:widowControl w:val="0"/>
                        <w:tabs>
                          <w:tab w:val="left" w:pos="142"/>
                          <w:tab w:val="left" w:pos="993"/>
                        </w:tabs>
                        <w:ind w:left="567"/>
                        <w:jc w:val="center"/>
                        <w:rPr>
                          <w:szCs w:val="24"/>
                        </w:rPr>
                      </w:pPr>
                    </w:p>
                    <w:p>
                      <w:pPr>
                        <w:widowControl w:val="0"/>
                        <w:tabs>
                          <w:tab w:val="left" w:pos="142"/>
                          <w:tab w:val="left" w:pos="993"/>
                        </w:tabs>
                        <w:ind w:left="567"/>
                        <w:jc w:val="center"/>
                        <w:rPr>
                          <w:szCs w:val="24"/>
                        </w:rPr>
                      </w:pPr>
                    </w:p>
                  </w:sdtContent>
                </w:sdt>
              </w:sdtContent>
            </w:sdt>
            <w:sdt>
              <w:sdtPr>
                <w:alias w:val="skirsnis"/>
                <w:tag w:val="part_d69dbd7253de4520a578741e18b5308a"/>
                <w:lock w:val="sdtLocked"/>
                <w:richText/>
              </w:sdtPr>
              <w:sdtContent>
                <w:p>
                  <w:pPr>
                    <w:widowControl w:val="0"/>
                    <w:tabs>
                      <w:tab w:val="left" w:pos="993"/>
                      <w:tab w:val="left" w:pos="1843"/>
                    </w:tabs>
                    <w:jc w:val="center"/>
                    <w:rPr>
                      <w:b/>
                      <w:szCs w:val="24"/>
                    </w:rPr>
                  </w:pPr>
                  <w:sdt>
                    <w:sdtPr>
                      <w:alias w:val="Numeris"/>
                      <w:tag w:val="nr_d69dbd7253de4520a578741e18b5308a"/>
                      <w:lock w:val="sdtLocked"/>
                      <w:richText/>
                    </w:sdtPr>
                    <w:sdtContent>
                      <w:r>
                        <w:rPr>
                          <w:b/>
                          <w:szCs w:val="24"/>
                        </w:rPr>
                        <w:t>PIRMASIS</w:t>
                      </w:r>
                    </w:sdtContent>
                  </w:sdt>
                  <w:r>
                    <w:rPr>
                      <w:b/>
                      <w:szCs w:val="24"/>
                    </w:rPr>
                    <w:t xml:space="preserve"> SKIRSNIS</w:t>
                  </w:r>
                </w:p>
                <w:p>
                  <w:pPr>
                    <w:widowControl w:val="0"/>
                    <w:tabs>
                      <w:tab w:val="left" w:pos="993"/>
                      <w:tab w:val="left" w:pos="1843"/>
                    </w:tabs>
                    <w:jc w:val="center"/>
                    <w:rPr>
                      <w:b/>
                      <w:szCs w:val="24"/>
                    </w:rPr>
                  </w:pPr>
                  <w:sdt>
                    <w:sdtPr>
                      <w:alias w:val="Pavadinimas"/>
                      <w:tag w:val="title_d69dbd7253de4520a578741e18b5308a"/>
                      <w:lock w:val="sdtLocked"/>
                      <w:richText/>
                    </w:sdtPr>
                    <w:sdtContent>
                      <w:r>
                        <w:rPr>
                          <w:b/>
                          <w:szCs w:val="24"/>
                        </w:rPr>
                        <w:t>ĮMONIŲ, BESIVERČIANČIŲ ELEKTROS ENERGIJOS PERDAVIMO, ELEKTROS ENERGIJOS SKIRSTYMO VEIKLA, IŠSKYRUS SKIRSTYMO TINKLŲ ĮMONES, KURIŲ VEIKLOS TERITORIJOJE ESANČIŲ VARTOTOJŲ SKAIČIUS MAŽESNIS NEI 100 TŪKSTANČIŲ, KAINODAROS TAISYKLĖS</w:t>
                      </w:r>
                    </w:sdtContent>
                  </w:sdt>
                </w:p>
                <w:p>
                  <w:pPr>
                    <w:widowControl w:val="0"/>
                    <w:tabs>
                      <w:tab w:val="left" w:pos="993"/>
                      <w:tab w:val="left" w:pos="1843"/>
                    </w:tabs>
                    <w:jc w:val="center"/>
                    <w:rPr>
                      <w:szCs w:val="24"/>
                    </w:rPr>
                  </w:pPr>
                </w:p>
                <w:p>
                  <w:pPr>
                    <w:widowControl w:val="0"/>
                    <w:tabs>
                      <w:tab w:val="left" w:pos="993"/>
                      <w:tab w:val="left" w:pos="1843"/>
                    </w:tabs>
                    <w:jc w:val="center"/>
                    <w:rPr>
                      <w:szCs w:val="24"/>
                    </w:rPr>
                  </w:pPr>
                </w:p>
                <w:sdt>
                  <w:sdtPr>
                    <w:alias w:val="6 p."/>
                    <w:tag w:val="part_6d7974fc9b7b4d4dbe84f950d8863159"/>
                    <w:lock w:val="sdtLocked"/>
                    <w:richText/>
                  </w:sdtPr>
                  <w:sdtContent>
                    <w:p>
                      <w:pPr>
                        <w:tabs>
                          <w:tab w:val="left" w:pos="993"/>
                          <w:tab w:val="left" w:pos="1843"/>
                        </w:tabs>
                        <w:ind w:firstLine="709"/>
                        <w:contextualSpacing/>
                        <w:jc w:val="both"/>
                        <w:rPr>
                          <w:szCs w:val="24"/>
                        </w:rPr>
                      </w:pPr>
                      <w:sdt>
                        <w:sdtPr>
                          <w:alias w:val="Numeris"/>
                          <w:tag w:val="nr_6d7974fc9b7b4d4dbe84f950d8863159"/>
                          <w:lock w:val="sdtLocked"/>
                          <w:richText/>
                        </w:sdtPr>
                        <w:sdtContent>
                          <w:r>
                            <w:rPr>
                              <w:szCs w:val="24"/>
                            </w:rPr>
                            <w:t>6</w:t>
                          </w:r>
                        </w:sdtContent>
                      </w:sdt>
                      <w:r>
                        <w:rPr>
                          <w:szCs w:val="24"/>
                        </w:rPr>
                        <w:t>. Įmonių reguliuojamų paslaugų kainų viršutinės ribos nustatomos 5 metų reguliavimo periodui. Įmonės leistinas metinis pajamų lygis nustatomas susumavus Įmonės ekonomiškai pagrįstus (būtinus) metinius kaštus konkrečiai paslaugai teikti. Reguliuojamiems perdavimo ir skirstymo verslo vieneto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p>
                  </w:sdtContent>
                </w:sdt>
                <w:sdt>
                  <w:sdtPr>
                    <w:alias w:val="7 p."/>
                    <w:tag w:val="part_f8fdeb7d5d8f4a62bbd440768f4198c2"/>
                    <w:lock w:val="sdtLocked"/>
                    <w:richText/>
                  </w:sdtPr>
                  <w:sdtContent>
                    <w:p>
                      <w:pPr>
                        <w:tabs>
                          <w:tab w:val="left" w:pos="993"/>
                          <w:tab w:val="left" w:pos="1418"/>
                          <w:tab w:val="left" w:pos="1843"/>
                        </w:tabs>
                        <w:ind w:firstLine="709"/>
                        <w:contextualSpacing/>
                        <w:jc w:val="both"/>
                        <w:rPr>
                          <w:szCs w:val="24"/>
                        </w:rPr>
                      </w:pPr>
                      <w:sdt>
                        <w:sdtPr>
                          <w:alias w:val="Numeris"/>
                          <w:tag w:val="nr_f8fdeb7d5d8f4a62bbd440768f4198c2"/>
                          <w:lock w:val="sdtLocked"/>
                          <w:richText/>
                        </w:sdtPr>
                        <w:sdtContent>
                          <w:r>
                            <w:rPr>
                              <w:szCs w:val="24"/>
                            </w:rPr>
                            <w:t>7</w:t>
                          </w:r>
                        </w:sdtContent>
                      </w:sdt>
                      <w:r>
                        <w:rPr>
                          <w:szCs w:val="24"/>
                        </w:rPr>
                        <w:t>. Ekonomiškai pagrįsti (būtini) metiniai kapitalo kaštai (toliau – Kapitalo kaštai) apskaičiuojami kiekvieniems metams atsižvelgiant į:</w:t>
                      </w:r>
                    </w:p>
                    <w:sdt>
                      <w:sdtPr>
                        <w:alias w:val="7.1 p."/>
                        <w:tag w:val="part_2bd022f385c84e8ea2ba3fe7fa2ce2c2"/>
                        <w:lock w:val="sdtLocked"/>
                        <w:richText/>
                      </w:sdtPr>
                      <w:sdtContent>
                        <w:p>
                          <w:pPr>
                            <w:tabs>
                              <w:tab w:val="left" w:pos="1134"/>
                            </w:tabs>
                            <w:ind w:firstLine="709"/>
                            <w:contextualSpacing/>
                            <w:jc w:val="both"/>
                            <w:rPr>
                              <w:szCs w:val="24"/>
                            </w:rPr>
                          </w:pPr>
                          <w:sdt>
                            <w:sdtPr>
                              <w:alias w:val="Numeris"/>
                              <w:tag w:val="nr_2bd022f385c84e8ea2ba3fe7fa2ce2c2"/>
                              <w:lock w:val="sdtLocked"/>
                              <w:richText/>
                            </w:sdtPr>
                            <w:sdtContent>
                              <w:r>
                                <w:rPr>
                                  <w:szCs w:val="24"/>
                                </w:rPr>
                                <w:t>7.1</w:t>
                              </w:r>
                            </w:sdtContent>
                          </w:sdt>
                          <w:r>
                            <w:rPr>
                              <w:szCs w:val="24"/>
                            </w:rPr>
                            <w:t>. nusidėvėjimo kaštų dydį, kuris apskaičiuotas:</w:t>
                          </w:r>
                        </w:p>
                        <w:sdt>
                          <w:sdtPr>
                            <w:alias w:val="7.1.1 p."/>
                            <w:tag w:val="part_a663b0a74eed4da8add18c149716dffa"/>
                            <w:lock w:val="sdtLocked"/>
                            <w:richText/>
                          </w:sdtPr>
                          <w:sdtContent>
                            <w:p>
                              <w:pPr>
                                <w:tabs>
                                  <w:tab w:val="left" w:pos="1276"/>
                                </w:tabs>
                                <w:ind w:firstLine="709"/>
                                <w:contextualSpacing/>
                                <w:jc w:val="both"/>
                                <w:rPr>
                                  <w:szCs w:val="24"/>
                                </w:rPr>
                              </w:pPr>
                              <w:sdt>
                                <w:sdtPr>
                                  <w:alias w:val="Numeris"/>
                                  <w:tag w:val="nr_a663b0a74eed4da8add18c149716dffa"/>
                                  <w:lock w:val="sdtLocked"/>
                                  <w:richText/>
                                </w:sdtPr>
                                <w:sdtContent>
                                  <w:r>
                                    <w:rPr>
                                      <w:szCs w:val="24"/>
                                    </w:rPr>
                                    <w:t>7.1.1</w:t>
                                  </w:r>
                                </w:sdtContent>
                              </w:sdt>
                              <w:r>
                                <w:rPr>
                                  <w:szCs w:val="24"/>
                                </w:rPr>
                                <w:t>. taikant tiesiogiai proporcingą (tiesinį) nusidėvėjimo metodą;</w:t>
                              </w:r>
                            </w:p>
                          </w:sdtContent>
                        </w:sdt>
                        <w:sdt>
                          <w:sdtPr>
                            <w:alias w:val="7.1.2 p."/>
                            <w:tag w:val="part_c385c1474b764b648c4986f584c9cd9b"/>
                            <w:lock w:val="sdtLocked"/>
                            <w:richText/>
                          </w:sdtPr>
                          <w:sdtContent>
                            <w:p>
                              <w:pPr>
                                <w:tabs>
                                  <w:tab w:val="left" w:pos="1276"/>
                                </w:tabs>
                                <w:ind w:firstLine="709"/>
                                <w:contextualSpacing/>
                                <w:jc w:val="both"/>
                                <w:rPr>
                                  <w:szCs w:val="24"/>
                                </w:rPr>
                              </w:pPr>
                              <w:sdt>
                                <w:sdtPr>
                                  <w:alias w:val="Numeris"/>
                                  <w:tag w:val="nr_c385c1474b764b648c4986f584c9cd9b"/>
                                  <w:lock w:val="sdtLocked"/>
                                  <w:richText/>
                                </w:sdtPr>
                                <w:sdtContent>
                                  <w:r>
                                    <w:rPr>
                                      <w:szCs w:val="24"/>
                                    </w:rPr>
                                    <w:t>7.1.2</w:t>
                                  </w:r>
                                </w:sdtContent>
                              </w:sdt>
                              <w:r>
                                <w:rPr>
                                  <w:szCs w:val="24"/>
                                </w:rPr>
                                <w:t>. taikant konkrečiam ilgalaikiam turtui (konkretiems tinklo elementams ar jų grupėms) nustatytus nusidėvėjimo (amortizacijos) normatyvus, nurodytus Elektros energetikos įmonių apskaitos atskyrimo, sąnaudų paskirstymo ir su apskaitos atskyrimu susijusių reikalavimų aprašo, patvirtinto Komisijos 2014 m. balandžio 29 d. nutarimu Nr. O3-112 „Dėl Elektros energetikos įmonių apskaitos atskyrimo, sąnaudų paskirstymo ir su apskaitos atskyrimu susijusių reikalavimų aprašo patvirtinimo“ (toliau – Aprašas) 5 priede;</w:t>
                              </w:r>
                            </w:p>
                          </w:sdtContent>
                        </w:sdt>
                        <w:sdt>
                          <w:sdtPr>
                            <w:alias w:val="7.1.3 p."/>
                            <w:tag w:val="part_1e13d518d42649eb8dc1e1a01acad04f"/>
                            <w:lock w:val="sdtLocked"/>
                            <w:richText/>
                          </w:sdtPr>
                          <w:sdtContent>
                            <w:p>
                              <w:pPr>
                                <w:tabs>
                                  <w:tab w:val="left" w:pos="1276"/>
                                </w:tabs>
                                <w:ind w:firstLine="709"/>
                                <w:contextualSpacing/>
                                <w:jc w:val="both"/>
                                <w:rPr>
                                  <w:szCs w:val="24"/>
                                </w:rPr>
                              </w:pPr>
                              <w:sdt>
                                <w:sdtPr>
                                  <w:alias w:val="Numeris"/>
                                  <w:tag w:val="nr_1e13d518d42649eb8dc1e1a01acad04f"/>
                                  <w:lock w:val="sdtLocked"/>
                                  <w:richText/>
                                </w:sdtPr>
                                <w:sdtContent>
                                  <w:r>
                                    <w:rPr>
                                      <w:szCs w:val="24"/>
                                    </w:rPr>
                                    <w:t>7.1.3</w:t>
                                  </w:r>
                                </w:sdtContent>
                              </w:sdt>
                              <w:r>
                                <w:rPr>
                                  <w:szCs w:val="24"/>
                                </w:rPr>
                                <w:t>. eliminuojant Metodikos 7.2.4 ir 7.2.5 punktuose nurodyto ilgalaikio turto nusidėvėjimo kaštus (apskaičiuotus pagal konkrečius tinklo elementus ar jų grupes);</w:t>
                              </w:r>
                            </w:p>
                          </w:sdtContent>
                        </w:sdt>
                        <w:sdt>
                          <w:sdtPr>
                            <w:alias w:val="7.1.4 p."/>
                            <w:tag w:val="part_cabb3fc2035145dd87939929244c49f5"/>
                            <w:lock w:val="sdtLocked"/>
                            <w:richText/>
                          </w:sdtPr>
                          <w:sdtContent>
                            <w:p>
                              <w:pPr>
                                <w:ind w:firstLine="709"/>
                                <w:jc w:val="both"/>
                              </w:pPr>
                              <w:sdt>
                                <w:sdtPr>
                                  <w:alias w:val="Numeris"/>
                                  <w:tag w:val="nr_cabb3fc2035145dd87939929244c49f5"/>
                                  <w:lock w:val="sdtLocked"/>
                                  <w:richText/>
                                </w:sdtPr>
                                <w:sdtContent>
                                  <w:r>
                                    <w:t>7.1.4</w:t>
                                  </w:r>
                                </w:sdtContent>
                              </w:sdt>
                              <w:r>
                                <w:t>. atsižvelgiant į finansavimą už Europos Sąjungos struktūrinių fondų lėšas, gautas subsidijas, dotacijas ir už elektros energijos vartotojų įrenginių prijungimą prie tinklų sumokėtas įmokas;</w:t>
                              </w:r>
                            </w:p>
                          </w:sdtContent>
                        </w:sdt>
                      </w:sdtContent>
                    </w:sdt>
                    <w:sdt>
                      <w:sdtPr>
                        <w:alias w:val="7.2 p."/>
                        <w:tag w:val="part_3a7624613bc54eb68bb54f64fdb04892"/>
                        <w:lock w:val="sdtLocked"/>
                        <w:richText/>
                      </w:sdtPr>
                      <w:sdtContent>
                        <w:p>
                          <w:pPr>
                            <w:tabs>
                              <w:tab w:val="left" w:pos="1134"/>
                              <w:tab w:val="left" w:pos="1843"/>
                            </w:tabs>
                            <w:ind w:firstLine="709"/>
                            <w:contextualSpacing/>
                            <w:jc w:val="both"/>
                            <w:rPr>
                              <w:szCs w:val="24"/>
                            </w:rPr>
                          </w:pPr>
                          <w:sdt>
                            <w:sdtPr>
                              <w:alias w:val="Numeris"/>
                              <w:tag w:val="nr_3a7624613bc54eb68bb54f64fdb04892"/>
                              <w:lock w:val="sdtLocked"/>
                              <w:richText/>
                            </w:sdtPr>
                            <w:sdtContent>
                              <w:r>
                                <w:rPr>
                                  <w:szCs w:val="24"/>
                                </w:rPr>
                                <w:t>7.2</w:t>
                              </w:r>
                            </w:sdtContent>
                          </w:sdt>
                          <w:r>
                            <w:rPr>
                              <w:szCs w:val="24"/>
                            </w:rPr>
                            <w:t>. reguliuojamai veiklai vykdyti būtino turto vertę, apskaičiuojamą įvertinant:</w:t>
                          </w:r>
                        </w:p>
                        <w:sdt>
                          <w:sdtPr>
                            <w:alias w:val="7.2.1 p."/>
                            <w:tag w:val="part_9cd00deaaa56405e8f66ed456e619e6b"/>
                            <w:lock w:val="sdtLocked"/>
                            <w:richText/>
                          </w:sdtPr>
                          <w:sdtContent>
                            <w:p>
                              <w:pPr>
                                <w:tabs>
                                  <w:tab w:val="left" w:pos="1276"/>
                                </w:tabs>
                                <w:ind w:firstLine="709"/>
                                <w:contextualSpacing/>
                                <w:jc w:val="both"/>
                                <w:rPr>
                                  <w:szCs w:val="24"/>
                                </w:rPr>
                              </w:pPr>
                              <w:sdt>
                                <w:sdtPr>
                                  <w:alias w:val="Numeris"/>
                                  <w:tag w:val="nr_9cd00deaaa56405e8f66ed456e619e6b"/>
                                  <w:lock w:val="sdtLocked"/>
                                  <w:richText/>
                                </w:sdtPr>
                                <w:sdtContent>
                                  <w:r>
                                    <w:rPr>
                                      <w:szCs w:val="24"/>
                                    </w:rPr>
                                    <w:t>7.2.1</w:t>
                                  </w:r>
                                </w:sdtContent>
                              </w:sdt>
                              <w:r>
                                <w:rPr>
                                  <w:szCs w:val="24"/>
                                </w:rPr>
                                <w:t>. Modelio sumodeliuotą tinklo elementų (Modelio pagalba gali būti optimizuojamos elektros energijos persiuntimo oro ir kabelinės linijos bei galios transformatoriai (žemos, vidutinės, aukštos ir ypatingai aukštos įtampos), kurių naudingo tarnavimo laikotarpis, nustatytas pagal Komisijos Aprašo 5 priede patvirtintus ilgalaikio turto nusidėvėjimo (amortizacijos) normatyvus, yra pasibaigęs arba baigiasi per reguliavimo laikotarpį, kuriam nustatomos reguliuojamų paslaugų kainos, vertę (reguliuojamos paslaugos ir (ar) produkto turto vertę), išskyrus turto dalį, kuri Modelio pagalba negali būti optimizuojama. Tokių sumodeliuotų tinklo elementų vertė apskaičiuota:</w:t>
                              </w:r>
                            </w:p>
                            <w:sdt>
                              <w:sdtPr>
                                <w:alias w:val="7.2.1.1 p."/>
                                <w:tag w:val="part_3c25f85c69e54e7b842cd3f09fdcdeb0"/>
                                <w:lock w:val="sdtLocked"/>
                                <w:richText/>
                              </w:sdtPr>
                              <w:sdtContent>
                                <w:p>
                                  <w:pPr>
                                    <w:tabs>
                                      <w:tab w:val="left" w:pos="1276"/>
                                      <w:tab w:val="left" w:pos="1418"/>
                                    </w:tabs>
                                    <w:ind w:firstLine="709"/>
                                    <w:contextualSpacing/>
                                    <w:jc w:val="both"/>
                                    <w:rPr>
                                      <w:szCs w:val="24"/>
                                    </w:rPr>
                                  </w:pPr>
                                  <w:sdt>
                                    <w:sdtPr>
                                      <w:alias w:val="Numeris"/>
                                      <w:tag w:val="nr_3c25f85c69e54e7b842cd3f09fdcdeb0"/>
                                      <w:lock w:val="sdtLocked"/>
                                      <w:richText/>
                                    </w:sdtPr>
                                    <w:sdtContent>
                                      <w:r>
                                        <w:rPr>
                                          <w:szCs w:val="24"/>
                                        </w:rPr>
                                        <w:t>7.2.1.1</w:t>
                                      </w:r>
                                    </w:sdtContent>
                                  </w:sdt>
                                  <w:r>
                                    <w:rPr>
                                      <w:szCs w:val="24"/>
                                    </w:rPr>
                                    <w:t>. taikant sąnaudų apskaitos einamąja verte metodą, t. y. apskaitant turtą einamąja verte, turtas vertinamas pagal dabartinę atkuriamąją vertę, o turtas, kuriuo nebeprekiaujama rinkoje dėl technologijų pažangos ir kuris yra technologiškai pasenęs, vertinamas pagal modernaus ekvivalentiško turto kriterijų;</w:t>
                                  </w:r>
                                </w:p>
                              </w:sdtContent>
                            </w:sdt>
                            <w:sdt>
                              <w:sdtPr>
                                <w:alias w:val="7.2.1.2 p."/>
                                <w:tag w:val="part_530c938ff58b423da9f2b725fb25c56f"/>
                                <w:lock w:val="sdtLocked"/>
                                <w:richText/>
                              </w:sdtPr>
                              <w:sdtContent>
                                <w:p>
                                  <w:pPr>
                                    <w:tabs>
                                      <w:tab w:val="left" w:pos="1276"/>
                                    </w:tabs>
                                    <w:ind w:firstLine="709"/>
                                    <w:contextualSpacing/>
                                    <w:jc w:val="both"/>
                                  </w:pPr>
                                  <w:sdt>
                                    <w:sdtPr>
                                      <w:alias w:val="Numeris"/>
                                      <w:tag w:val="nr_530c938ff58b423da9f2b725fb25c56f"/>
                                      <w:lock w:val="sdtLocked"/>
                                      <w:richText/>
                                    </w:sdtPr>
                                    <w:sdtContent>
                                      <w:r>
                                        <w:rPr>
                                          <w:szCs w:val="24"/>
                                        </w:rPr>
                                        <w:t>7.2.1.2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2 p."/>
                            <w:tag w:val="part_8f037961bf86424b8439523f1a2d3359"/>
                            <w:lock w:val="sdtLocked"/>
                            <w:richText/>
                          </w:sdtPr>
                          <w:sdtContent>
                            <w:p>
                              <w:pPr>
                                <w:tabs>
                                  <w:tab w:val="left" w:pos="1276"/>
                                </w:tabs>
                                <w:ind w:firstLine="709"/>
                                <w:contextualSpacing/>
                                <w:jc w:val="both"/>
                                <w:rPr>
                                  <w:szCs w:val="24"/>
                                </w:rPr>
                              </w:pPr>
                              <w:sdt>
                                <w:sdtPr>
                                  <w:alias w:val="Numeris"/>
                                  <w:tag w:val="nr_8f037961bf86424b8439523f1a2d3359"/>
                                  <w:lock w:val="sdtLocked"/>
                                  <w:richText/>
                                </w:sdtPr>
                                <w:sdtContent>
                                  <w:r>
                                    <w:rPr>
                                      <w:szCs w:val="24"/>
                                    </w:rPr>
                                    <w:t>7.2.2</w:t>
                                  </w:r>
                                </w:sdtContent>
                              </w:sdt>
                              <w:r>
                                <w:rPr>
                                  <w:szCs w:val="24"/>
                                </w:rPr>
                                <w:t>. tinklo elementų, kurių naudingo tarnavimo laikotarpis, nustatytas pagal Komisijos Aprašo 5 priede patvirtintus ilgalaikio turto nusidėvėjimo (amortizacijos) normatyvus, nėra pasibaigęs arba nesibaigia reguliavimo laikotarpiu, kuriam nustatomos reguliuojamų paslaugų kainos, vertę (reguliuojamos paslaugos ir (ar) produkto turto vertę), kuri apskaičiuota:</w:t>
                              </w:r>
                            </w:p>
                            <w:sdt>
                              <w:sdtPr>
                                <w:alias w:val="7.2.2.1 p."/>
                                <w:tag w:val="part_626712c82fdb41e2b2e17918ccbd73e7"/>
                                <w:lock w:val="sdtLocked"/>
                                <w:richText/>
                              </w:sdtPr>
                              <w:sdtContent>
                                <w:p>
                                  <w:pPr>
                                    <w:tabs>
                                      <w:tab w:val="left" w:pos="1276"/>
                                      <w:tab w:val="left" w:pos="1418"/>
                                    </w:tabs>
                                    <w:ind w:firstLine="709"/>
                                    <w:contextualSpacing/>
                                    <w:jc w:val="both"/>
                                    <w:rPr>
                                      <w:szCs w:val="24"/>
                                    </w:rPr>
                                  </w:pPr>
                                  <w:sdt>
                                    <w:sdtPr>
                                      <w:alias w:val="Numeris"/>
                                      <w:tag w:val="nr_626712c82fdb41e2b2e17918ccbd73e7"/>
                                      <w:lock w:val="sdtLocked"/>
                                      <w:richText/>
                                    </w:sdtPr>
                                    <w:sdtContent>
                                      <w:r>
                                        <w:rPr>
                                          <w:szCs w:val="24"/>
                                        </w:rPr>
                                        <w:t>7.2.2.1</w:t>
                                      </w:r>
                                    </w:sdtContent>
                                  </w:sdt>
                                  <w:r>
                                    <w:rPr>
                                      <w:szCs w:val="24"/>
                                    </w:rPr>
                                    <w:t>. taikant sąnaudų apskaitos istorine verte metodą, t. y. nepripažįstant turto vertės pasikeitimų atliktų po 2001 m. gruodžio 31 d.;</w:t>
                                  </w:r>
                                </w:p>
                              </w:sdtContent>
                            </w:sdt>
                            <w:sdt>
                              <w:sdtPr>
                                <w:alias w:val="7.2.2.2 p."/>
                                <w:tag w:val="part_0768699c1d3146c3b133f53114ea1d5a"/>
                                <w:lock w:val="sdtLocked"/>
                                <w:richText/>
                              </w:sdtPr>
                              <w:sdtContent>
                                <w:p>
                                  <w:pPr>
                                    <w:tabs>
                                      <w:tab w:val="left" w:pos="1276"/>
                                    </w:tabs>
                                    <w:ind w:firstLine="709"/>
                                    <w:contextualSpacing/>
                                    <w:jc w:val="both"/>
                                  </w:pPr>
                                  <w:sdt>
                                    <w:sdtPr>
                                      <w:alias w:val="Numeris"/>
                                      <w:tag w:val="nr_0768699c1d3146c3b133f53114ea1d5a"/>
                                      <w:lock w:val="sdtLocked"/>
                                      <w:richText/>
                                    </w:sdtPr>
                                    <w:sdtContent>
                                      <w:r>
                                        <w:rPr>
                                          <w:szCs w:val="24"/>
                                        </w:rPr>
                                        <w:t>7.2.2.2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3 p."/>
                            <w:tag w:val="part_762226d2c49843c59a6815204a3bb642"/>
                            <w:lock w:val="sdtLocked"/>
                            <w:richText/>
                          </w:sdtPr>
                          <w:sdtContent>
                            <w:p>
                              <w:pPr>
                                <w:tabs>
                                  <w:tab w:val="left" w:pos="993"/>
                                </w:tabs>
                                <w:ind w:firstLine="709"/>
                                <w:jc w:val="both"/>
                                <w:rPr>
                                  <w:szCs w:val="24"/>
                                </w:rPr>
                              </w:pPr>
                              <w:sdt>
                                <w:sdtPr>
                                  <w:alias w:val="Numeris"/>
                                  <w:tag w:val="nr_762226d2c49843c59a6815204a3bb642"/>
                                  <w:lock w:val="sdtLocked"/>
                                  <w:richText/>
                                </w:sdtPr>
                                <w:sdtContent>
                                  <w:r>
                                    <w:rPr>
                                      <w:szCs w:val="24"/>
                                    </w:rPr>
                                    <w:t>7.2.3</w:t>
                                  </w:r>
                                </w:sdtContent>
                              </w:sdt>
                              <w:r>
                                <w:rPr>
                                  <w:szCs w:val="24"/>
                                </w:rPr>
                                <w:t>. pagalbinių tinklo elementų ir kito reguliuojamai veiklai naudojamo turto vertę, apskaičiuojamą pagal formulę:</w:t>
                              </w:r>
                            </w:p>
                            <w:p>
                              <w:pPr>
                                <w:tabs>
                                  <w:tab w:val="left" w:pos="993"/>
                                </w:tabs>
                                <w:ind w:firstLine="709"/>
                                <w:jc w:val="both"/>
                                <w:rPr>
                                  <w:szCs w:val="24"/>
                                </w:rPr>
                              </w:pPr>
                            </w:p>
                            <w:p>
                              <w:pPr>
                                <w:tabs>
                                  <w:tab w:val="left" w:pos="993"/>
                                  <w:tab w:val="left" w:pos="9356"/>
                                </w:tabs>
                                <w:ind w:firstLine="9356"/>
                                <w:jc w:val="both"/>
                                <w:rPr>
                                  <w:szCs w:val="24"/>
                                </w:rPr>
                              </w:pPr>
                              <w:r>
                                <w:rPr>
                                  <w:szCs w:val="24"/>
                                </w:rPr>
                                <w:tab/>
                              </w: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m:t>
                                    </m:r>
                                    <m:r>
                                      <w:rPr>
                                        <w:rFonts w:ascii="Cambria Math" w:hAnsi="Cambria Math"/>
                                        <w:szCs w:val="24"/>
                                      </w:rPr>
                                      <m:t>-1</m:t>
                                    </m:r>
                                  </m:sub>
                                </m:sSub>
                              </m:oMath>
                              <w:r>
                                <w:rPr>
                                  <w:szCs w:val="24"/>
                                </w:rPr>
                                <w:tab/>
                                <w:t>(1)</w:t>
                              </w:r>
                            </w:p>
                            <w:p>
                              <w:pPr>
                                <w:tabs>
                                  <w:tab w:val="left" w:pos="993"/>
                                  <w:tab w:val="left" w:pos="9356"/>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i/>
                                  <w:iCs/>
                                  <w:szCs w:val="24"/>
                                </w:rPr>
                                <w:t>RAB</w:t>
                              </w:r>
                              <w:r>
                                <w:rPr>
                                  <w:i/>
                                  <w:iCs/>
                                  <w:szCs w:val="24"/>
                                  <w:vertAlign w:val="subscript"/>
                                </w:rPr>
                                <w:t>t</w:t>
                              </w:r>
                              <w:r>
                                <w:rPr>
                                  <w:szCs w:val="24"/>
                                </w:rPr>
                                <w:t xml:space="preserve">– paslaugos teikėjo pagalbinių tinklo elementų ir kito reguliuojamai veiklai naudojamo turto vertė </w:t>
                              </w:r>
                              <w:r>
                                <w:rPr>
                                  <w:i/>
                                  <w:iCs/>
                                  <w:szCs w:val="24"/>
                                </w:rPr>
                                <w:t xml:space="preserve">t </w:t>
                              </w:r>
                              <w:r>
                                <w:rPr>
                                  <w:iCs/>
                                  <w:szCs w:val="24"/>
                                </w:rPr>
                                <w:t>metų pradžiai</w:t>
                              </w:r>
                              <w:r>
                                <w:rPr>
                                  <w:szCs w:val="24"/>
                                </w:rPr>
                                <w:t>, EUR;</w:t>
                              </w:r>
                            </w:p>
                            <w:p>
                              <w:pPr>
                                <w:tabs>
                                  <w:tab w:val="left" w:pos="993"/>
                                </w:tabs>
                                <w:jc w:val="both"/>
                                <w:rPr>
                                  <w:szCs w:val="24"/>
                                </w:rPr>
                              </w:pPr>
                              <w:r>
                                <w:rPr>
                                  <w:i/>
                                  <w:iCs/>
                                  <w:szCs w:val="24"/>
                                </w:rPr>
                                <w:t>RAB</w:t>
                              </w:r>
                              <w:r>
                                <w:rPr>
                                  <w:i/>
                                  <w:iCs/>
                                  <w:szCs w:val="24"/>
                                  <w:vertAlign w:val="subscript"/>
                                </w:rPr>
                                <w:t xml:space="preserve">t-1 </w:t>
                              </w:r>
                              <w:r>
                                <w:rPr>
                                  <w:szCs w:val="24"/>
                                </w:rPr>
                                <w:t xml:space="preserve">– paslaugos teikėjo pagalbinių tinklo elementų ir kito reguliuojamai veiklai naudojamo turto vertė </w:t>
                              </w:r>
                              <w:r>
                                <w:rPr>
                                  <w:i/>
                                  <w:iCs/>
                                  <w:szCs w:val="24"/>
                                </w:rPr>
                                <w:t xml:space="preserve">t-1 </w:t>
                              </w:r>
                              <w:r>
                                <w:rPr>
                                  <w:iCs/>
                                  <w:szCs w:val="24"/>
                                </w:rPr>
                                <w:t>metų pradžiai</w:t>
                              </w:r>
                              <w:r>
                                <w:rPr>
                                  <w:szCs w:val="24"/>
                                </w:rPr>
                                <w:t xml:space="preserve">, EUR. Pirmaisiais reguliavimo periodo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w:t>
                              </w:r>
                              <w:r>
                                <w:rPr>
                                  <w:i/>
                                  <w:iCs/>
                                  <w:szCs w:val="24"/>
                                </w:rPr>
                                <w:t>s</w:t>
                              </w:r>
                              <w:r>
                                <w:rPr>
                                  <w:szCs w:val="24"/>
                                </w:rPr>
                                <w:t>;</w:t>
                              </w:r>
                            </w:p>
                            <w:p>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pagalbinių tinklo elementų ir kitą reguliuojamai veiklai naudojamą turtą metais </w:t>
                              </w:r>
                              <w:r>
                                <w:rPr>
                                  <w:i/>
                                  <w:iCs/>
                                  <w:szCs w:val="24"/>
                                </w:rPr>
                                <w:t>t-1</w:t>
                              </w:r>
                              <w:r>
                                <w:rPr>
                                  <w:szCs w:val="24"/>
                                </w:rPr>
                                <w:t>, EUR;</w:t>
                              </w:r>
                            </w:p>
                            <w:p>
                              <w:pPr>
                                <w:tabs>
                                  <w:tab w:val="left" w:pos="993"/>
                                </w:tabs>
                                <w:jc w:val="both"/>
                                <w:rPr>
                                  <w:szCs w:val="24"/>
                                </w:rPr>
                              </w:pPr>
                              <w:r>
                                <w:rPr>
                                  <w:i/>
                                  <w:iCs/>
                                  <w:szCs w:val="24"/>
                                </w:rPr>
                                <w:t>N</w:t>
                              </w:r>
                              <w:r>
                                <w:rPr>
                                  <w:i/>
                                  <w:iCs/>
                                  <w:szCs w:val="24"/>
                                  <w:vertAlign w:val="subscript"/>
                                </w:rPr>
                                <w:t xml:space="preserve">t-1 </w:t>
                              </w:r>
                              <w:r>
                                <w:rPr>
                                  <w:szCs w:val="24"/>
                                </w:rPr>
                                <w:t xml:space="preserve">– paslaugos teikėjo pagalbinių tinklo elementų ir kito reguliuojamai veiklai naudojamo turto nusidėvėjimo kaštai metais </w:t>
                              </w:r>
                              <w:r>
                                <w:rPr>
                                  <w:i/>
                                  <w:iCs/>
                                  <w:szCs w:val="24"/>
                                </w:rPr>
                                <w:t>t-1</w:t>
                              </w:r>
                              <w:r>
                                <w:rPr>
                                  <w:szCs w:val="24"/>
                                </w:rPr>
                                <w:t>, EUR;</w:t>
                              </w:r>
                            </w:p>
                            <w:p>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pagalbinių tinklo elementų ir kitas reguliuojamai veiklai naudotas turtas, metais </w:t>
                              </w:r>
                              <w:r>
                                <w:rPr>
                                  <w:i/>
                                  <w:iCs/>
                                  <w:szCs w:val="24"/>
                                </w:rPr>
                                <w:t>t-1</w:t>
                              </w:r>
                              <w:r>
                                <w:rPr>
                                  <w:szCs w:val="24"/>
                                </w:rPr>
                                <w:t>,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 p."/>
                            <w:tag w:val="part_c1d2a734a119409986393d1ba531d93f"/>
                            <w:lock w:val="sdtLocked"/>
                            <w:richText/>
                          </w:sdtPr>
                          <w:sdtContent>
                            <w:p>
                              <w:pPr>
                                <w:tabs>
                                  <w:tab w:val="left" w:pos="993"/>
                                </w:tabs>
                                <w:ind w:firstLine="709"/>
                                <w:jc w:val="both"/>
                              </w:pPr>
                              <w:sdt>
                                <w:sdtPr>
                                  <w:alias w:val="Numeris"/>
                                  <w:tag w:val="nr_c1d2a734a119409986393d1ba531d93f"/>
                                  <w:lock w:val="sdtLocked"/>
                                  <w:richText/>
                                </w:sdtPr>
                                <w:sdtContent>
                                  <w:r>
                                    <w:rPr>
                                      <w:szCs w:val="24"/>
                                    </w:rPr>
                                    <w:t>7.2.4</w:t>
                                  </w:r>
                                </w:sdtContent>
                              </w:sdt>
                              <w:r>
                                <w:rPr>
                                  <w:szCs w:val="24"/>
                                </w:rPr>
                                <w:t xml:space="preserve">. neįtraukiant turto (sumodeliuotų tinklo elementų), kuris yra nudėvėtas, išskyrus turtą, kuris per modeliuojamą periodą taikant Metodikos III skyriuje nustatytą LRAIC modeliavimo principą  yra optimizuojamas, nesusijęs su reguliuojama paslauga ir (ar) produktu, nenaudojamas, nebaigtos statybos, likviduotas, pripažintas neefektyviomis investicijomis (Komisijos 2008 m. gruodžio 18 d. protokolo Nr. O2-40 sprendimu arba optimizuojant tinklo elementus LRAIC modeliu pripažintos neefektyvios investicijos), nurašytas, esantis atsargose, užkonservuotas, investicinis, finansinis, neįvestas į eksploataciją turtas (</w:t>
                              </w:r>
                              <w:r>
                                <w:rPr>
                                  <w:bCs/>
                                  <w:szCs w:val="24"/>
                                </w:rPr>
                                <w:t>išskyrus strateginius projektus),</w:t>
                              </w:r>
                              <w:r>
                                <w:rPr>
                                  <w:szCs w:val="24"/>
                                </w:rPr>
                                <w:t xml:space="preserve"> taip pat turtas (ar jo dalis), įsigytas už Europos Sąjungos struktūrinių fondų lėšas, gautas subsidijas, dotacijas ar joms prilygintas lėšas ir už elektros energijos gamintojų ir vartotojų įrenginių prijungimą prie tinklų sumokėtas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1 p."/>
                            <w:tag w:val="part_88721f57e9a44899a7a1355842127a10"/>
                            <w:lock w:val="sdtLocked"/>
                            <w:richText/>
                          </w:sdtPr>
                          <w:sdtContent>
                            <w:p>
                              <w:pPr>
                                <w:tabs>
                                  <w:tab w:val="left" w:pos="1134"/>
                                  <w:tab w:val="left" w:pos="1276"/>
                                </w:tabs>
                                <w:ind w:firstLine="709"/>
                                <w:jc w:val="both"/>
                                <w:rPr>
                                  <w:szCs w:val="24"/>
                                </w:rPr>
                              </w:pPr>
                              <w:sdt>
                                <w:sdtPr>
                                  <w:alias w:val="Numeris"/>
                                  <w:tag w:val="nr_88721f57e9a44899a7a1355842127a10"/>
                                  <w:lock w:val="sdtLocked"/>
                                  <w:richText/>
                                </w:sdtPr>
                                <w:sdtContent>
                                  <w:r>
                                    <w:rPr>
                                      <w:bCs/>
                                      <w:szCs w:val="24"/>
                                    </w:rPr>
                                    <w:t>7.2.4</w:t>
                                  </w:r>
                                  <w:r>
                                    <w:rPr>
                                      <w:bCs/>
                                      <w:szCs w:val="24"/>
                                      <w:vertAlign w:val="superscript"/>
                                    </w:rPr>
                                    <w:t>1</w:t>
                                  </w:r>
                                </w:sdtContent>
                              </w:sdt>
                              <w:r>
                                <w:rPr>
                                  <w:bCs/>
                                  <w:szCs w:val="24"/>
                                </w:rPr>
                                <w:t>.</w:t>
                              </w:r>
                              <w:r>
                                <w:rPr>
                                  <w:szCs w:val="24"/>
                                </w:rPr>
                                <w:t xml:space="preserve"> </w:t>
                              </w:r>
                              <w:r>
                                <w:rPr>
                                  <w:bCs/>
                                  <w:szCs w:val="24"/>
                                </w:rPr>
                                <w:t>įtraukiant išnuomotą ar panaudos pagrindais perduotą turtą, kuris ir nevykdant nereguliuojamos veiklos visa apimtimi naudojamas reguliuojamoje elektros energetikos įmonės veikloje bei 50 proc. turto dalies, kuri buvo finansuota kitų infrastruktūrinių įmonių dėl inžinerinių darbų sąnaudų pasidalinimo, kaip nurodyta Aprašo 19</w:t>
                              </w:r>
                              <w:r>
                                <w:rPr>
                                  <w:bCs/>
                                  <w:szCs w:val="24"/>
                                  <w:vertAlign w:val="superscript"/>
                                </w:rPr>
                                <w:t>1</w:t>
                              </w:r>
                              <w:r>
                                <w:rPr>
                                  <w:bCs/>
                                  <w:szCs w:val="24"/>
                                </w:rPr>
                                <w:t xml:space="preserve">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2 p."/>
                            <w:tag w:val="part_bac9f4954e974acab25aac7b58872621"/>
                            <w:lock w:val="sdtLocked"/>
                            <w:richText/>
                          </w:sdtPr>
                          <w:sdtContent>
                            <w:p>
                              <w:pPr>
                                <w:tabs>
                                  <w:tab w:val="left" w:pos="758"/>
                                </w:tabs>
                                <w:ind w:firstLine="709"/>
                                <w:jc w:val="both"/>
                                <w:rPr>
                                  <w:szCs w:val="24"/>
                                </w:rPr>
                              </w:pPr>
                              <w:sdt>
                                <w:sdtPr>
                                  <w:alias w:val="Numeris"/>
                                  <w:tag w:val="nr_bac9f4954e974acab25aac7b58872621"/>
                                  <w:lock w:val="sdtLocked"/>
                                  <w:richText/>
                                </w:sdtPr>
                                <w:sdtContent>
                                  <w:r>
                                    <w:rPr>
                                      <w:szCs w:val="24"/>
                                    </w:rPr>
                                    <w:t>7.2.4</w:t>
                                  </w:r>
                                  <w:r>
                                    <w:rPr>
                                      <w:szCs w:val="24"/>
                                      <w:vertAlign w:val="superscript"/>
                                    </w:rPr>
                                    <w:t>2</w:t>
                                  </w:r>
                                </w:sdtContent>
                              </w:sdt>
                              <w:r>
                                <w:rPr>
                                  <w:szCs w:val="24"/>
                                </w:rPr>
                                <w:t xml:space="preserve">. įtraukiant būtinas ir pagrįstas investicijas </w:t>
                              </w:r>
                              <w:r>
                                <w:rPr>
                                  <w:bCs/>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sdt>
                          <w:sdtPr>
                            <w:alias w:val="7.2.5 p."/>
                            <w:tag w:val="part_5f492a967a5a4b88a4026cdab3754ad1"/>
                            <w:lock w:val="sdtLocked"/>
                            <w:richText/>
                          </w:sdtPr>
                          <w:sdtContent>
                            <w:p>
                              <w:pPr>
                                <w:tabs>
                                  <w:tab w:val="left" w:pos="1134"/>
                                  <w:tab w:val="left" w:pos="1276"/>
                                </w:tabs>
                                <w:ind w:firstLine="709"/>
                                <w:jc w:val="both"/>
                                <w:rPr>
                                  <w:szCs w:val="24"/>
                                </w:rPr>
                              </w:pPr>
                              <w:sdt>
                                <w:sdtPr>
                                  <w:alias w:val="Numeris"/>
                                  <w:tag w:val="nr_5f492a967a5a4b88a4026cdab3754ad1"/>
                                  <w:lock w:val="sdtLocked"/>
                                  <w:richText/>
                                </w:sdtPr>
                                <w:sdtContent>
                                  <w:r>
                                    <w:rPr>
                                      <w:szCs w:val="24"/>
                                    </w:rPr>
                                    <w:t>7.2.5</w:t>
                                  </w:r>
                                </w:sdtContent>
                              </w:sdt>
                              <w:r>
                                <w:rPr>
                                  <w:szCs w:val="24"/>
                                </w:rPr>
                                <w:t xml:space="preserve">. nepripažįstant su Komisija nesuderintų, Energetikos įmonių investicijų vertinimo ir derinimo Valstybinėje kainų ir energetikos kontrolės komisijoje tvarkos apraše, patvirtintame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(toliau –  Investicijų aprašas) nustatyta tvarka ir investicijų į tinklo elementus, viršijančių Modeliu suskaičiuotą jų vertę lėšų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7.3 p."/>
                        <w:tag w:val="part_976544cfacfa4563bca3849fade52456"/>
                        <w:lock w:val="sdtLocked"/>
                        <w:richText/>
                      </w:sdtPr>
                      <w:sdtContent>
                        <w:p>
                          <w:pPr>
                            <w:tabs>
                              <w:tab w:val="left" w:pos="1080"/>
                              <w:tab w:val="left" w:pos="1134"/>
                            </w:tabs>
                            <w:ind w:firstLine="709"/>
                            <w:contextualSpacing/>
                            <w:jc w:val="both"/>
                            <w:rPr>
                              <w:szCs w:val="24"/>
                            </w:rPr>
                          </w:pPr>
                          <w:sdt>
                            <w:sdtPr>
                              <w:alias w:val="Numeris"/>
                              <w:tag w:val="nr_976544cfacfa4563bca3849fade52456"/>
                              <w:lock w:val="sdtLocked"/>
                              <w:richText/>
                            </w:sdtPr>
                            <w:sdtContent>
                              <w:r>
                                <w:rPr>
                                  <w:szCs w:val="24"/>
                                </w:rPr>
                                <w:t>7.3</w:t>
                              </w:r>
                            </w:sdtContent>
                          </w:sdt>
                          <w:r>
                            <w:rPr>
                              <w:szCs w:val="24"/>
                            </w:rPr>
                            <w:t>. Protingumo kriterijus atitinkančią investicijų grąžą, kuri apskaičiuota atsižvelgiant į:</w:t>
                          </w:r>
                        </w:p>
                        <w:sdt>
                          <w:sdtPr>
                            <w:alias w:val="7.3.1 p."/>
                            <w:tag w:val="part_70ceca9f228d4b0eb0f6c3d720adf6eb"/>
                            <w:lock w:val="sdtLocked"/>
                            <w:richText/>
                          </w:sdtPr>
                          <w:sdtContent>
                            <w:p>
                              <w:pPr>
                                <w:tabs>
                                  <w:tab w:val="left" w:pos="0"/>
                                  <w:tab w:val="left" w:pos="1276"/>
                                  <w:tab w:val="left" w:pos="1843"/>
                                </w:tabs>
                                <w:ind w:firstLine="709"/>
                                <w:contextualSpacing/>
                                <w:jc w:val="both"/>
                                <w:rPr>
                                  <w:szCs w:val="24"/>
                                </w:rPr>
                              </w:pPr>
                              <w:sdt>
                                <w:sdtPr>
                                  <w:alias w:val="Numeris"/>
                                  <w:tag w:val="nr_70ceca9f228d4b0eb0f6c3d720adf6eb"/>
                                  <w:lock w:val="sdtLocked"/>
                                  <w:richText/>
                                </w:sdtPr>
                                <w:sdtContent>
                                  <w:r>
                                    <w:rPr>
                                      <w:szCs w:val="24"/>
                                    </w:rPr>
                                    <w:t>7.3.1</w:t>
                                  </w:r>
                                </w:sdtContent>
                              </w:sdt>
                              <w:r>
                                <w:rPr>
                                  <w:szCs w:val="24"/>
                                </w:rPr>
                                <w:t>. Komisijos nustatytai paslaugai ir (ar) produktui priskirtino reguliuojamo turto vertę pagal Metodikos 7.2 punkto nuostatas;</w:t>
                              </w:r>
                            </w:p>
                          </w:sdtContent>
                        </w:sdt>
                        <w:sdt>
                          <w:sdtPr>
                            <w:alias w:val="7.3.2 p."/>
                            <w:tag w:val="part_87e2f9ff0e2e4d3286a745f43814c226"/>
                            <w:lock w:val="sdtLocked"/>
                            <w:richText/>
                          </w:sdtPr>
                          <w:sdtContent>
                            <w:p>
                              <w:pPr>
                                <w:ind w:firstLine="720"/>
                                <w:jc w:val="both"/>
                                <w:rPr>
                                  <w:szCs w:val="24"/>
                                </w:rPr>
                              </w:pPr>
                              <w:sdt>
                                <w:sdtPr>
                                  <w:alias w:val="Numeris"/>
                                  <w:tag w:val="nr_87e2f9ff0e2e4d3286a745f43814c226"/>
                                  <w:lock w:val="sdtLocked"/>
                                  <w:richText/>
                                </w:sdtPr>
                                <w:sdtContent>
                                  <w:r>
                                    <w:rPr>
                                      <w:szCs w:val="24"/>
                                    </w:rPr>
                                    <w:t>7.3.2</w:t>
                                  </w:r>
                                </w:sdtContent>
                              </w:sdt>
                              <w:r>
                                <w:rPr>
                                  <w:szCs w:val="24"/>
                                </w:rPr>
                                <w:t xml:space="preserve">. p rotingumo kriterijų atitinkančios investicijų grąžos normą,  nustatomą vadovaujantis Investicijų grąžos normos nustatymo metodika, patvirtinta Komisijos 2015 m.       d. nutarimu Nr. O3-     „Dėl Investicijų grąžos normos nustatymo metodikos tvirtinimo“ (toliau – Investicijų grąžos normos nustatymo metodika), pagal formulę:</w:t>
                              </w:r>
                            </w:p>
                            <w:p>
                              <w:pPr>
                                <w:tabs>
                                  <w:tab w:val="left" w:pos="0"/>
                                  <w:tab w:val="left" w:pos="1276"/>
                                  <w:tab w:val="left" w:pos="1843"/>
                                </w:tabs>
                                <w:contextualSpacing/>
                                <w:jc w:val="both"/>
                                <w:rPr>
                                  <w:szCs w:val="24"/>
                                </w:rPr>
                              </w:pPr>
                            </w:p>
                            <w:p>
                              <w:pPr>
                                <w:tabs>
                                  <w:tab w:val="left" w:pos="9356"/>
                                </w:tabs>
                                <w:jc w:val="both"/>
                                <w:rPr>
                                  <w:szCs w:val="24"/>
                                </w:rPr>
                              </w:pPr>
                              <w:r>
                                <w:rPr>
                                  <w:szCs w:val="24"/>
                                </w:rPr>
                                <w:t>ROI</w:t>
                              </w:r>
                              <w:r>
                                <w:rPr>
                                  <w:szCs w:val="24"/>
                                  <w:vertAlign w:val="subscript"/>
                                </w:rPr>
                                <w:t>i</w:t>
                              </w:r>
                              <w:r>
                                <w:rPr>
                                  <w:szCs w:val="24"/>
                                </w:rPr>
                                <w:t>=r×RAB</w:t>
                              </w:r>
                              <w:r>
                                <w:rPr>
                                  <w:szCs w:val="24"/>
                                  <w:vertAlign w:val="subscript"/>
                                </w:rPr>
                                <w:t xml:space="preserve">i </w:t>
                              </w:r>
                              <w:r>
                                <w:rPr>
                                  <w:szCs w:val="24"/>
                                </w:rPr>
                                <w:tab/>
                                <w:t>(2)</w:t>
                              </w:r>
                            </w:p>
                            <w:p>
                              <w:pPr>
                                <w:tabs>
                                  <w:tab w:val="left" w:pos="9214"/>
                                </w:tabs>
                                <w:jc w:val="both"/>
                                <w:rPr>
                                  <w:szCs w:val="24"/>
                                </w:rPr>
                              </w:pPr>
                            </w:p>
                            <w:p>
                              <w:pPr>
                                <w:tabs>
                                  <w:tab w:val="left" w:pos="1843"/>
                                </w:tabs>
                                <w:jc w:val="both"/>
                                <w:rPr>
                                  <w:i/>
                                  <w:szCs w:val="24"/>
                                </w:rPr>
                              </w:pPr>
                              <w:r>
                                <w:rPr>
                                  <w:i/>
                                  <w:szCs w:val="24"/>
                                </w:rPr>
                                <w:t>čia:</w:t>
                              </w:r>
                            </w:p>
                            <w:p>
                              <w:pPr>
                                <w:tabs>
                                  <w:tab w:val="left" w:pos="1843"/>
                                </w:tabs>
                                <w:jc w:val="both"/>
                                <w:rPr>
                                  <w:szCs w:val="24"/>
                                </w:rPr>
                              </w:pPr>
                              <w:r>
                                <w:rPr>
                                  <w:szCs w:val="24"/>
                                </w:rPr>
                                <w:t>ROI</w:t>
                              </w:r>
                              <w:r>
                                <w:rPr>
                                  <w:szCs w:val="24"/>
                                  <w:vertAlign w:val="subscript"/>
                                </w:rPr>
                                <w:t>i</w:t>
                              </w:r>
                              <w:r>
                                <w:rPr>
                                  <w:szCs w:val="24"/>
                                </w:rPr>
                                <w:t xml:space="preserve"> – investicijų grąža, priskirtina paslaugai, EUR;</w:t>
                              </w:r>
                            </w:p>
                            <w:p>
                              <w:pPr>
                                <w:tabs>
                                  <w:tab w:val="left" w:pos="1843"/>
                                </w:tabs>
                                <w:jc w:val="both"/>
                                <w:rPr>
                                  <w:szCs w:val="24"/>
                                </w:rPr>
                              </w:pPr>
                              <w:r>
                                <w:rPr>
                                  <w:szCs w:val="24"/>
                                </w:rPr>
                                <w:t>i – reguliuojamų kainų paslauga;</w:t>
                              </w:r>
                            </w:p>
                            <w:p>
                              <w:pPr>
                                <w:tabs>
                                  <w:tab w:val="left" w:pos="1843"/>
                                </w:tabs>
                                <w:jc w:val="both"/>
                                <w:rPr>
                                  <w:szCs w:val="24"/>
                                </w:rPr>
                              </w:pPr>
                              <w:r>
                                <w:rPr>
                                  <w:szCs w:val="24"/>
                                </w:rPr>
                                <w:t>r – protingumo kriterijų atitinkanti investicijų grąžos norma, proc.;</w:t>
                              </w:r>
                            </w:p>
                            <w:p>
                              <w:pPr>
                                <w:tabs>
                                  <w:tab w:val="left" w:pos="0"/>
                                  <w:tab w:val="left" w:pos="1276"/>
                                  <w:tab w:val="left" w:pos="1843"/>
                                </w:tabs>
                                <w:ind w:firstLine="709"/>
                                <w:contextualSpacing/>
                                <w:jc w:val="both"/>
                                <w:rPr>
                                  <w:szCs w:val="24"/>
                                </w:rPr>
                              </w:pPr>
                              <w:r>
                                <w:rPr>
                                  <w:szCs w:val="24"/>
                                </w:rPr>
                                <w:t>RAB</w:t>
                              </w:r>
                              <w:r>
                                <w:rPr>
                                  <w:szCs w:val="24"/>
                                  <w:vertAlign w:val="subscript"/>
                                </w:rPr>
                                <w:t>i</w:t>
                              </w:r>
                              <w:r>
                                <w:rPr>
                                  <w:szCs w:val="24"/>
                                </w:rPr>
                                <w:t xml:space="preserve"> – i-tajai paslaugai priskirtino reguliuojamo turto vertė, EUR.</w:t>
                              </w:r>
                            </w:p>
                            <w:sdt>
                              <w:sdtPr>
                                <w:alias w:val="7.3.2.1 p."/>
                                <w:tag w:val="part_54700e9d18c346059d17a084d7288982"/>
                                <w:lock w:val="sdtLocked"/>
                                <w:richText/>
                              </w:sdtPr>
                              <w:sdtContent>
                                <w:p>
                                  <w:pPr>
                                    <w:pStyle w:val="PlainText"/>
                                    <w:ind w:firstLine="567"/>
                                    <w:jc w:val="both"/>
                                    <w:rPr>
                                      <w:rFonts w:ascii="Times New Roman" w:hAnsi="Times New Roman"/>
                                      <w:b/>
                                      <w:bCs/>
                                      <w:sz w:val="22"/>
                                    </w:rPr>
                                  </w:pPr>
                                  <w:r>
                                    <w:rPr>
                                      <w:rFonts w:ascii="Times New Roman" w:hAnsi="Times New Roman"/>
                                      <w:sz w:val="22"/>
                                    </w:rPr>
                                    <w:t>7.3.2.1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2.2 p."/>
                                <w:tag w:val="part_e1d60074850b4e24b9476c58137bf06c"/>
                                <w:lock w:val="sdtLocked"/>
                                <w:richText/>
                              </w:sdtPr>
                              <w:sdtContent>
                                <w:p>
                                  <w:pPr>
                                    <w:pStyle w:val="PlainText"/>
                                    <w:ind w:firstLine="567"/>
                                    <w:jc w:val="both"/>
                                    <w:rPr>
                                      <w:rFonts w:ascii="Times New Roman" w:hAnsi="Times New Roman"/>
                                      <w:b/>
                                      <w:bCs/>
                                      <w:sz w:val="22"/>
                                    </w:rPr>
                                  </w:pPr>
                                  <w:r>
                                    <w:rPr>
                                      <w:rFonts w:ascii="Times New Roman" w:hAnsi="Times New Roman"/>
                                      <w:sz w:val="22"/>
                                    </w:rPr>
                                    <w:t>7.3.2.2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2.3 p."/>
                                <w:tag w:val="part_d9aa63753ef5461ca96687f862a24066"/>
                                <w:lock w:val="sdtLocked"/>
                                <w:richText/>
                              </w:sdtPr>
                              <w:sdtContent>
                                <w:p>
                                  <w:pPr>
                                    <w:pStyle w:val="PlainText"/>
                                    <w:ind w:firstLine="567"/>
                                    <w:jc w:val="both"/>
                                    <w:rPr>
                                      <w:rFonts w:ascii="Times New Roman" w:hAnsi="Times New Roman"/>
                                      <w:b/>
                                      <w:bCs/>
                                      <w:sz w:val="22"/>
                                    </w:rPr>
                                  </w:pPr>
                                  <w:r>
                                    <w:rPr>
                                      <w:rFonts w:ascii="Times New Roman" w:hAnsi="Times New Roman"/>
                                      <w:sz w:val="22"/>
                                    </w:rPr>
                                    <w:t>7.3.2.3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3 p."/>
                            <w:tag w:val="part_cfde20a664364c4585a3c30ee9e876bb"/>
                            <w:lock w:val="sdtLocked"/>
                            <w:richText/>
                          </w:sdtPr>
                          <w:sdtContent>
                            <w:p>
                              <w:pPr>
                                <w:tabs>
                                  <w:tab w:val="left" w:pos="1134"/>
                                  <w:tab w:val="left" w:pos="1276"/>
                                </w:tabs>
                                <w:ind w:firstLine="709"/>
                                <w:jc w:val="both"/>
                              </w:pPr>
                              <w:sdt>
                                <w:sdtPr>
                                  <w:alias w:val="Numeris"/>
                                  <w:tag w:val="nr_cfde20a664364c4585a3c30ee9e876bb"/>
                                  <w:lock w:val="sdtLocked"/>
                                  <w:richText/>
                                </w:sdtPr>
                                <w:sdtContent>
                                  <w:r>
                                    <w:rPr>
                                      <w:szCs w:val="24"/>
                                    </w:rPr>
                                    <w:t>7.3.3</w:t>
                                  </w:r>
                                </w:sdtContent>
                              </w:sdt>
                              <w:r>
                                <w:rPr>
                                  <w:szCs w:val="24"/>
                                </w:rPr>
                                <w:t>. Elektros energetikos įmonių strategiškai svarbioms investicijoms, padedančioms siekti nacionalinės ir Europos Sąjungos energetikos politikos tikslų, pagal Metodikos 7.3.2 papunktį nustatyta investicijų grąžos norma Komisijos sprendimu gali būti padidinama;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8 p."/>
                    <w:tag w:val="part_4163c70c3af343c69072c0dd9d53b0c8"/>
                    <w:lock w:val="sdtLocked"/>
                    <w:richText/>
                  </w:sdtPr>
                  <w:sdtContent>
                    <w:p>
                      <w:pPr>
                        <w:tabs>
                          <w:tab w:val="left" w:pos="993"/>
                        </w:tabs>
                        <w:ind w:firstLine="709"/>
                        <w:jc w:val="both"/>
                        <w:rPr>
                          <w:szCs w:val="24"/>
                        </w:rPr>
                      </w:pPr>
                      <w:sdt>
                        <w:sdtPr>
                          <w:alias w:val="Numeris"/>
                          <w:tag w:val="nr_4163c70c3af343c69072c0dd9d53b0c8"/>
                          <w:lock w:val="sdtLocked"/>
                          <w:richText/>
                        </w:sdtPr>
                        <w:sdtContent>
                          <w:r>
                            <w:rPr>
                              <w:szCs w:val="24"/>
                            </w:rPr>
                            <w:t>8</w:t>
                          </w:r>
                        </w:sdtContent>
                      </w:sdt>
                      <w:r>
                        <w:rPr>
                          <w:szCs w:val="24"/>
                        </w:rPr>
                        <w:t>. Ekonomiškai pagrįsti (būtini) metiniai operaciniai kaštai (toliau – OPEX) apskaičiuojami kiekvieniems metams:</w:t>
                      </w:r>
                    </w:p>
                    <w:sdt>
                      <w:sdtPr>
                        <w:alias w:val="8.1 p."/>
                        <w:tag w:val="part_198f0b6b449b4bf3815ed4cef082a5ab"/>
                        <w:lock w:val="sdtLocked"/>
                        <w:richText/>
                      </w:sdtPr>
                      <w:sdtContent>
                        <w:p>
                          <w:pPr>
                            <w:tabs>
                              <w:tab w:val="left" w:pos="1134"/>
                            </w:tabs>
                            <w:ind w:firstLine="709"/>
                            <w:jc w:val="both"/>
                            <w:rPr>
                              <w:szCs w:val="24"/>
                            </w:rPr>
                          </w:pPr>
                          <w:sdt>
                            <w:sdtPr>
                              <w:alias w:val="Numeris"/>
                              <w:tag w:val="nr_198f0b6b449b4bf3815ed4cef082a5ab"/>
                              <w:lock w:val="sdtLocked"/>
                              <w:richText/>
                            </w:sdtPr>
                            <w:sdtContent>
                              <w:r>
                                <w:rPr>
                                  <w:szCs w:val="24"/>
                                </w:rPr>
                                <w:t>8.1</w:t>
                              </w:r>
                            </w:sdtContent>
                          </w:sdt>
                          <w:r>
                            <w:rPr>
                              <w:szCs w:val="24"/>
                            </w:rPr>
                            <w:t>. remonto, priežiūros, eksploatavimo kaštų, personalo kaštų (išskyrus darbo užmokesčio kaštus), administracinių kaštų, rinkodaros ir pardavimo kaštų, kitų paskirstomų kaštų atveju atsižvelgiama į:</w:t>
                          </w:r>
                        </w:p>
                        <w:sdt>
                          <w:sdtPr>
                            <w:alias w:val="8.1.1 p."/>
                            <w:tag w:val="part_a8683c0632b14239bd321be54d0b63c2"/>
                            <w:lock w:val="sdtLocked"/>
                            <w:richText/>
                          </w:sdtPr>
                          <w:sdtContent>
                            <w:p>
                              <w:pPr>
                                <w:tabs>
                                  <w:tab w:val="left" w:pos="993"/>
                                </w:tabs>
                                <w:ind w:firstLine="709"/>
                                <w:jc w:val="both"/>
                              </w:pPr>
                              <w:sdt>
                                <w:sdtPr>
                                  <w:alias w:val="Numeris"/>
                                  <w:tag w:val="nr_a8683c0632b14239bd321be54d0b63c2"/>
                                  <w:lock w:val="sdtLocked"/>
                                  <w:richText/>
                                </w:sdtPr>
                                <w:sdtContent>
                                  <w:r>
                                    <w:rPr>
                                      <w:szCs w:val="24"/>
                                    </w:rPr>
                                    <w:t>8.1.1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atsižvelgiama į faktinę pagrįstą šių kaštų metinę apimtį.</w:t>
                              </w:r>
                              <w:r>
                                <w:t xml:space="preserve"> </w:t>
                              </w:r>
                            </w:p>
                          </w:sdtContent>
                        </w:sdt>
                        <w:sdt>
                          <w:sdtPr>
                            <w:alias w:val="8.1.1-1 p."/>
                            <w:tag w:val="part_a0c4a1997f5243ce88b34f59bdeb7a51"/>
                            <w:lock w:val="sdtLocked"/>
                            <w:richText/>
                          </w:sdtPr>
                          <w:sdtContent>
                            <w:p>
                              <w:pPr>
                                <w:tabs>
                                  <w:tab w:val="left" w:pos="1134"/>
                                  <w:tab w:val="left" w:pos="1276"/>
                                </w:tabs>
                                <w:ind w:firstLine="709"/>
                                <w:jc w:val="both"/>
                                <w:rPr>
                                  <w:bCs/>
                                  <w:szCs w:val="24"/>
                                </w:rPr>
                              </w:pPr>
                              <w:sdt>
                                <w:sdtPr>
                                  <w:alias w:val="Numeris"/>
                                  <w:tag w:val="nr_a0c4a1997f5243ce88b34f59bdeb7a51"/>
                                  <w:lock w:val="sdtLocked"/>
                                  <w:richText/>
                                </w:sdtPr>
                                <w:sdtContent>
                                  <w:r>
                                    <w:rPr>
                                      <w:szCs w:val="24"/>
                                    </w:rPr>
                                    <w:t>8.1.1</w:t>
                                  </w:r>
                                  <w:r>
                                    <w:rPr>
                                      <w:szCs w:val="24"/>
                                      <w:vertAlign w:val="superscript"/>
                                    </w:rPr>
                                    <w:t>1</w:t>
                                  </w:r>
                                </w:sdtContent>
                              </w:sdt>
                              <w:r>
                                <w:rPr>
                                  <w:bCs/>
                                  <w:szCs w:val="24"/>
                                </w:rPr>
                                <w:t xml:space="preserve">. Įmonėms, kurioms Komisija yra atlikusi reguliuojamų paslaugų sąnaudų pagrįstumo (būtinumo) patikrinimą, naujo reguliavimo periodo pagrįstų metinių OPEX  kaštų (išskyrus darbo užmokesčio kaštus) dydis nustatomas:</w:t>
                              </w:r>
                            </w:p>
                            <w:sdt>
                              <w:sdtPr>
                                <w:alias w:val="8.1.1-1.1 p."/>
                                <w:tag w:val="part_b4e06b7607c3457a87ad416593db413a"/>
                                <w:lock w:val="sdtLocked"/>
                                <w:richText/>
                              </w:sdtPr>
                              <w:sdtContent>
                                <w:p>
                                  <w:pPr>
                                    <w:tabs>
                                      <w:tab w:val="left" w:pos="1134"/>
                                      <w:tab w:val="left" w:pos="1276"/>
                                    </w:tabs>
                                    <w:ind w:firstLine="709"/>
                                    <w:jc w:val="both"/>
                                    <w:rPr>
                                      <w:bCs/>
                                      <w:szCs w:val="24"/>
                                    </w:rPr>
                                  </w:pPr>
                                  <w:sdt>
                                    <w:sdtPr>
                                      <w:alias w:val="Numeris"/>
                                      <w:tag w:val="nr_b4e06b7607c3457a87ad416593db413a"/>
                                      <w:lock w:val="sdtLocked"/>
                                      <w:richText/>
                                    </w:sdtPr>
                                    <w:sdtContent>
                                      <w:r>
                                        <w:rPr>
                                          <w:szCs w:val="24"/>
                                        </w:rPr>
                                        <w:t>8.1.1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8.1.1-1.2 p."/>
                                <w:tag w:val="part_860948df349e434397c0a49542f63bc0"/>
                                <w:lock w:val="sdtLocked"/>
                                <w:richText/>
                              </w:sdtPr>
                              <w:sdtContent>
                                <w:p>
                                  <w:pPr>
                                    <w:tabs>
                                      <w:tab w:val="left" w:pos="1134"/>
                                      <w:tab w:val="left" w:pos="1276"/>
                                    </w:tabs>
                                    <w:ind w:firstLine="709"/>
                                    <w:jc w:val="both"/>
                                    <w:rPr>
                                      <w:bCs/>
                                      <w:szCs w:val="24"/>
                                    </w:rPr>
                                  </w:pPr>
                                  <w:sdt>
                                    <w:sdtPr>
                                      <w:alias w:val="Numeris"/>
                                      <w:tag w:val="nr_860948df349e434397c0a49542f63bc0"/>
                                      <w:lock w:val="sdtLocked"/>
                                      <w:richText/>
                                    </w:sdtPr>
                                    <w:sdtContent>
                                      <w:r>
                                        <w:rPr>
                                          <w:szCs w:val="24"/>
                                        </w:rPr>
                                        <w:t>8.1.1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8.1.1-1.3 p."/>
                                <w:tag w:val="part_dc634b3f54944a88b14c3e2b7a60bffb"/>
                                <w:lock w:val="sdtLocked"/>
                                <w:richText/>
                              </w:sdtPr>
                              <w:sdtContent>
                                <w:p>
                                  <w:pPr>
                                    <w:tabs>
                                      <w:tab w:val="left" w:pos="1134"/>
                                      <w:tab w:val="left" w:pos="1276"/>
                                    </w:tabs>
                                    <w:ind w:firstLine="709"/>
                                    <w:jc w:val="both"/>
                                  </w:pPr>
                                  <w:sdt>
                                    <w:sdtPr>
                                      <w:alias w:val="Numeris"/>
                                      <w:tag w:val="nr_dc634b3f54944a88b14c3e2b7a60bffb"/>
                                      <w:lock w:val="sdtLocked"/>
                                      <w:richText/>
                                    </w:sdtPr>
                                    <w:sdtContent>
                                      <w:r>
                                        <w:rPr>
                                          <w:bCs/>
                                          <w:szCs w:val="24"/>
                                        </w:rPr>
                                        <w:t>8.1.1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2 p."/>
                            <w:tag w:val="part_d86ba2c9ee2845228be76d3d905024e0"/>
                            <w:lock w:val="sdtLocked"/>
                            <w:richText/>
                          </w:sdtPr>
                          <w:sdtContent>
                            <w:p>
                              <w:pPr>
                                <w:tabs>
                                  <w:tab w:val="left" w:pos="1134"/>
                                </w:tabs>
                                <w:ind w:firstLine="709"/>
                                <w:jc w:val="both"/>
                                <w:rPr>
                                  <w:szCs w:val="24"/>
                                </w:rPr>
                              </w:pPr>
                              <w:sdt>
                                <w:sdtPr>
                                  <w:alias w:val="Numeris"/>
                                  <w:tag w:val="nr_d86ba2c9ee2845228be76d3d905024e0"/>
                                  <w:lock w:val="sdtLocked"/>
                                  <w:richText/>
                                </w:sdtPr>
                                <w:sdtContent>
                                  <w:r>
                                    <w:rPr>
                                      <w:szCs w:val="24"/>
                                    </w:rPr>
                                    <w:t>8.1.2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8.1.3 p."/>
                            <w:tag w:val="part_ebe91f9d79f44ce995e22db69c2ddf96"/>
                            <w:lock w:val="sdtLocked"/>
                            <w:richText/>
                          </w:sdtPr>
                          <w:sdtContent>
                            <w:p>
                              <w:pPr>
                                <w:tabs>
                                  <w:tab w:val="left" w:pos="993"/>
                                  <w:tab w:val="left" w:pos="1134"/>
                                </w:tabs>
                                <w:ind w:firstLine="709"/>
                                <w:jc w:val="both"/>
                                <w:rPr>
                                  <w:szCs w:val="24"/>
                                </w:rPr>
                              </w:pPr>
                              <w:sdt>
                                <w:sdtPr>
                                  <w:alias w:val="Numeris"/>
                                  <w:tag w:val="nr_ebe91f9d79f44ce995e22db69c2ddf96"/>
                                  <w:lock w:val="sdtLocked"/>
                                  <w:richText/>
                                </w:sdtPr>
                                <w:sdtContent>
                                  <w:r>
                                    <w:rPr>
                                      <w:szCs w:val="24"/>
                                    </w:rPr>
                                    <w:t>8.1.3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8.1.1</w:t>
                              </w:r>
                              <w:r>
                                <w:rPr>
                                  <w:szCs w:val="24"/>
                                  <w:vertAlign w:val="superscript"/>
                                </w:rPr>
                                <w:t>1</w:t>
                              </w:r>
                              <w:r>
                                <w:rPr>
                                  <w:szCs w:val="24"/>
                                </w:rPr>
                                <w:t xml:space="preserve"> punkto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xml:space="preserve">×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w:rPr>
                                            <w:rFonts w:ascii="Cambria Math" w:hAnsi="Cambria Math"/>
                                            <w:szCs w:val="24"/>
                                            <w:lang w:val="en-US"/>
                                          </w:rPr>
                                          <m:t>i</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(3)</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 </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4 p."/>
                            <w:tag w:val="part_a5234e5a81964f87bf84bfbca29b89a6"/>
                            <w:lock w:val="sdtLocked"/>
                            <w:richText/>
                          </w:sdtPr>
                          <w:sdtContent>
                            <w:p>
                              <w:pPr>
                                <w:tabs>
                                  <w:tab w:val="left" w:pos="993"/>
                                  <w:tab w:val="left" w:pos="1134"/>
                                </w:tabs>
                                <w:ind w:firstLine="709"/>
                                <w:jc w:val="both"/>
                                <w:rPr>
                                  <w:szCs w:val="24"/>
                                </w:rPr>
                              </w:pPr>
                              <w:sdt>
                                <w:sdtPr>
                                  <w:alias w:val="Numeris"/>
                                  <w:tag w:val="nr_a5234e5a81964f87bf84bfbca29b89a6"/>
                                  <w:lock w:val="sdtLocked"/>
                                  <w:richText/>
                                </w:sdtPr>
                                <w:sdtContent>
                                  <w:r>
                                    <w:rPr>
                                      <w:szCs w:val="24"/>
                                    </w:rPr>
                                    <w:t>8.1.4</w:t>
                                  </w:r>
                                </w:sdtContent>
                              </w:sdt>
                              <w:r>
                                <w:rPr>
                                  <w:szCs w:val="24"/>
                                </w:rPr>
                                <w:t>. Visais kitais metais, einančiais po pirmųjų naujojo reguliavimo periodo metų, šių kaštų apimtis kiekvieniems metams nustatoma įvertinus Finansų ministerijos prognozuojamos metinės infliacijos dydį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 p."/>
                        <w:tag w:val="part_54842da0eb6e4e66ab65af0345f9e3ad"/>
                        <w:lock w:val="sdtLocked"/>
                        <w:richText/>
                      </w:sdtPr>
                      <w:sdtContent>
                        <w:p>
                          <w:pPr>
                            <w:tabs>
                              <w:tab w:val="left" w:pos="1134"/>
                            </w:tabs>
                            <w:ind w:firstLine="709"/>
                            <w:jc w:val="both"/>
                            <w:rPr>
                              <w:szCs w:val="24"/>
                            </w:rPr>
                          </w:pPr>
                          <w:sdt>
                            <w:sdtPr>
                              <w:alias w:val="Numeris"/>
                              <w:tag w:val="nr_54842da0eb6e4e66ab65af0345f9e3ad"/>
                              <w:lock w:val="sdtLocked"/>
                              <w:richText/>
                            </w:sdtPr>
                            <w:sdtContent>
                              <w:r>
                                <w:rPr>
                                  <w:szCs w:val="24"/>
                                </w:rPr>
                                <w:t>8.2</w:t>
                              </w:r>
                            </w:sdtContent>
                          </w:sdt>
                          <w:r>
                            <w:rPr>
                              <w:szCs w:val="24"/>
                            </w:rPr>
                            <w:t>. darbo užmokesčio kaštų atveju atsižvelgiama į:</w:t>
                          </w:r>
                        </w:p>
                        <w:sdt>
                          <w:sdtPr>
                            <w:alias w:val="8.2.1 p."/>
                            <w:tag w:val="part_08b41af5f0844f36923854bbd9e4c604"/>
                            <w:lock w:val="sdtLocked"/>
                            <w:richText/>
                          </w:sdtPr>
                          <w:sdtContent>
                            <w:p>
                              <w:pPr>
                                <w:tabs>
                                  <w:tab w:val="left" w:pos="993"/>
                                </w:tabs>
                                <w:ind w:firstLine="709"/>
                                <w:jc w:val="both"/>
                              </w:pPr>
                              <w:sdt>
                                <w:sdtPr>
                                  <w:alias w:val="Numeris"/>
                                  <w:tag w:val="nr_08b41af5f0844f36923854bbd9e4c604"/>
                                  <w:lock w:val="sdtLocked"/>
                                  <w:richText/>
                                </w:sdtPr>
                                <w:sdtContent>
                                  <w:r>
                                    <w:rPr>
                                      <w:szCs w:val="24"/>
                                    </w:rPr>
                                    <w:t>8.2.1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atsižvelgiama į faktinę pagrįstą šių kaštų metinę apimtį. </w:t>
                              </w:r>
                            </w:p>
                          </w:sdtContent>
                        </w:sdt>
                        <w:sdt>
                          <w:sdtPr>
                            <w:alias w:val="8.2.1-1 p."/>
                            <w:tag w:val="part_366868b6711e416f864dcdf33c81fa35"/>
                            <w:lock w:val="sdtLocked"/>
                            <w:richText/>
                          </w:sdtPr>
                          <w:sdtContent>
                            <w:p>
                              <w:pPr>
                                <w:tabs>
                                  <w:tab w:val="left" w:pos="1134"/>
                                  <w:tab w:val="left" w:pos="1276"/>
                                </w:tabs>
                                <w:ind w:firstLine="709"/>
                                <w:jc w:val="both"/>
                                <w:rPr>
                                  <w:bCs/>
                                  <w:szCs w:val="24"/>
                                </w:rPr>
                              </w:pPr>
                              <w:sdt>
                                <w:sdtPr>
                                  <w:alias w:val="Numeris"/>
                                  <w:tag w:val="nr_366868b6711e416f864dcdf33c81fa35"/>
                                  <w:lock w:val="sdtLocked"/>
                                  <w:richText/>
                                </w:sdtPr>
                                <w:sdtContent>
                                  <w:r>
                                    <w:rPr>
                                      <w:szCs w:val="24"/>
                                    </w:rPr>
                                    <w:t>8.2.1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8.2.1-1.1 p."/>
                                <w:tag w:val="part_3a2b7c06955548efbc12fff9cf1c21ba"/>
                                <w:lock w:val="sdtLocked"/>
                                <w:richText/>
                              </w:sdtPr>
                              <w:sdtContent>
                                <w:p>
                                  <w:pPr>
                                    <w:tabs>
                                      <w:tab w:val="left" w:pos="1134"/>
                                      <w:tab w:val="left" w:pos="1276"/>
                                    </w:tabs>
                                    <w:ind w:firstLine="769"/>
                                    <w:jc w:val="both"/>
                                    <w:rPr>
                                      <w:bCs/>
                                      <w:szCs w:val="24"/>
                                    </w:rPr>
                                  </w:pPr>
                                  <w:sdt>
                                    <w:sdtPr>
                                      <w:alias w:val="Numeris"/>
                                      <w:tag w:val="nr_3a2b7c06955548efbc12fff9cf1c21ba"/>
                                      <w:lock w:val="sdtLocked"/>
                                      <w:richText/>
                                    </w:sdtPr>
                                    <w:sdtContent>
                                      <w:r>
                                        <w:rPr>
                                          <w:szCs w:val="24"/>
                                        </w:rPr>
                                        <w:t>8.2.1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prognozuojamu </w:t>
                                  </w:r>
                                  <w:r>
                                    <w:rPr>
                                      <w:szCs w:val="24"/>
                                    </w:rPr>
                                    <w:t xml:space="preserve">realaus vidutinio darbo užmokesčio </w:t>
                                  </w:r>
                                  <w:r>
                                    <w:rPr>
                                      <w:bCs/>
                                      <w:szCs w:val="24"/>
                                    </w:rPr>
                                    <w:t>pokyčiu, pagal atitinkamais metais galiojusią Komisijos patvirtintą Elektros energijos perdavimo, skirstymo ir visuomeninio tiekimo paslaugų bei visuomeninės kainos viršutinės ribos nustatymo metodiką;</w:t>
                                  </w:r>
                                </w:p>
                              </w:sdtContent>
                            </w:sdt>
                            <w:sdt>
                              <w:sdtPr>
                                <w:alias w:val="8.2.1-1.2 p."/>
                                <w:tag w:val="part_0fa16d5e669b4a0ca6b3a0d84dca6948"/>
                                <w:lock w:val="sdtLocked"/>
                                <w:richText/>
                              </w:sdtPr>
                              <w:sdtContent>
                                <w:p>
                                  <w:pPr>
                                    <w:tabs>
                                      <w:tab w:val="left" w:pos="1134"/>
                                      <w:tab w:val="left" w:pos="1276"/>
                                    </w:tabs>
                                    <w:ind w:firstLine="709"/>
                                    <w:jc w:val="both"/>
                                    <w:rPr>
                                      <w:bCs/>
                                      <w:szCs w:val="24"/>
                                    </w:rPr>
                                  </w:pPr>
                                  <w:sdt>
                                    <w:sdtPr>
                                      <w:alias w:val="Numeris"/>
                                      <w:tag w:val="nr_0fa16d5e669b4a0ca6b3a0d84dca6948"/>
                                      <w:lock w:val="sdtLocked"/>
                                      <w:richText/>
                                    </w:sdtPr>
                                    <w:sdtContent>
                                      <w:r>
                                        <w:rPr>
                                          <w:bCs/>
                                          <w:szCs w:val="24"/>
                                        </w:rPr>
                                        <w:t>8.2.1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8.2.1-1.3 p."/>
                                <w:tag w:val="part_fa3b94d5975c40f4822521ebf57fe8f9"/>
                                <w:lock w:val="sdtLocked"/>
                                <w:richText/>
                              </w:sdtPr>
                              <w:sdtContent>
                                <w:p>
                                  <w:pPr>
                                    <w:tabs>
                                      <w:tab w:val="left" w:pos="1134"/>
                                      <w:tab w:val="left" w:pos="1276"/>
                                    </w:tabs>
                                    <w:ind w:firstLine="709"/>
                                    <w:jc w:val="both"/>
                                  </w:pPr>
                                  <w:sdt>
                                    <w:sdtPr>
                                      <w:alias w:val="Numeris"/>
                                      <w:tag w:val="nr_fa3b94d5975c40f4822521ebf57fe8f9"/>
                                      <w:lock w:val="sdtLocked"/>
                                      <w:richText/>
                                    </w:sdtPr>
                                    <w:sdtContent>
                                      <w:r>
                                        <w:rPr>
                                          <w:bCs/>
                                          <w:szCs w:val="24"/>
                                        </w:rPr>
                                        <w:t>8.2.1</w:t>
                                      </w:r>
                                      <w:r>
                                        <w:rPr>
                                          <w:bCs/>
                                          <w:szCs w:val="24"/>
                                          <w:vertAlign w:val="superscript"/>
                                        </w:rPr>
                                        <w:t>1</w:t>
                                      </w:r>
                                      <w:r>
                                        <w:rPr>
                                          <w:bCs/>
                                          <w:szCs w:val="24"/>
                                        </w:rPr>
                                        <w:t>.3</w:t>
                                      </w:r>
                                    </w:sdtContent>
                                  </w:sdt>
                                  <w:r>
                                    <w:rPr>
                                      <w:bCs/>
                                      <w:szCs w:val="24"/>
                                    </w:rPr>
                                    <w:t>. atsižvelgiant į Metodikos 8.2.2 punkto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2 p."/>
                            <w:tag w:val="part_f7f1a3d891fa4cc69767a7f74ad39217"/>
                            <w:lock w:val="sdtLocked"/>
                            <w:richText/>
                          </w:sdtPr>
                          <w:sdtContent>
                            <w:p>
                              <w:pPr>
                                <w:tabs>
                                  <w:tab w:val="left" w:pos="1134"/>
                                  <w:tab w:val="left" w:pos="1276"/>
                                </w:tabs>
                                <w:ind w:firstLine="709"/>
                                <w:jc w:val="both"/>
                                <w:rPr>
                                  <w:szCs w:val="24"/>
                                </w:rPr>
                              </w:pPr>
                              <w:sdt>
                                <w:sdtPr>
                                  <w:alias w:val="Numeris"/>
                                  <w:tag w:val="nr_f7f1a3d891fa4cc69767a7f74ad39217"/>
                                  <w:lock w:val="sdtLocked"/>
                                  <w:richText/>
                                </w:sdtPr>
                                <w:sdtContent>
                                  <w:r>
                                    <w:rPr>
                                      <w:szCs w:val="24"/>
                                    </w:rPr>
                                    <w:t>8.2.2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8.2.3 p."/>
                            <w:tag w:val="part_56ab52680d6d482da34fd4c646c83351"/>
                            <w:lock w:val="sdtLocked"/>
                            <w:richText/>
                          </w:sdtPr>
                          <w:sdtContent>
                            <w:p>
                              <w:pPr>
                                <w:tabs>
                                  <w:tab w:val="left" w:pos="1276"/>
                                </w:tabs>
                                <w:ind w:firstLine="709"/>
                                <w:jc w:val="both"/>
                                <w:rPr>
                                  <w:szCs w:val="24"/>
                                </w:rPr>
                              </w:pPr>
                              <w:sdt>
                                <w:sdtPr>
                                  <w:alias w:val="Numeris"/>
                                  <w:tag w:val="nr_56ab52680d6d482da34fd4c646c83351"/>
                                  <w:lock w:val="sdtLocked"/>
                                  <w:richText/>
                                </w:sdtPr>
                                <w:sdtContent>
                                  <w:r>
                                    <w:rPr>
                                      <w:szCs w:val="24"/>
                                    </w:rPr>
                                    <w:t>8.2.3</w:t>
                                  </w:r>
                                </w:sdtContent>
                              </w:sdt>
                              <w:r>
                                <w:rPr>
                                  <w:szCs w:val="24"/>
                                </w:rPr>
                                <w:t>. priežasčių, kurias Įmonė nurodė kaip lemiančias šių kaštų apimties pokyčius, pagrįstumą;</w:t>
                              </w:r>
                            </w:p>
                          </w:sdtContent>
                        </w:sdt>
                        <w:sdt>
                          <w:sdtPr>
                            <w:alias w:val="8.2.4 p."/>
                            <w:tag w:val="part_b5446e5a598f4d968be6fea7916152ef"/>
                            <w:lock w:val="sdtLocked"/>
                            <w:richText/>
                          </w:sdtPr>
                          <w:sdtContent>
                            <w:p>
                              <w:pPr>
                                <w:tabs>
                                  <w:tab w:val="left" w:pos="1276"/>
                                </w:tabs>
                                <w:ind w:firstLine="709"/>
                                <w:jc w:val="both"/>
                                <w:rPr>
                                  <w:szCs w:val="24"/>
                                </w:rPr>
                              </w:pPr>
                              <w:sdt>
                                <w:sdtPr>
                                  <w:alias w:val="Numeris"/>
                                  <w:tag w:val="nr_b5446e5a598f4d968be6fea7916152ef"/>
                                  <w:lock w:val="sdtLocked"/>
                                  <w:richText/>
                                </w:sdtPr>
                                <w:sdtContent>
                                  <w:r>
                                    <w:rPr>
                                      <w:szCs w:val="24"/>
                                    </w:rPr>
                                    <w:t>8.2.4</w:t>
                                  </w:r>
                                </w:sdtContent>
                              </w:sdt>
                              <w:r>
                                <w:rPr>
                                  <w:szCs w:val="24"/>
                                </w:rPr>
                                <w:t>. teisės aktus privalomojo socialinio draudimo ir garantinio fondo įmokų dydžiui nustatyti;</w:t>
                              </w:r>
                            </w:p>
                          </w:sdtContent>
                        </w:sdt>
                        <w:sdt>
                          <w:sdtPr>
                            <w:alias w:val="8.2.5 p."/>
                            <w:tag w:val="part_c1ce6b26bae14ed9a2d1445bf10f5ca1"/>
                            <w:lock w:val="sdtLocked"/>
                            <w:richText/>
                          </w:sdtPr>
                          <w:sdtContent>
                            <w:p>
                              <w:pPr>
                                <w:tabs>
                                  <w:tab w:val="left" w:pos="1134"/>
                                </w:tabs>
                                <w:ind w:firstLine="709"/>
                                <w:jc w:val="both"/>
                                <w:rPr>
                                  <w:szCs w:val="24"/>
                                </w:rPr>
                              </w:pPr>
                              <w:sdt>
                                <w:sdtPr>
                                  <w:alias w:val="Numeris"/>
                                  <w:tag w:val="nr_c1ce6b26bae14ed9a2d1445bf10f5ca1"/>
                                  <w:lock w:val="sdtLocked"/>
                                  <w:richText/>
                                </w:sdtPr>
                                <w:sdtContent>
                                  <w:r>
                                    <w:rPr>
                                      <w:szCs w:val="24"/>
                                      <w:lang w:eastAsia="lt-LT"/>
                                    </w:rPr>
                                    <w:t>8.2.5</w:t>
                                  </w:r>
                                </w:sdtContent>
                              </w:sdt>
                              <w:r>
                                <w:rPr>
                                  <w:szCs w:val="24"/>
                                  <w:lang w:eastAsia="lt-LT"/>
                                </w:rPr>
                                <w:t xml:space="preserve">. </w:t>
                              </w:r>
                              <w:r>
                                <w:rPr>
                                  <w:szCs w:val="24"/>
                                </w:rPr>
                                <w:t>Ekonomiškai pagrįstas darbo užmokesčio kaštų dydis, išskyrus Metodikos 8.2.1</w:t>
                              </w:r>
                              <w:r>
                                <w:rPr>
                                  <w:szCs w:val="24"/>
                                  <w:vertAlign w:val="superscript"/>
                                </w:rPr>
                                <w:t>1</w:t>
                              </w:r>
                              <w:r>
                                <w:rPr>
                                  <w:szCs w:val="24"/>
                                </w:rPr>
                                <w:t xml:space="preserve"> punkto atveju, pirmiems reguliavimo periodo metams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(4)</w:t>
                              </w:r>
                            </w:p>
                            <w:p>
                              <w:pPr>
                                <w:tabs>
                                  <w:tab w:val="left" w:pos="1134"/>
                                </w:tabs>
                                <w:ind w:firstLine="709"/>
                                <w:jc w:val="both"/>
                                <w:rPr>
                                  <w:szCs w:val="24"/>
                                </w:rPr>
                              </w:pPr>
                            </w:p>
                            <w:p>
                              <w:pPr>
                                <w:tabs>
                                  <w:tab w:val="left" w:pos="1134"/>
                                </w:tabs>
                                <w:ind w:firstLine="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6 p."/>
                            <w:tag w:val="part_8ecf582e8fcf43078c15b90c10b68fb5"/>
                            <w:lock w:val="sdtLocked"/>
                            <w:richText/>
                          </w:sdtPr>
                          <w:sdtContent>
                            <w:p>
                              <w:pPr>
                                <w:ind w:firstLine="709"/>
                                <w:jc w:val="both"/>
                                <w:rPr>
                                  <w:szCs w:val="24"/>
                                </w:rPr>
                              </w:pPr>
                              <w:sdt>
                                <w:sdtPr>
                                  <w:alias w:val="Numeris"/>
                                  <w:tag w:val="nr_8ecf582e8fcf43078c15b90c10b68fb5"/>
                                  <w:lock w:val="sdtLocked"/>
                                  <w:richText/>
                                </w:sdtPr>
                                <w:sdtContent>
                                  <w:r>
                                    <w:rPr>
                                      <w:szCs w:val="24"/>
                                      <w:lang w:eastAsia="lt-LT"/>
                                    </w:rPr>
                                    <w:t>8.2.6</w:t>
                                  </w:r>
                                </w:sdtContent>
                              </w:sdt>
                              <w:r>
                                <w:rPr>
                                  <w:szCs w:val="24"/>
                                  <w:lang w:eastAsia="lt-LT"/>
                                </w:rPr>
                                <w:t>. Visais kitais metais, einančiais po pirmųjų naujo reguliavimo periodo metų, šių kaštų apimtis kiekvieniems metams nustatoma įvertinus Finansų ministerijos skelbiamą darbo užmokesčio pokytį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3 p."/>
                        <w:tag w:val="part_bd5bf996c6fa4a2e8ed9d90b4698cf5b"/>
                        <w:lock w:val="sdtLocked"/>
                        <w:richText/>
                      </w:sdtPr>
                      <w:sdtContent>
                        <w:p>
                          <w:pPr>
                            <w:pStyle w:val="PlainText"/>
                            <w:ind w:firstLine="567"/>
                            <w:jc w:val="both"/>
                            <w:rPr>
                              <w:rFonts w:ascii="Times New Roman" w:hAnsi="Times New Roman"/>
                              <w:b/>
                              <w:bCs/>
                              <w:sz w:val="22"/>
                            </w:rPr>
                          </w:pPr>
                          <w:r>
                            <w:rPr>
                              <w:rFonts w:ascii="Times New Roman" w:hAnsi="Times New Roman"/>
                              <w:sz w:val="22"/>
                            </w:rPr>
                            <w:t>8.3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4 p."/>
                        <w:tag w:val="part_f37e06a3fde24b3fb960ce3345fc3bdd"/>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5 p."/>
                        <w:tag w:val="part_c72b1a7d6f624c61bedf46df6d37780a"/>
                        <w:lock w:val="sdtLocked"/>
                        <w:richText/>
                      </w:sdtPr>
                      <w:sdtContent>
                        <w:p>
                          <w:pPr>
                            <w:pStyle w:val="PlainText"/>
                            <w:ind w:firstLine="567"/>
                            <w:jc w:val="both"/>
                            <w:rPr>
                              <w:rFonts w:ascii="Times New Roman" w:hAnsi="Times New Roman"/>
                              <w:b/>
                              <w:bCs/>
                              <w:sz w:val="22"/>
                            </w:rPr>
                          </w:pPr>
                          <w:r>
                            <w:rPr>
                              <w:rFonts w:ascii="Times New Roman" w:hAnsi="Times New Roman"/>
                              <w:sz w:val="22"/>
                            </w:rPr>
                            <w:t>8.5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9 p."/>
                    <w:tag w:val="part_5fd9c85c7a1446e093c31dbc3b61a967"/>
                    <w:lock w:val="sdtLocked"/>
                    <w:richText/>
                  </w:sdtPr>
                  <w:sdtContent>
                    <w:p>
                      <w:pPr>
                        <w:tabs>
                          <w:tab w:val="left" w:pos="993"/>
                        </w:tabs>
                        <w:ind w:firstLine="709"/>
                        <w:jc w:val="both"/>
                        <w:rPr>
                          <w:szCs w:val="24"/>
                        </w:rPr>
                      </w:pPr>
                      <w:sdt>
                        <w:sdtPr>
                          <w:alias w:val="Numeris"/>
                          <w:tag w:val="nr_5fd9c85c7a1446e093c31dbc3b61a967"/>
                          <w:lock w:val="sdtLocked"/>
                          <w:richText/>
                        </w:sdtPr>
                        <w:sdtContent>
                          <w:r>
                            <w:rPr>
                              <w:szCs w:val="24"/>
                            </w:rPr>
                            <w:t>9</w:t>
                          </w:r>
                        </w:sdtContent>
                      </w:sdt>
                      <w:r>
                        <w:rPr>
                          <w:szCs w:val="24"/>
                        </w:rPr>
                        <w:t xml:space="preserve">. Kaštai </w:t>
                      </w:r>
                      <w:r>
                        <w:rPr>
                          <w:iCs/>
                          <w:szCs w:val="24"/>
                        </w:rPr>
                        <w:t>elektros energijai, sunaudotai ją perduodant technologiniais įrenginiais, pirkti nustatomi atsižvelgiant į:</w:t>
                      </w:r>
                    </w:p>
                    <w:sdt>
                      <w:sdtPr>
                        <w:alias w:val="9.1 p."/>
                        <w:tag w:val="part_b7226d88595543b6902e9a13c8d02666"/>
                        <w:lock w:val="sdtLocked"/>
                        <w:richText/>
                      </w:sdtPr>
                      <w:sdtContent>
                        <w:p>
                          <w:pPr>
                            <w:tabs>
                              <w:tab w:val="left" w:pos="1134"/>
                            </w:tabs>
                            <w:ind w:firstLine="709"/>
                            <w:jc w:val="both"/>
                            <w:rPr>
                              <w:szCs w:val="24"/>
                            </w:rPr>
                          </w:pPr>
                          <w:sdt>
                            <w:sdtPr>
                              <w:alias w:val="Numeris"/>
                              <w:tag w:val="nr_b7226d88595543b6902e9a13c8d02666"/>
                              <w:lock w:val="sdtLocked"/>
                              <w:richText/>
                            </w:sdtPr>
                            <w:sdtContent>
                              <w:r>
                                <w:rPr>
                                  <w:szCs w:val="24"/>
                                </w:rPr>
                                <w:t>9.1</w:t>
                              </w:r>
                            </w:sdtContent>
                          </w:sdt>
                          <w:r>
                            <w:rPr>
                              <w:szCs w:val="24"/>
                            </w:rPr>
                            <w:t>. iš gamintojų, tiekėjų, biržoje, balansavimo rinkoje įsigytos elektros energijos ir persiuntimo paslaugų kaštų vertę;</w:t>
                          </w:r>
                        </w:p>
                      </w:sdtContent>
                    </w:sdt>
                    <w:sdt>
                      <w:sdtPr>
                        <w:alias w:val="9.2 p."/>
                        <w:tag w:val="part_8766e3fd8c7a4ad3afc2ff5bbd705002"/>
                        <w:lock w:val="sdtLocked"/>
                        <w:richText/>
                      </w:sdtPr>
                      <w:sdtContent>
                        <w:p>
                          <w:pPr>
                            <w:tabs>
                              <w:tab w:val="left" w:pos="1134"/>
                            </w:tabs>
                            <w:ind w:firstLine="709"/>
                            <w:jc w:val="both"/>
                            <w:rPr>
                              <w:szCs w:val="24"/>
                            </w:rPr>
                          </w:pPr>
                          <w:sdt>
                            <w:sdtPr>
                              <w:alias w:val="Numeris"/>
                              <w:tag w:val="nr_8766e3fd8c7a4ad3afc2ff5bbd705002"/>
                              <w:lock w:val="sdtLocked"/>
                              <w:richText/>
                            </w:sdtPr>
                            <w:sdtContent>
                              <w:r>
                                <w:rPr>
                                  <w:szCs w:val="24"/>
                                </w:rPr>
                                <w:t>9.2</w:t>
                              </w:r>
                            </w:sdtContent>
                          </w:sdt>
                          <w:r>
                            <w:rPr>
                              <w:szCs w:val="24"/>
                            </w:rPr>
                            <w:t>. Komisijos nustatytą elektros energijos technologinių sąnaudų koeficientą, kuris nustatomas atsižvelgiant į:</w:t>
                          </w:r>
                        </w:p>
                        <w:sdt>
                          <w:sdtPr>
                            <w:alias w:val="9.2.1 p."/>
                            <w:tag w:val="part_3e519ec0801a4b119d8a322e3a6691c4"/>
                            <w:lock w:val="sdtLocked"/>
                            <w:richText/>
                          </w:sdtPr>
                          <w:sdtContent>
                            <w:p>
                              <w:pPr>
                                <w:tabs>
                                  <w:tab w:val="left" w:pos="1276"/>
                                </w:tabs>
                                <w:ind w:firstLine="709"/>
                                <w:jc w:val="both"/>
                                <w:rPr>
                                  <w:szCs w:val="24"/>
                                </w:rPr>
                              </w:pPr>
                              <w:sdt>
                                <w:sdtPr>
                                  <w:alias w:val="Numeris"/>
                                  <w:tag w:val="nr_3e519ec0801a4b119d8a322e3a6691c4"/>
                                  <w:lock w:val="sdtLocked"/>
                                  <w:richText/>
                                </w:sdtPr>
                                <w:sdtContent>
                                  <w:r>
                                    <w:rPr>
                                      <w:szCs w:val="24"/>
                                    </w:rPr>
                                    <w:t>9.2.1</w:t>
                                  </w:r>
                                </w:sdtContent>
                              </w:sdt>
                              <w:r>
                                <w:rPr>
                                  <w:szCs w:val="24"/>
                                </w:rPr>
                                <w:t xml:space="preserve">. </w:t>
                              </w:r>
                              <w:r>
                                <w:rPr>
                                  <w:szCs w:val="24"/>
                                  <w:lang w:eastAsia="lt-LT"/>
                                </w:rPr>
                                <w:t>palyginamuosius faktinius kitų energetikos įmonių technologinių sąnaudų koeficientus;</w:t>
                              </w:r>
                            </w:p>
                          </w:sdtContent>
                        </w:sdt>
                        <w:sdt>
                          <w:sdtPr>
                            <w:alias w:val="9.2.2 p."/>
                            <w:tag w:val="part_40416011835c40b28218f5ec86ce28ec"/>
                            <w:lock w:val="sdtLocked"/>
                            <w:richText/>
                          </w:sdtPr>
                          <w:sdtContent>
                            <w:p>
                              <w:pPr>
                                <w:tabs>
                                  <w:tab w:val="left" w:pos="1276"/>
                                </w:tabs>
                                <w:ind w:firstLine="709"/>
                                <w:jc w:val="both"/>
                                <w:rPr>
                                  <w:szCs w:val="24"/>
                                </w:rPr>
                              </w:pPr>
                              <w:sdt>
                                <w:sdtPr>
                                  <w:alias w:val="Numeris"/>
                                  <w:tag w:val="nr_40416011835c40b28218f5ec86ce28ec"/>
                                  <w:lock w:val="sdtLocked"/>
                                  <w:richText/>
                                </w:sdtPr>
                                <w:sdtContent>
                                  <w:r>
                                    <w:rPr>
                                      <w:szCs w:val="24"/>
                                    </w:rPr>
                                    <w:t>9.2.2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9.2.3 p."/>
                            <w:tag w:val="part_5fcd217e5c494a21baeee694c925e6b3"/>
                            <w:lock w:val="sdtLocked"/>
                            <w:richText/>
                          </w:sdtPr>
                          <w:sdtContent>
                            <w:p>
                              <w:pPr>
                                <w:tabs>
                                  <w:tab w:val="left" w:pos="1276"/>
                                </w:tabs>
                                <w:ind w:firstLine="709"/>
                                <w:jc w:val="both"/>
                              </w:pPr>
                              <w:sdt>
                                <w:sdtPr>
                                  <w:alias w:val="Numeris"/>
                                  <w:tag w:val="nr_5fcd217e5c494a21baeee694c925e6b3"/>
                                  <w:lock w:val="sdtLocked"/>
                                  <w:richText/>
                                </w:sdtPr>
                                <w:sdtContent>
                                  <w:r>
                                    <w:rPr>
                                      <w:szCs w:val="24"/>
                                    </w:rPr>
                                    <w:t>9.2.3</w:t>
                                  </w:r>
                                </w:sdtContent>
                              </w:sdt>
                              <w:r>
                                <w:rPr>
                                  <w:szCs w:val="24"/>
                                </w:rPr>
                                <w:t xml:space="preserve">. </w:t>
                              </w:r>
                              <w:r>
                                <w:rPr>
                                  <w:szCs w:val="24"/>
                                  <w:lang w:eastAsia="lt-LT"/>
                                </w:rPr>
                                <w:t>faktinę ir Komisijos praėjusiam reguliavimo periodui nustatytą technologinių sąnaudų koeficiento neatitiktį bei ją nulėmusių priežasčių pagrįstumą;</w:t>
                              </w:r>
                              <w:r>
                                <w:t xml:space="preserve">     </w:t>
                              </w:r>
                            </w:p>
                          </w:sdtContent>
                        </w:sdt>
                        <w:sdt>
                          <w:sdtPr>
                            <w:alias w:val="9.2.4 p."/>
                            <w:tag w:val="part_60ee3e099b8543bfb4fa4ebaf19c3813"/>
                            <w:lock w:val="sdtLocked"/>
                            <w:richText/>
                          </w:sdtPr>
                          <w:sdtContent>
                            <w:p>
                              <w:pPr>
                                <w:tabs>
                                  <w:tab w:val="left" w:pos="1276"/>
                                </w:tabs>
                                <w:ind w:firstLine="720"/>
                                <w:jc w:val="both"/>
                                <w:rPr>
                                  <w:szCs w:val="24"/>
                                  <w:lang w:eastAsia="lt-LT"/>
                                </w:rPr>
                              </w:pPr>
                              <w:sdt>
                                <w:sdtPr>
                                  <w:alias w:val="Numeris"/>
                                  <w:tag w:val="nr_60ee3e099b8543bfb4fa4ebaf19c3813"/>
                                  <w:lock w:val="sdtLocked"/>
                                  <w:richText/>
                                </w:sdtPr>
                                <w:sdtContent>
                                  <w:r>
                                    <w:rPr>
                                      <w:szCs w:val="24"/>
                                      <w:lang w:eastAsia="lt-LT"/>
                                    </w:rPr>
                                    <w:t>9.2.4</w:t>
                                  </w:r>
                                </w:sdtContent>
                              </w:sdt>
                              <w:r>
                                <w:rPr>
                                  <w:szCs w:val="24"/>
                                  <w:lang w:eastAsia="lt-LT"/>
                                </w:rPr>
                                <w:t>. reguliavimo periodui, kuriam nustatomos reguliuojamų paslaugų kainų viršutinės ribos technologinių sąnaudų koeficiento prognozuojamą vidutinį dydį, apskaičiuotą pagal faktinius praėjusios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10 p."/>
                    <w:tag w:val="part_9e220de9cff7437fb2177e841e8112e4"/>
                    <w:lock w:val="sdtLocked"/>
                    <w:richText/>
                  </w:sdtPr>
                  <w:sdtContent>
                    <w:p>
                      <w:pPr>
                        <w:tabs>
                          <w:tab w:val="left" w:pos="1134"/>
                        </w:tabs>
                        <w:ind w:firstLine="709"/>
                        <w:contextualSpacing/>
                        <w:jc w:val="both"/>
                        <w:rPr>
                          <w:iCs/>
                          <w:szCs w:val="24"/>
                        </w:rPr>
                      </w:pPr>
                      <w:sdt>
                        <w:sdtPr>
                          <w:alias w:val="Numeris"/>
                          <w:tag w:val="nr_9e220de9cff7437fb2177e841e8112e4"/>
                          <w:lock w:val="sdtLocked"/>
                          <w:richText/>
                        </w:sdtPr>
                        <w:sdtContent>
                          <w:r>
                            <w:rPr>
                              <w:iCs/>
                              <w:szCs w:val="24"/>
                            </w:rPr>
                            <w:t>10</w:t>
                          </w:r>
                        </w:sdtContent>
                      </w:sdt>
                      <w:r>
                        <w:rPr>
                          <w:iCs/>
                          <w:szCs w:val="24"/>
                        </w:rPr>
                        <w:t xml:space="preserve">. </w:t>
                      </w:r>
                      <w:r>
                        <w:rPr>
                          <w:szCs w:val="24"/>
                        </w:rPr>
                        <w:t xml:space="preserve">Kaštai </w:t>
                      </w:r>
                      <w:r>
                        <w:rPr>
                          <w:iCs/>
                          <w:szCs w:val="24"/>
                        </w:rPr>
                        <w:t>elektros energijai savosioms reikmėms pirkti nustatomi atsižvelgiant į:</w:t>
                      </w:r>
                    </w:p>
                    <w:sdt>
                      <w:sdtPr>
                        <w:alias w:val="10.1 p."/>
                        <w:tag w:val="part_ce67f3c34f3540aa9e2e2e94bcde249e"/>
                        <w:lock w:val="sdtLocked"/>
                        <w:richText/>
                      </w:sdtPr>
                      <w:sdtContent>
                        <w:p>
                          <w:pPr>
                            <w:tabs>
                              <w:tab w:val="left" w:pos="1276"/>
                            </w:tabs>
                            <w:ind w:firstLine="709"/>
                            <w:contextualSpacing/>
                            <w:jc w:val="both"/>
                            <w:rPr>
                              <w:iCs/>
                              <w:szCs w:val="24"/>
                            </w:rPr>
                          </w:pPr>
                          <w:sdt>
                            <w:sdtPr>
                              <w:alias w:val="Numeris"/>
                              <w:tag w:val="nr_ce67f3c34f3540aa9e2e2e94bcde249e"/>
                              <w:lock w:val="sdtLocked"/>
                              <w:richText/>
                            </w:sdtPr>
                            <w:sdtContent>
                              <w:r>
                                <w:rPr>
                                  <w:iCs/>
                                  <w:szCs w:val="24"/>
                                </w:rPr>
                                <w:t>10.1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viešuosius interesus atitinkančių paslaugų (toliau – VIAP) ir sisteminių paslaugų kainą);</w:t>
                          </w:r>
                        </w:p>
                      </w:sdtContent>
                    </w:sdt>
                    <w:sdt>
                      <w:sdtPr>
                        <w:alias w:val="10.2 p."/>
                        <w:tag w:val="part_295d0e6094c7417f989efba4d291e8dc"/>
                        <w:lock w:val="sdtLocked"/>
                        <w:richText/>
                      </w:sdtPr>
                      <w:sdtContent>
                        <w:p>
                          <w:pPr>
                            <w:tabs>
                              <w:tab w:val="left" w:pos="1276"/>
                            </w:tabs>
                            <w:ind w:firstLine="709"/>
                            <w:contextualSpacing/>
                            <w:jc w:val="both"/>
                            <w:rPr>
                              <w:iCs/>
                              <w:szCs w:val="24"/>
                            </w:rPr>
                          </w:pPr>
                          <w:sdt>
                            <w:sdtPr>
                              <w:alias w:val="Numeris"/>
                              <w:tag w:val="nr_295d0e6094c7417f989efba4d291e8dc"/>
                              <w:lock w:val="sdtLocked"/>
                              <w:richText/>
                            </w:sdtPr>
                            <w:sdtContent>
                              <w:r>
                                <w:rPr>
                                  <w:iCs/>
                                  <w:szCs w:val="24"/>
                                </w:rPr>
                                <w:t>10.2</w:t>
                              </w:r>
                            </w:sdtContent>
                          </w:sdt>
                          <w:r>
                            <w:rPr>
                              <w:iCs/>
                              <w:szCs w:val="24"/>
                            </w:rPr>
                            <w:t>. savoms reikmėms sunaudotus elektros energijos kiekius, kurie negali viršyti praėjusiam reguliavimo periodui nustatytų kiekių, praėjusį reguliavimo periodą sunaudų faktinių kiekių.</w:t>
                          </w:r>
                        </w:p>
                      </w:sdtContent>
                    </w:sdt>
                  </w:sdtContent>
                </w:sdt>
                <w:sdt>
                  <w:sdtPr>
                    <w:alias w:val="11 p."/>
                    <w:tag w:val="part_ab6d9ee8394e49b8870dc1429c769afc"/>
                    <w:lock w:val="sdtLocked"/>
                    <w:richText/>
                  </w:sdtPr>
                  <w:sdtContent>
                    <w:p>
                      <w:pPr>
                        <w:tabs>
                          <w:tab w:val="left" w:pos="1134"/>
                        </w:tabs>
                        <w:ind w:firstLine="709"/>
                        <w:contextualSpacing/>
                        <w:jc w:val="both"/>
                        <w:rPr>
                          <w:iCs/>
                          <w:szCs w:val="24"/>
                        </w:rPr>
                      </w:pPr>
                      <w:sdt>
                        <w:sdtPr>
                          <w:alias w:val="Numeris"/>
                          <w:tag w:val="nr_ab6d9ee8394e49b8870dc1429c769afc"/>
                          <w:lock w:val="sdtLocked"/>
                          <w:richText/>
                        </w:sdtPr>
                        <w:sdtContent>
                          <w:r>
                            <w:rPr>
                              <w:iCs/>
                              <w:szCs w:val="24"/>
                            </w:rPr>
                            <w:t>11</w:t>
                          </w:r>
                        </w:sdtContent>
                      </w:sdt>
                      <w:r>
                        <w:rPr>
                          <w:iCs/>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w:t>
                      </w:r>
                      <w:r>
                        <w:rPr>
                          <w:sz w:val="20"/>
                        </w:rPr>
                        <w:t xml:space="preserve"> </w:t>
                      </w:r>
                      <w:r>
                        <w:rPr>
                          <w:szCs w:val="24"/>
                          <w:lang w:eastAsia="lt-LT"/>
                        </w:rPr>
                        <w:t>nepriklausančių veiksnių.</w:t>
                      </w:r>
                    </w:p>
                  </w:sdtContent>
                </w:sdt>
                <w:sdt>
                  <w:sdtPr>
                    <w:alias w:val="12 p."/>
                    <w:tag w:val="part_54417246292a4664ad1a5ae635d74e74"/>
                    <w:lock w:val="sdtLocked"/>
                    <w:richText/>
                  </w:sdtPr>
                  <w:sdtContent>
                    <w:p>
                      <w:pPr>
                        <w:tabs>
                          <w:tab w:val="left" w:pos="1134"/>
                        </w:tabs>
                        <w:ind w:firstLine="709"/>
                        <w:contextualSpacing/>
                        <w:jc w:val="both"/>
                        <w:rPr>
                          <w:iCs/>
                          <w:szCs w:val="24"/>
                        </w:rPr>
                      </w:pPr>
                      <w:sdt>
                        <w:sdtPr>
                          <w:alias w:val="Numeris"/>
                          <w:tag w:val="nr_54417246292a4664ad1a5ae635d74e74"/>
                          <w:lock w:val="sdtLocked"/>
                          <w:richText/>
                        </w:sdtPr>
                        <w:sdtContent>
                          <w:r>
                            <w:rPr>
                              <w:iCs/>
                              <w:szCs w:val="24"/>
                            </w:rPr>
                            <w:t>12</w:t>
                          </w:r>
                        </w:sdtContent>
                      </w:sdt>
                      <w:r>
                        <w:rPr>
                          <w:iCs/>
                          <w:szCs w:val="24"/>
                        </w:rPr>
                        <w:t xml:space="preserve">. </w:t>
                      </w:r>
                      <w:r>
                        <w:rPr>
                          <w:szCs w:val="24"/>
                        </w:rPr>
                        <w:t>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13 p."/>
                    <w:tag w:val="part_6d9b25192e4d4bf4b3ecf500fd844956"/>
                    <w:lock w:val="sdtLocked"/>
                    <w:richText/>
                  </w:sdtPr>
                  <w:sdtContent>
                    <w:p>
                      <w:pPr>
                        <w:tabs>
                          <w:tab w:val="left" w:pos="993"/>
                        </w:tabs>
                        <w:ind w:firstLine="709"/>
                        <w:jc w:val="both"/>
                        <w:rPr>
                          <w:szCs w:val="24"/>
                        </w:rPr>
                      </w:pPr>
                      <w:sdt>
                        <w:sdtPr>
                          <w:alias w:val="Numeris"/>
                          <w:tag w:val="nr_6d9b25192e4d4bf4b3ecf500fd844956"/>
                          <w:lock w:val="sdtLocked"/>
                          <w:richText/>
                        </w:sdtPr>
                        <w:sdtContent>
                          <w:r>
                            <w:rPr>
                              <w:szCs w:val="24"/>
                            </w:rPr>
                            <w:t>13</w:t>
                          </w:r>
                        </w:sdtContent>
                      </w:sdt>
                      <w:r>
                        <w:rPr>
                          <w:szCs w:val="24"/>
                        </w:rPr>
                        <w:t>. Jeigu dėl Įmonės veiklos efektyvumo, t. y. dėl OPEX suefektyvinimo vykdant reguliuojamą veiklą reguliuojamos veiklos pirmų dvejų reguliavimo periodo metų, o vėliau – pasibaigus reguliavimo periodui investicijų grąža, įvertinus taikytinų koregavimo koeficientų įtaką, yra didesnė, palyginti su nustatyta atitinkamų metų investicijų grąža, šios veiklos, atitinkamų metų, leistina investicijų grąža didinama investicijų grąžos ribą, dėl veiklos efektyvumo, kurį Įmonė įrodė Komisijai, viršijančia suma, kuri apskaičiuojama pagal formulę:</w:t>
                      </w:r>
                    </w:p>
                    <w:p>
                      <w:pPr>
                        <w:tabs>
                          <w:tab w:val="left" w:pos="993"/>
                        </w:tabs>
                        <w:ind w:firstLine="709"/>
                        <w:jc w:val="both"/>
                        <w:rPr>
                          <w:szCs w:val="24"/>
                        </w:rPr>
                      </w:pPr>
                    </w:p>
                    <w:p>
                      <w:pPr>
                        <w:tabs>
                          <w:tab w:val="left" w:pos="993"/>
                          <w:tab w:val="left" w:pos="9356"/>
                        </w:tabs>
                        <w:jc w:val="both"/>
                        <w:rPr>
                          <w:szCs w:val="24"/>
                        </w:rPr>
                      </w:pPr>
                      <w:r>
                        <w:rPr>
                          <w:i/>
                          <w:iCs/>
                          <w:szCs w:val="24"/>
                        </w:rPr>
                        <w:t>G</w:t>
                      </w:r>
                      <w:r>
                        <w:rPr>
                          <w:i/>
                          <w:iCs/>
                          <w:szCs w:val="24"/>
                          <w:vertAlign w:val="subscript"/>
                        </w:rPr>
                        <w:t xml:space="preserve">1,i </w:t>
                      </w:r>
                      <w:r>
                        <w:rPr>
                          <w:i/>
                          <w:iCs/>
                          <w:szCs w:val="24"/>
                        </w:rPr>
                        <w:t>= OPEX</w:t>
                      </w:r>
                      <w:r>
                        <w:rPr>
                          <w:i/>
                          <w:iCs/>
                          <w:szCs w:val="24"/>
                          <w:vertAlign w:val="subscript"/>
                        </w:rPr>
                        <w:t>nustatytas,i</w:t>
                      </w:r>
                      <w:r>
                        <w:rPr>
                          <w:i/>
                          <w:iCs/>
                          <w:szCs w:val="24"/>
                        </w:rPr>
                        <w:t xml:space="preserve"> – OPEX</w:t>
                      </w:r>
                      <w:r>
                        <w:rPr>
                          <w:i/>
                          <w:iCs/>
                          <w:szCs w:val="24"/>
                          <w:vertAlign w:val="subscript"/>
                        </w:rPr>
                        <w:t xml:space="preserve">faktinis,i </w:t>
                      </w:r>
                      <w:r>
                        <w:rPr>
                          <w:i/>
                          <w:iCs/>
                          <w:szCs w:val="24"/>
                        </w:rPr>
                        <w:tab/>
                      </w:r>
                      <w:r>
                        <w:rPr>
                          <w:szCs w:val="24"/>
                        </w:rPr>
                        <w:t>(5)</w:t>
                      </w:r>
                    </w:p>
                    <w:p>
                      <w:pPr>
                        <w:tabs>
                          <w:tab w:val="left" w:pos="993"/>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 p."/>
                    <w:tag w:val="part_96fffdf6d88b477aad3c98d821f6c775"/>
                    <w:lock w:val="sdtLocked"/>
                    <w:richText/>
                  </w:sdtPr>
                  <w:sdtContent>
                    <w:p>
                      <w:pPr>
                        <w:tabs>
                          <w:tab w:val="left" w:pos="993"/>
                          <w:tab w:val="left" w:pos="9356"/>
                        </w:tabs>
                        <w:ind w:firstLine="709"/>
                        <w:jc w:val="both"/>
                        <w:rPr>
                          <w:szCs w:val="24"/>
                        </w:rPr>
                      </w:pPr>
                      <w:sdt>
                        <w:sdtPr>
                          <w:alias w:val="Numeris"/>
                          <w:tag w:val="nr_96fffdf6d88b477aad3c98d821f6c775"/>
                          <w:lock w:val="sdtLocked"/>
                          <w:richText/>
                        </w:sdtPr>
                        <w:sdtContent>
                          <w:r>
                            <w:rPr>
                              <w:szCs w:val="24"/>
                            </w:rPr>
                            <w:t>14</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 pasibaigus reguliavimo periodui investicijų grąža, įvertinus taikytinų koregavimo koeficientų įtaką viršija Komisijos nustatytą atitinkamos veiklos investicijų grąžą šios veiklos atitinkamų metų leistina investicijų grąža didinama 50 proc. investicijų grąžos ribą dėl veiklos efektyvumo, kurį Įmonė įrodė Komisijai, viršijančia suma, apskaičiuojama pagal formulę:</w:t>
                      </w:r>
                    </w:p>
                    <w:p>
                      <w:pPr>
                        <w:tabs>
                          <w:tab w:val="left" w:pos="993"/>
                          <w:tab w:val="left" w:pos="9356"/>
                        </w:tabs>
                        <w:jc w:val="both"/>
                        <w:rPr>
                          <w:szCs w:val="24"/>
                        </w:rPr>
                      </w:pPr>
                    </w:p>
                    <w:p>
                      <w:pPr>
                        <w:tabs>
                          <w:tab w:val="left" w:pos="993"/>
                          <w:tab w:val="left" w:pos="9356"/>
                        </w:tabs>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(6)</w:t>
                      </w:r>
                    </w:p>
                    <w:p>
                      <w:pPr>
                        <w:tabs>
                          <w:tab w:val="left" w:pos="993"/>
                        </w:tabs>
                        <w:jc w:val="both"/>
                        <w:rPr>
                          <w:i/>
                          <w:iCs/>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2,i </w:t>
                      </w:r>
                      <w:r>
                        <w:rPr>
                          <w:szCs w:val="24"/>
                        </w:rPr>
                        <w:t xml:space="preserve">– suma, kuria didinama leistina investicijų grąža  i-tajai paslaugai,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p>
                    <w:p>
                      <w:pPr>
                        <w:tabs>
                          <w:tab w:val="left" w:pos="993"/>
                        </w:tabs>
                        <w:jc w:val="both"/>
                      </w:pPr>
                      <w:r>
                        <w:rPr>
                          <w:szCs w:val="24"/>
                        </w:rPr>
                        <w:t>Kitiems metams ir (arba) nustatant kainų viršutines ribas kito reguliavimo periodo antriesiems metams,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1 p."/>
                    <w:tag w:val="part_b26cf6a43e244337a5024a7a308d7ff5"/>
                    <w:lock w:val="sdtLocked"/>
                    <w:richText/>
                  </w:sdtPr>
                  <w:sdtContent>
                    <w:p>
                      <w:pPr>
                        <w:tabs>
                          <w:tab w:val="left" w:pos="993"/>
                        </w:tabs>
                        <w:ind w:firstLine="709"/>
                        <w:jc w:val="both"/>
                      </w:pPr>
                      <w:sdt>
                        <w:sdtPr>
                          <w:alias w:val="Numeris"/>
                          <w:tag w:val="nr_b26cf6a43e244337a5024a7a308d7ff5"/>
                          <w:lock w:val="sdtLocked"/>
                          <w:richText/>
                        </w:sdtPr>
                        <w:sdtContent>
                          <w:r>
                            <w:rPr>
                              <w:szCs w:val="24"/>
                            </w:rPr>
                            <w:t>14</w:t>
                          </w:r>
                          <w:r>
                            <w:rPr>
                              <w:szCs w:val="24"/>
                              <w:vertAlign w:val="superscript"/>
                            </w:rPr>
                            <w:t>1</w:t>
                          </w:r>
                        </w:sdtContent>
                      </w:sdt>
                      <w:r>
                        <w:rPr>
                          <w:szCs w:val="24"/>
                        </w:rPr>
                        <w:t>. OPEX taikomas skatinamasis mechanizmas, t. y. OPEX per reguliavimo periodą ir naujam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2 p."/>
                    <w:tag w:val="part_fc31139782fe4301a1d341ea788687dc"/>
                    <w:lock w:val="sdtLocked"/>
                    <w:richText/>
                  </w:sdtPr>
                  <w:sdtContent>
                    <w:p>
                      <w:pPr>
                        <w:tabs>
                          <w:tab w:val="left" w:pos="1134"/>
                        </w:tabs>
                        <w:ind w:firstLine="709"/>
                        <w:jc w:val="both"/>
                        <w:rPr>
                          <w:szCs w:val="24"/>
                        </w:rPr>
                      </w:pPr>
                      <w:sdt>
                        <w:sdtPr>
                          <w:alias w:val="Numeris"/>
                          <w:tag w:val="nr_fc31139782fe4301a1d341ea788687dc"/>
                          <w:lock w:val="sdtLocked"/>
                          <w:richText/>
                        </w:sdtPr>
                        <w:sdtContent>
                          <w:r>
                            <w:rPr>
                              <w:szCs w:val="24"/>
                            </w:rPr>
                            <w:t>14</w:t>
                          </w:r>
                          <w:r>
                            <w:rPr>
                              <w:szCs w:val="24"/>
                              <w:vertAlign w:val="superscript"/>
                            </w:rPr>
                            <w:t>2</w:t>
                          </w:r>
                        </w:sdtContent>
                      </w:sdt>
                      <w:r>
                        <w:rPr>
                          <w:szCs w:val="24"/>
                        </w:rPr>
                        <w:t>. Įmonių veiklos efektyvinimu nėra laikoma:</w:t>
                      </w:r>
                    </w:p>
                    <w:sdt>
                      <w:sdtPr>
                        <w:alias w:val="14-2.1 p."/>
                        <w:tag w:val="part_cecbd3af763f4346b2b4b8aa131f7e66"/>
                        <w:lock w:val="sdtLocked"/>
                        <w:richText/>
                      </w:sdtPr>
                      <w:sdtContent>
                        <w:p>
                          <w:pPr>
                            <w:tabs>
                              <w:tab w:val="left" w:pos="1134"/>
                            </w:tabs>
                            <w:ind w:firstLine="709"/>
                            <w:jc w:val="both"/>
                            <w:rPr>
                              <w:szCs w:val="24"/>
                            </w:rPr>
                          </w:pPr>
                          <w:sdt>
                            <w:sdtPr>
                              <w:alias w:val="Numeris"/>
                              <w:tag w:val="nr_cecbd3af763f4346b2b4b8aa131f7e66"/>
                              <w:lock w:val="sdtLocked"/>
                              <w:richText/>
                            </w:sdtPr>
                            <w:sdtContent>
                              <w:r>
                                <w:rPr>
                                  <w:szCs w:val="24"/>
                                </w:rPr>
                                <w:t>14</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14-2.2 p."/>
                        <w:tag w:val="part_bc739d2bbeda42488a020e898664d73c"/>
                        <w:lock w:val="sdtLocked"/>
                        <w:richText/>
                      </w:sdtPr>
                      <w:sdtContent>
                        <w:p>
                          <w:pPr>
                            <w:tabs>
                              <w:tab w:val="left" w:pos="1134"/>
                            </w:tabs>
                            <w:ind w:firstLine="709"/>
                            <w:jc w:val="both"/>
                            <w:rPr>
                              <w:szCs w:val="24"/>
                            </w:rPr>
                          </w:pPr>
                          <w:sdt>
                            <w:sdtPr>
                              <w:alias w:val="Numeris"/>
                              <w:tag w:val="nr_bc739d2bbeda42488a020e898664d73c"/>
                              <w:lock w:val="sdtLocked"/>
                              <w:richText/>
                            </w:sdtPr>
                            <w:sdtContent>
                              <w:r>
                                <w:rPr>
                                  <w:szCs w:val="24"/>
                                </w:rPr>
                                <w:t>14</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14-2.3 p."/>
                        <w:tag w:val="part_4b736f70ffa946349e07b5b9ad8e1451"/>
                        <w:lock w:val="sdtLocked"/>
                        <w:richText/>
                      </w:sdtPr>
                      <w:sdtContent>
                        <w:p>
                          <w:pPr>
                            <w:tabs>
                              <w:tab w:val="left" w:pos="1134"/>
                            </w:tabs>
                            <w:ind w:firstLine="709"/>
                            <w:jc w:val="both"/>
                          </w:pPr>
                          <w:sdt>
                            <w:sdtPr>
                              <w:alias w:val="Numeris"/>
                              <w:tag w:val="nr_4b736f70ffa946349e07b5b9ad8e1451"/>
                              <w:lock w:val="sdtLocked"/>
                              <w:richText/>
                            </w:sdtPr>
                            <w:sdtContent>
                              <w:r>
                                <w:rPr>
                                  <w:szCs w:val="24"/>
                                </w:rPr>
                                <w:t>14</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sdt>
                      <w:sdtPr>
                        <w:alias w:val="14-2.4 p."/>
                        <w:tag w:val="part_22eae20d937c4c3fb4ee2e1edf90f311"/>
                        <w:lock w:val="sdtLocked"/>
                        <w:richText/>
                      </w:sdtPr>
                      <w:sdtContent>
                        <w:p>
                          <w:pPr>
                            <w:tabs>
                              <w:tab w:val="left" w:pos="758"/>
                            </w:tabs>
                            <w:ind w:firstLine="709"/>
                            <w:jc w:val="both"/>
                          </w:pPr>
                          <w:sdt>
                            <w:sdtPr>
                              <w:alias w:val="Numeris"/>
                              <w:tag w:val="nr_22eae20d937c4c3fb4ee2e1edf90f311"/>
                              <w:lock w:val="sdtLocked"/>
                              <w:richText/>
                            </w:sdtPr>
                            <w:sdtContent>
                              <w:r>
                                <w:rPr>
                                  <w:szCs w:val="24"/>
                                </w:rPr>
                                <w:t>14</w:t>
                              </w:r>
                              <w:r>
                                <w:rPr>
                                  <w:szCs w:val="24"/>
                                  <w:vertAlign w:val="superscript"/>
                                </w:rPr>
                                <w:t>2</w:t>
                              </w:r>
                              <w:r>
                                <w:rPr>
                                  <w:szCs w:val="24"/>
                                </w:rPr>
                                <w:t>.4</w:t>
                              </w:r>
                            </w:sdtContent>
                          </w:sdt>
                          <w:r>
                            <w:rPr>
                              <w:szCs w:val="24"/>
                            </w:rPr>
                            <w:t xml:space="preserve">. </w:t>
                          </w:r>
                          <w:r>
                            <w:rPr>
                              <w:bCs/>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5 p."/>
                    <w:tag w:val="part_fc934dc90f114fa085429b4025487e86"/>
                    <w:lock w:val="sdtLocked"/>
                    <w:richText/>
                  </w:sdtPr>
                  <w:sdtContent>
                    <w:p>
                      <w:pPr>
                        <w:tabs>
                          <w:tab w:val="right" w:pos="9639"/>
                        </w:tabs>
                        <w:spacing w:line="276" w:lineRule="auto"/>
                        <w:ind w:firstLine="720"/>
                        <w:jc w:val="both"/>
                        <w:rPr>
                          <w:b/>
                          <w:szCs w:val="22"/>
                        </w:rPr>
                      </w:pPr>
                      <w:sdt>
                        <w:sdtPr>
                          <w:alias w:val="Numeris"/>
                          <w:tag w:val="nr_fc934dc90f114fa085429b4025487e86"/>
                          <w:lock w:val="sdtLocked"/>
                          <w:richText/>
                        </w:sdtPr>
                        <w:sdtContent>
                          <w:r>
                            <w:rPr>
                              <w:szCs w:val="22"/>
                            </w:rPr>
                            <w:t>15</w:t>
                          </w:r>
                        </w:sdtContent>
                      </w:sdt>
                      <w:r>
                        <w:rPr>
                          <w:szCs w:val="22"/>
                        </w:rPr>
                        <w:t xml:space="preserve">. </w:t>
                      </w:r>
                      <w:r>
                        <w:rPr>
                          <w:szCs w:val="24"/>
                        </w:rPr>
                        <w:t>Elektros energijos perdavimo ir skirstymo paslaugų leistina investicijų grąža sumažinama atitinkamai už kiekvieną persiuntimo patikimumo rodiklį:</w:t>
                      </w:r>
                    </w:p>
                    <w:sdt>
                      <w:sdtPr>
                        <w:alias w:val="15.1 p."/>
                        <w:tag w:val="part_12a4915a15c948acb710cf0d7b3e7dab"/>
                        <w:lock w:val="sdtLocked"/>
                        <w:richText/>
                      </w:sdtPr>
                      <w:sdtContent>
                        <w:p>
                          <w:pPr>
                            <w:tabs>
                              <w:tab w:val="right" w:pos="9639"/>
                            </w:tabs>
                            <w:spacing w:line="276" w:lineRule="auto"/>
                            <w:ind w:firstLine="720"/>
                            <w:jc w:val="both"/>
                            <w:rPr>
                              <w:b/>
                              <w:szCs w:val="24"/>
                            </w:rPr>
                          </w:pPr>
                          <w:sdt>
                            <w:sdtPr>
                              <w:alias w:val="Numeris"/>
                              <w:tag w:val="nr_12a4915a15c948acb710cf0d7b3e7dab"/>
                              <w:lock w:val="sdtLocked"/>
                              <w:richText/>
                            </w:sdtPr>
                            <w:sdtContent>
                              <w:r>
                                <w:rPr>
                                  <w:szCs w:val="22"/>
                                </w:rPr>
                                <w:t>15.1</w:t>
                              </w:r>
                            </w:sdtContent>
                          </w:sdt>
                          <w:r>
                            <w:rPr>
                              <w:szCs w:val="22"/>
                            </w:rPr>
                            <w:t xml:space="preserve">. </w:t>
                          </w:r>
                          <w:r>
                            <w:rPr>
                              <w:szCs w:val="24"/>
                            </w:rPr>
                            <w:t>1 proc., jei praėjusių vienerių metų persiuntimo patikimumo rodiklis, kuriam nustatytas minimalus lygis, pablogėjo nuo 5 iki 10 proc., palyginti su Komisijos nustatytu minimaliu lygiu;</w:t>
                          </w:r>
                        </w:p>
                      </w:sdtContent>
                    </w:sdt>
                    <w:sdt>
                      <w:sdtPr>
                        <w:alias w:val="15.2 p."/>
                        <w:tag w:val="part_dd9507695f4f483aa06c1bb9073a819a"/>
                        <w:lock w:val="sdtLocked"/>
                        <w:richText/>
                      </w:sdtPr>
                      <w:sdtContent>
                        <w:p>
                          <w:pPr>
                            <w:tabs>
                              <w:tab w:val="right" w:pos="9639"/>
                            </w:tabs>
                            <w:ind w:firstLine="720"/>
                            <w:jc w:val="both"/>
                            <w:rPr>
                              <w:szCs w:val="24"/>
                            </w:rPr>
                          </w:pPr>
                          <w:sdt>
                            <w:sdtPr>
                              <w:alias w:val="Numeris"/>
                              <w:tag w:val="nr_dd9507695f4f483aa06c1bb9073a819a"/>
                              <w:lock w:val="sdtLocked"/>
                              <w:richText/>
                            </w:sdtPr>
                            <w:sdtContent>
                              <w:r>
                                <w:rPr>
                                  <w:szCs w:val="24"/>
                                </w:rPr>
                                <w:t>15.2</w:t>
                              </w:r>
                            </w:sdtContent>
                          </w:sdt>
                          <w:r>
                            <w:rPr>
                              <w:szCs w:val="24"/>
                            </w:rPr>
                            <w:t>. 2 proc., jei praėjusių vienerių metų persiuntimo patikimumo rodiklis, kuriam nustatytas minimalus lygis, pablogėjo daugiau nei 10 proc., palyginti su Komisijos nustatytu minimaliu lygiu.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9e8da0f28411e5989ee743dd0efbb0">
                        <w:r w:rsidRPr="00532B9F">
                          <w:rPr>
                            <w:rFonts w:ascii="Times New Roman" w:eastAsia="MS Mincho" w:hAnsi="Times New Roman"/>
                            <w:sz w:val="20"/>
                            <w:i/>
                            <w:iCs/>
                            <w:color w:val="0000FF" w:themeColor="hyperlink"/>
                            <w:u w:val="single"/>
                          </w:rPr>
                          <w:t>O3-81</w:t>
                        </w:r>
                      </w:fldSimple>
                      <w:r>
                        <w:rPr>
                          <w:rFonts w:ascii="Times New Roman" w:eastAsia="MS Mincho" w:hAnsi="Times New Roman"/>
                          <w:sz w:val="20"/>
                          <w:i/>
                          <w:iCs/>
                        </w:rPr>
                        <w:t>,
2016-03-25,
paskelbta TAR 2016-03-25, i. k. 2016-06335            </w:t>
                      </w:r>
                    </w:p>
                    <w:p/>
                  </w:sdtContent>
                </w:sdt>
                <w:sdt>
                  <w:sdtPr>
                    <w:alias w:val="16 p."/>
                    <w:tag w:val="part_f2dc6bc52c10474794bcb90aa9749120"/>
                    <w:lock w:val="sdtLocked"/>
                    <w:richText/>
                  </w:sdtPr>
                  <w:sdtContent>
                    <w:p>
                      <w:pPr>
                        <w:tabs>
                          <w:tab w:val="left" w:pos="1080"/>
                          <w:tab w:val="left" w:pos="1260"/>
                        </w:tabs>
                        <w:ind w:firstLine="709"/>
                        <w:jc w:val="both"/>
                        <w:rPr>
                          <w:szCs w:val="24"/>
                        </w:rPr>
                      </w:pPr>
                      <w:sdt>
                        <w:sdtPr>
                          <w:alias w:val="Numeris"/>
                          <w:tag w:val="nr_f2dc6bc52c10474794bcb90aa9749120"/>
                          <w:lock w:val="sdtLocked"/>
                          <w:richText/>
                        </w:sdtPr>
                        <w:sdtContent>
                          <w:r>
                            <w:rPr>
                              <w:szCs w:val="24"/>
                            </w:rPr>
                            <w:t>16</w:t>
                          </w:r>
                        </w:sdtContent>
                      </w:sdt>
                      <w:r>
                        <w:rPr>
                          <w:szCs w:val="24"/>
                        </w:rPr>
                        <w:t>. Apskaičiuojant protingumo kriterijų atitinkančios investicijų grąžos viršijimo dydį, palyginti su nustatyta investicijų grąža, atsižvelgiant į taikytinų koregavimo koeficientų įtaką, skaičiuojamą po reguliuojamos veiklos pirmų dvejų reguliavimo periodo metų, o vėliau – viso reguliavimo periodo, kuriuo mažinamas reguliuojamos veiklos leistinas pajamų lygis ateinantiems metams, įvertinama:</w:t>
                      </w:r>
                    </w:p>
                    <w:sdt>
                      <w:sdtPr>
                        <w:alias w:val="16.1 p."/>
                        <w:tag w:val="part_ad5fbe8273a642fdb9d873b7760d4f28"/>
                        <w:lock w:val="sdtLocked"/>
                        <w:richText/>
                      </w:sdtPr>
                      <w:sdtContent>
                        <w:p>
                          <w:pPr>
                            <w:tabs>
                              <w:tab w:val="left" w:pos="0"/>
                              <w:tab w:val="left" w:pos="1276"/>
                              <w:tab w:val="left" w:pos="2268"/>
                            </w:tabs>
                            <w:ind w:firstLine="709"/>
                            <w:jc w:val="both"/>
                            <w:rPr>
                              <w:szCs w:val="24"/>
                            </w:rPr>
                          </w:pPr>
                          <w:sdt>
                            <w:sdtPr>
                              <w:alias w:val="Numeris"/>
                              <w:tag w:val="nr_ad5fbe8273a642fdb9d873b7760d4f28"/>
                              <w:lock w:val="sdtLocked"/>
                              <w:richText/>
                            </w:sdtPr>
                            <w:sdtContent>
                              <w:r>
                                <w:rPr>
                                  <w:szCs w:val="24"/>
                                </w:rPr>
                                <w:t>16.1</w:t>
                              </w:r>
                            </w:sdtContent>
                          </w:sdt>
                          <w:r>
                            <w:rPr>
                              <w:szCs w:val="24"/>
                            </w:rPr>
                            <w:t>. Įmonės uždirbta faktinė grąža iš reguliuojamos veiklos;</w:t>
                          </w:r>
                        </w:p>
                      </w:sdtContent>
                    </w:sdt>
                    <w:sdt>
                      <w:sdtPr>
                        <w:alias w:val="16.2 p."/>
                        <w:tag w:val="part_fc23133d39634d93b870027c2c715724"/>
                        <w:lock w:val="sdtLocked"/>
                        <w:richText/>
                      </w:sdtPr>
                      <w:sdtContent>
                        <w:p>
                          <w:pPr>
                            <w:tabs>
                              <w:tab w:val="left" w:pos="0"/>
                              <w:tab w:val="left" w:pos="1276"/>
                              <w:tab w:val="left" w:pos="2268"/>
                            </w:tabs>
                            <w:ind w:firstLine="709"/>
                            <w:jc w:val="both"/>
                            <w:rPr>
                              <w:szCs w:val="24"/>
                            </w:rPr>
                          </w:pPr>
                          <w:sdt>
                            <w:sdtPr>
                              <w:alias w:val="Numeris"/>
                              <w:tag w:val="nr_fc23133d39634d93b870027c2c715724"/>
                              <w:lock w:val="sdtLocked"/>
                              <w:richText/>
                            </w:sdtPr>
                            <w:sdtContent>
                              <w:r>
                                <w:rPr>
                                  <w:szCs w:val="24"/>
                                </w:rPr>
                                <w:t>16.2</w:t>
                              </w:r>
                            </w:sdtContent>
                          </w:sdt>
                          <w:r>
                            <w:rPr>
                              <w:szCs w:val="24"/>
                            </w:rPr>
                            <w:t>. Įmonės gautos papildomos pajamos, susijusios su reguliuojamų paslaugų ir (ar) produktų teikimu, kuriems teikti naudojami ar nenaudojami reguliuojamos veiklos ištekliai;</w:t>
                          </w:r>
                        </w:p>
                      </w:sdtContent>
                    </w:sdt>
                    <w:sdt>
                      <w:sdtPr>
                        <w:alias w:val="16.3 p."/>
                        <w:tag w:val="part_f941f63fc069460eaa9a50c96b031606"/>
                        <w:lock w:val="sdtLocked"/>
                        <w:richText/>
                      </w:sdtPr>
                      <w:sdtContent>
                        <w:p>
                          <w:pPr>
                            <w:tabs>
                              <w:tab w:val="left" w:pos="0"/>
                              <w:tab w:val="left" w:pos="1276"/>
                              <w:tab w:val="left" w:pos="2268"/>
                            </w:tabs>
                            <w:ind w:firstLine="709"/>
                            <w:jc w:val="both"/>
                            <w:rPr>
                              <w:szCs w:val="24"/>
                            </w:rPr>
                          </w:pPr>
                          <w:sdt>
                            <w:sdtPr>
                              <w:alias w:val="Numeris"/>
                              <w:tag w:val="nr_f941f63fc069460eaa9a50c96b031606"/>
                              <w:lock w:val="sdtLocked"/>
                              <w:richText/>
                            </w:sdtPr>
                            <w:sdtContent>
                              <w:r>
                                <w:rPr>
                                  <w:szCs w:val="24"/>
                                </w:rPr>
                                <w:t>16.3</w:t>
                              </w:r>
                            </w:sdtContent>
                          </w:sdt>
                          <w:r>
                            <w:rPr>
                              <w:szCs w:val="24"/>
                            </w:rPr>
                            <w:t>. kaštų, kuriems Komisija nustatė atitinkamus normatyvus Metodikos 7–10 punktuose nurodytoms sąnaudų grupėms, viršijimo suma, kuri apskaičiuojama Metodikos nustatyta tvarka;</w:t>
                          </w:r>
                        </w:p>
                      </w:sdtContent>
                    </w:sdt>
                    <w:sdt>
                      <w:sdtPr>
                        <w:alias w:val="16.4 p."/>
                        <w:tag w:val="part_c7e0495cad04494a853116a80c58616a"/>
                        <w:lock w:val="sdtLocked"/>
                        <w:richText/>
                      </w:sdtPr>
                      <w:sdtContent>
                        <w:p>
                          <w:pPr>
                            <w:tabs>
                              <w:tab w:val="left" w:pos="0"/>
                              <w:tab w:val="left" w:pos="1276"/>
                              <w:tab w:val="left" w:pos="2268"/>
                            </w:tabs>
                            <w:ind w:firstLine="709"/>
                            <w:jc w:val="both"/>
                            <w:rPr>
                              <w:szCs w:val="24"/>
                            </w:rPr>
                          </w:pPr>
                          <w:sdt>
                            <w:sdtPr>
                              <w:alias w:val="Numeris"/>
                              <w:tag w:val="nr_c7e0495cad04494a853116a80c58616a"/>
                              <w:lock w:val="sdtLocked"/>
                              <w:richText/>
                            </w:sdtPr>
                            <w:sdtContent>
                              <w:r>
                                <w:rPr>
                                  <w:szCs w:val="24"/>
                                </w:rPr>
                                <w:t>16.4</w:t>
                              </w:r>
                            </w:sdtContent>
                          </w:sdt>
                          <w:r>
                            <w:rPr>
                              <w:szCs w:val="24"/>
                            </w:rPr>
                            <w:t>. Įmonėms nukrypus nuo Komisijos nustatytų rodiklių, priežastys, lemiančios jų veiklos efektyvumą;</w:t>
                          </w:r>
                        </w:p>
                      </w:sdtContent>
                    </w:sdt>
                    <w:sdt>
                      <w:sdtPr>
                        <w:alias w:val="16.5 p."/>
                        <w:tag w:val="part_a2fcef20d73647f09dcdec99a78535a6"/>
                        <w:lock w:val="sdtLocked"/>
                        <w:richText/>
                      </w:sdtPr>
                      <w:sdtContent>
                        <w:p>
                          <w:pPr>
                            <w:tabs>
                              <w:tab w:val="left" w:pos="0"/>
                              <w:tab w:val="left" w:pos="1276"/>
                              <w:tab w:val="left" w:pos="2268"/>
                            </w:tabs>
                            <w:ind w:firstLine="709"/>
                            <w:jc w:val="both"/>
                            <w:rPr>
                              <w:szCs w:val="24"/>
                            </w:rPr>
                          </w:pPr>
                          <w:sdt>
                            <w:sdtPr>
                              <w:alias w:val="Numeris"/>
                              <w:tag w:val="nr_a2fcef20d73647f09dcdec99a78535a6"/>
                              <w:lock w:val="sdtLocked"/>
                              <w:richText/>
                            </w:sdtPr>
                            <w:sdtContent>
                              <w:r>
                                <w:rPr>
                                  <w:szCs w:val="24"/>
                                </w:rPr>
                                <w:t>16.5</w:t>
                              </w:r>
                            </w:sdtContent>
                          </w:sdt>
                          <w:r>
                            <w:rPr>
                              <w:szCs w:val="24"/>
                            </w:rPr>
                            <w:t xml:space="preserve">. </w:t>
                          </w:r>
                          <w:r>
                            <w:rPr>
                              <w:i/>
                              <w:szCs w:val="24"/>
                            </w:rPr>
                            <w:t>t-2</w:t>
                          </w:r>
                          <w:r>
                            <w:rPr>
                              <w:szCs w:val="24"/>
                            </w:rPr>
                            <w:t xml:space="preserve">, </w:t>
                          </w:r>
                          <w:r>
                            <w:rPr>
                              <w:i/>
                              <w:szCs w:val="24"/>
                            </w:rPr>
                            <w:t xml:space="preserve">t-3 </w:t>
                          </w:r>
                          <w:r>
                            <w:rPr>
                              <w:szCs w:val="24"/>
                            </w:rPr>
                            <w:t>metams planuotų sumų (nustatytų Komisijos sprendimu), mažinančių tų metų pajamų lygį, ir faktiškai gautų šių pajamų skirtumas.</w:t>
                          </w:r>
                        </w:p>
                      </w:sdtContent>
                    </w:sdt>
                  </w:sdtContent>
                </w:sdt>
                <w:sdt>
                  <w:sdtPr>
                    <w:alias w:val="17 p."/>
                    <w:tag w:val="part_03bb3c27e8e94fb8999d8d575f3981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03bb3c27e8e94fb8999d8d575f3981ea"/>
                          <w:lock w:val="sdtLocked"/>
                          <w:richText/>
                        </w:sdtPr>
                        <w:sdtContent>
                          <w:r>
                            <w:rPr>
                              <w:szCs w:val="24"/>
                            </w:rPr>
                            <w:t>17</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18 p."/>
                    <w:tag w:val="part_8e48f81e433e47f7abcb6b4942380d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8e48f81e433e47f7abcb6b4942380dea"/>
                          <w:lock w:val="sdtLocked"/>
                          <w:richText/>
                        </w:sdtPr>
                        <w:sdtContent>
                          <w:r>
                            <w:rPr>
                              <w:szCs w:val="24"/>
                            </w:rPr>
                            <w:t>18</w:t>
                          </w:r>
                        </w:sdtContent>
                      </w:sdt>
                      <w:r>
                        <w:rPr>
                          <w:szCs w:val="24"/>
                        </w:rPr>
                        <w:t>. Reguliuojamų kainų paslaugos perduotos ar paskirstytos elektros energijos metinis kiekis reguliuojamų kainų galiojimo laikotarpiu nustatomas atsižvelgiant į realizuotiną paslaugos kiekį per vienerius reguliavimo periodo metus, įvertinus:</w:t>
                      </w:r>
                    </w:p>
                    <w:sdt>
                      <w:sdtPr>
                        <w:alias w:val="18.1 p."/>
                        <w:tag w:val="part_118d440fcb7f424ebeac5767a7af0eab"/>
                        <w:lock w:val="sdtLocked"/>
                        <w:richText/>
                      </w:sdtPr>
                      <w:sdtContent>
                        <w:p>
                          <w:pPr>
                            <w:tabs>
                              <w:tab w:val="left" w:pos="0"/>
                              <w:tab w:val="left" w:pos="426"/>
                              <w:tab w:val="left" w:pos="851"/>
                              <w:tab w:val="left" w:pos="1276"/>
                              <w:tab w:val="left" w:pos="1843"/>
                              <w:tab w:val="left" w:pos="2268"/>
                            </w:tabs>
                            <w:ind w:firstLine="709"/>
                            <w:jc w:val="both"/>
                            <w:rPr>
                              <w:szCs w:val="24"/>
                            </w:rPr>
                          </w:pPr>
                          <w:sdt>
                            <w:sdtPr>
                              <w:alias w:val="Numeris"/>
                              <w:tag w:val="nr_118d440fcb7f424ebeac5767a7af0eab"/>
                              <w:lock w:val="sdtLocked"/>
                              <w:richText/>
                            </w:sdtPr>
                            <w:sdtContent>
                              <w:r>
                                <w:rPr>
                                  <w:szCs w:val="24"/>
                                </w:rPr>
                                <w:t>18.1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18.2 p."/>
                        <w:tag w:val="part_96835b18fbed42229ce7e4f043cc9b53"/>
                        <w:lock w:val="sdtLocked"/>
                        <w:richText/>
                      </w:sdtPr>
                      <w:sdtContent>
                        <w:p>
                          <w:pPr>
                            <w:tabs>
                              <w:tab w:val="left" w:pos="0"/>
                              <w:tab w:val="left" w:pos="426"/>
                              <w:tab w:val="left" w:pos="851"/>
                              <w:tab w:val="left" w:pos="1134"/>
                              <w:tab w:val="left" w:pos="1276"/>
                              <w:tab w:val="left" w:pos="1843"/>
                              <w:tab w:val="left" w:pos="2268"/>
                            </w:tabs>
                            <w:ind w:firstLine="709"/>
                            <w:jc w:val="both"/>
                            <w:rPr>
                              <w:szCs w:val="24"/>
                            </w:rPr>
                          </w:pPr>
                          <w:sdt>
                            <w:sdtPr>
                              <w:alias w:val="Numeris"/>
                              <w:tag w:val="nr_96835b18fbed42229ce7e4f043cc9b53"/>
                              <w:lock w:val="sdtLocked"/>
                              <w:richText/>
                            </w:sdtPr>
                            <w:sdtContent>
                              <w:r>
                                <w:rPr>
                                  <w:szCs w:val="24"/>
                                </w:rPr>
                                <w:t>18.2</w:t>
                              </w:r>
                            </w:sdtContent>
                          </w:sdt>
                          <w:r>
                            <w:rPr>
                              <w:szCs w:val="24"/>
                            </w:rPr>
                            <w:t xml:space="preserve">. metais </w:t>
                          </w:r>
                          <w:r>
                            <w:rPr>
                              <w:i/>
                              <w:szCs w:val="24"/>
                            </w:rPr>
                            <w:t>t</w:t>
                          </w:r>
                          <w:r>
                            <w:rPr>
                              <w:szCs w:val="24"/>
                            </w:rPr>
                            <w:t xml:space="preserve"> – metų </w:t>
                          </w:r>
                          <w:r>
                            <w:rPr>
                              <w:i/>
                              <w:szCs w:val="24"/>
                            </w:rPr>
                            <w:t>t-1</w:t>
                          </w:r>
                          <w:r>
                            <w:rPr>
                              <w:szCs w:val="24"/>
                            </w:rPr>
                            <w:t xml:space="preserve"> duomenys padidinti t metų puse bendro vidaus produkto pokyčio pagal Finansų ministerijos arba Lietuvos banko pateiktas naujausias prognozes;</w:t>
                          </w:r>
                        </w:p>
                      </w:sdtContent>
                    </w:sdt>
                    <w:sdt>
                      <w:sdtPr>
                        <w:alias w:val="18.3 p."/>
                        <w:tag w:val="part_a1b3c43bc0194dba8295f76eb4842d61"/>
                        <w:lock w:val="sdtLocked"/>
                        <w:richText/>
                      </w:sdtPr>
                      <w:sdtContent>
                        <w:p>
                          <w:pPr>
                            <w:tabs>
                              <w:tab w:val="left" w:pos="0"/>
                              <w:tab w:val="left" w:pos="284"/>
                              <w:tab w:val="left" w:pos="851"/>
                              <w:tab w:val="left" w:pos="1276"/>
                              <w:tab w:val="left" w:pos="1843"/>
                              <w:tab w:val="left" w:pos="2268"/>
                            </w:tabs>
                            <w:ind w:firstLine="709"/>
                            <w:jc w:val="both"/>
                            <w:rPr>
                              <w:szCs w:val="24"/>
                            </w:rPr>
                          </w:pPr>
                          <w:sdt>
                            <w:sdtPr>
                              <w:alias w:val="Numeris"/>
                              <w:tag w:val="nr_a1b3c43bc0194dba8295f76eb4842d61"/>
                              <w:lock w:val="sdtLocked"/>
                              <w:richText/>
                            </w:sdtPr>
                            <w:sdtContent>
                              <w:r>
                                <w:rPr>
                                  <w:szCs w:val="24"/>
                                </w:rPr>
                                <w:t>18.3</w:t>
                              </w:r>
                            </w:sdtContent>
                          </w:sdt>
                          <w:r>
                            <w:rPr>
                              <w:szCs w:val="24"/>
                            </w:rPr>
                            <w:t>. priežasčių, kurias Įmonė nurodė kaip lemiančias realizuoto kiekio faktinių ir būsimų apimties pokyčių, pagrįstumą;</w:t>
                          </w:r>
                        </w:p>
                      </w:sdtContent>
                    </w:sdt>
                    <w:sdt>
                      <w:sdtPr>
                        <w:alias w:val="18.4 p."/>
                        <w:tag w:val="part_9330226942d8402c887ef17805e0ab06"/>
                        <w:lock w:val="sdtLocked"/>
                        <w:richText/>
                      </w:sdtPr>
                      <w:sdtContent>
                        <w:p>
                          <w:pPr>
                            <w:tabs>
                              <w:tab w:val="left" w:pos="0"/>
                              <w:tab w:val="left" w:pos="284"/>
                              <w:tab w:val="left" w:pos="851"/>
                              <w:tab w:val="left" w:pos="1276"/>
                              <w:tab w:val="left" w:pos="1843"/>
                              <w:tab w:val="left" w:pos="2268"/>
                            </w:tabs>
                            <w:ind w:firstLine="709"/>
                            <w:jc w:val="both"/>
                            <w:rPr>
                              <w:szCs w:val="24"/>
                            </w:rPr>
                          </w:pPr>
                          <w:sdt>
                            <w:sdtPr>
                              <w:alias w:val="Numeris"/>
                              <w:tag w:val="nr_9330226942d8402c887ef17805e0ab06"/>
                              <w:lock w:val="sdtLocked"/>
                              <w:richText/>
                            </w:sdtPr>
                            <w:sdtContent>
                              <w:r>
                                <w:rPr>
                                  <w:szCs w:val="24"/>
                                </w:rPr>
                                <w:t>18.4</w:t>
                              </w:r>
                            </w:sdtContent>
                          </w:sdt>
                          <w:r>
                            <w:rPr>
                              <w:szCs w:val="24"/>
                            </w:rPr>
                            <w:t>. kitų Įmonių, galinčių daryti įtaką prognozuojamam kiekiui, plėtrą ir teisės aktuose nustatytus įpareigojimus.</w:t>
                          </w:r>
                        </w:p>
                        <w:p>
                          <w:pPr>
                            <w:tabs>
                              <w:tab w:val="left" w:pos="0"/>
                              <w:tab w:val="left" w:pos="284"/>
                              <w:tab w:val="left" w:pos="851"/>
                              <w:tab w:val="left" w:pos="1276"/>
                              <w:tab w:val="left" w:pos="1843"/>
                              <w:tab w:val="left" w:pos="2268"/>
                            </w:tabs>
                            <w:ind w:firstLine="709"/>
                            <w:jc w:val="both"/>
                            <w:rPr>
                              <w:szCs w:val="24"/>
                            </w:rPr>
                          </w:pPr>
                        </w:p>
                        <w:p>
                          <w:pPr>
                            <w:tabs>
                              <w:tab w:val="left" w:pos="0"/>
                              <w:tab w:val="left" w:pos="284"/>
                              <w:tab w:val="left" w:pos="851"/>
                              <w:tab w:val="left" w:pos="1276"/>
                              <w:tab w:val="left" w:pos="1843"/>
                              <w:tab w:val="left" w:pos="2268"/>
                            </w:tabs>
                            <w:ind w:firstLine="709"/>
                            <w:jc w:val="both"/>
                            <w:rPr>
                              <w:szCs w:val="24"/>
                            </w:rPr>
                          </w:pPr>
                        </w:p>
                      </w:sdtContent>
                    </w:sdt>
                  </w:sdtContent>
                </w:sdt>
              </w:sdtContent>
            </w:sdt>
            <w:sdt>
              <w:sdtPr>
                <w:alias w:val="skirsnis"/>
                <w:tag w:val="part_fef0e2518339433085facff293bda298"/>
                <w:lock w:val="sdtLocked"/>
                <w:richText/>
              </w:sdtPr>
              <w:sdtContent>
                <w:p>
                  <w:pPr>
                    <w:widowControl w:val="0"/>
                    <w:tabs>
                      <w:tab w:val="left" w:pos="993"/>
                      <w:tab w:val="left" w:pos="1843"/>
                    </w:tabs>
                    <w:jc w:val="center"/>
                    <w:rPr>
                      <w:b/>
                      <w:szCs w:val="24"/>
                    </w:rPr>
                  </w:pPr>
                  <w:sdt>
                    <w:sdtPr>
                      <w:alias w:val="Numeris"/>
                      <w:tag w:val="nr_fef0e2518339433085facff293bda298"/>
                      <w:lock w:val="sdtLocked"/>
                      <w:richText/>
                    </w:sdtPr>
                    <w:sdtContent>
                      <w:r>
                        <w:rPr>
                          <w:b/>
                          <w:szCs w:val="24"/>
                        </w:rPr>
                        <w:t>ANTRASIS</w:t>
                      </w:r>
                    </w:sdtContent>
                  </w:sdt>
                  <w:r>
                    <w:rPr>
                      <w:b/>
                      <w:szCs w:val="24"/>
                    </w:rPr>
                    <w:t xml:space="preserve"> SKIRSNIS</w:t>
                  </w:r>
                </w:p>
                <w:p>
                  <w:pPr>
                    <w:widowControl w:val="0"/>
                    <w:tabs>
                      <w:tab w:val="left" w:pos="993"/>
                      <w:tab w:val="left" w:pos="1843"/>
                    </w:tabs>
                    <w:jc w:val="center"/>
                    <w:rPr>
                      <w:b/>
                      <w:szCs w:val="24"/>
                    </w:rPr>
                  </w:pPr>
                  <w:sdt>
                    <w:sdtPr>
                      <w:alias w:val="Pavadinimas"/>
                      <w:tag w:val="title_fef0e2518339433085facff293bda298"/>
                      <w:lock w:val="sdtLocked"/>
                      <w:richText/>
                    </w:sdtPr>
                    <w:sdtContent>
                      <w:r>
                        <w:rPr>
                          <w:b/>
                          <w:szCs w:val="24"/>
                        </w:rPr>
                        <w:t>ĮMONIŲ, BESIVERČIANČIŲ SKIRSTYMO VEIKLA, KURIŲ VEIKLOS TERITORIJOJE ESANČIŲ VARTOTOJŲ SKAIČIUS MAŽESNIS NEI 100 TŪKSTANČIŲ, IR ĮMONIŲ, BESIVERČIANČIŲ VISUOMENINIO TIEKIMO VEIKLA KAINODAROS TAISYKLĖS</w:t>
                      </w:r>
                    </w:sdtContent>
                  </w:sdt>
                </w:p>
                <w:p>
                  <w:pPr>
                    <w:widowControl w:val="0"/>
                    <w:tabs>
                      <w:tab w:val="left" w:pos="993"/>
                      <w:tab w:val="left" w:pos="1843"/>
                    </w:tabs>
                    <w:spacing w:line="240" w:lineRule="atLeast"/>
                    <w:ind w:left="900"/>
                    <w:jc w:val="both"/>
                    <w:rPr>
                      <w:szCs w:val="24"/>
                    </w:rPr>
                  </w:pPr>
                </w:p>
                <w:p>
                  <w:pPr>
                    <w:widowControl w:val="0"/>
                    <w:tabs>
                      <w:tab w:val="left" w:pos="993"/>
                      <w:tab w:val="left" w:pos="1843"/>
                    </w:tabs>
                    <w:spacing w:line="240" w:lineRule="atLeast"/>
                    <w:ind w:left="900"/>
                    <w:jc w:val="both"/>
                    <w:rPr>
                      <w:szCs w:val="24"/>
                    </w:rPr>
                  </w:pPr>
                </w:p>
                <w:sdt>
                  <w:sdtPr>
                    <w:alias w:val="19 p."/>
                    <w:tag w:val="part_5afcd837a8524ceeaa28ac821b3fe4a7"/>
                    <w:lock w:val="sdtLocked"/>
                    <w:richText/>
                  </w:sdtPr>
                  <w:sdtContent>
                    <w:p>
                      <w:pPr>
                        <w:widowControl w:val="0"/>
                        <w:tabs>
                          <w:tab w:val="left" w:pos="0"/>
                          <w:tab w:val="left" w:pos="1134"/>
                        </w:tabs>
                        <w:ind w:firstLine="709"/>
                        <w:jc w:val="both"/>
                        <w:rPr>
                          <w:szCs w:val="24"/>
                        </w:rPr>
                      </w:pPr>
                      <w:sdt>
                        <w:sdtPr>
                          <w:alias w:val="Numeris"/>
                          <w:tag w:val="nr_5afcd837a8524ceeaa28ac821b3fe4a7"/>
                          <w:lock w:val="sdtLocked"/>
                          <w:richText/>
                        </w:sdtPr>
                        <w:sdtContent>
                          <w:r>
                            <w:rPr>
                              <w:szCs w:val="24"/>
                            </w:rPr>
                            <w:t>19</w:t>
                          </w:r>
                        </w:sdtContent>
                      </w:sdt>
                      <w:r>
                        <w:rPr>
                          <w:szCs w:val="24"/>
                        </w:rPr>
                        <w:t>. Įmonių reguliuojamų paslaugų kainų viršutinės ribos nustatomos 5 metų reguliavimo periodui. Šių Įmonių leistinas metinis pajamų lygis nustatomos susumavus ekonomiškai pagrįstus (būtinus) metinius kaštus konkrečiai paslaugai teikti. Reguliuojamos paslaugos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p>
                  </w:sdtContent>
                </w:sdt>
                <w:sdt>
                  <w:sdtPr>
                    <w:alias w:val="20 p."/>
                    <w:tag w:val="part_a942da867700476793bef7dc6f66f3a2"/>
                    <w:lock w:val="sdtLocked"/>
                    <w:richText/>
                  </w:sdtPr>
                  <w:sdtContent>
                    <w:p>
                      <w:pPr>
                        <w:widowControl w:val="0"/>
                        <w:tabs>
                          <w:tab w:val="left" w:pos="0"/>
                          <w:tab w:val="left" w:pos="1134"/>
                        </w:tabs>
                        <w:ind w:firstLine="709"/>
                        <w:jc w:val="both"/>
                        <w:rPr>
                          <w:szCs w:val="24"/>
                        </w:rPr>
                      </w:pPr>
                      <w:sdt>
                        <w:sdtPr>
                          <w:alias w:val="Numeris"/>
                          <w:tag w:val="nr_a942da867700476793bef7dc6f66f3a2"/>
                          <w:lock w:val="sdtLocked"/>
                          <w:richText/>
                        </w:sdtPr>
                        <w:sdtContent>
                          <w:r>
                            <w:rPr>
                              <w:szCs w:val="24"/>
                            </w:rPr>
                            <w:t>20</w:t>
                          </w:r>
                        </w:sdtContent>
                      </w:sdt>
                      <w:r>
                        <w:rPr>
                          <w:szCs w:val="24"/>
                        </w:rPr>
                        <w:t>. Ekonomiškai pagrįsti (būtini) metiniai Kapitalo kaštai apskaičiuojami kiekvieniems metams atsižvelgiant į:</w:t>
                      </w:r>
                    </w:p>
                    <w:sdt>
                      <w:sdtPr>
                        <w:alias w:val="20.1 p."/>
                        <w:tag w:val="part_3952c9c8478140478208cb29339a4698"/>
                        <w:lock w:val="sdtLocked"/>
                        <w:richText/>
                      </w:sdtPr>
                      <w:sdtContent>
                        <w:p>
                          <w:pPr>
                            <w:widowControl w:val="0"/>
                            <w:tabs>
                              <w:tab w:val="left" w:pos="0"/>
                              <w:tab w:val="left" w:pos="1276"/>
                            </w:tabs>
                            <w:ind w:firstLine="709"/>
                            <w:jc w:val="both"/>
                            <w:rPr>
                              <w:szCs w:val="24"/>
                            </w:rPr>
                          </w:pPr>
                          <w:sdt>
                            <w:sdtPr>
                              <w:alias w:val="Numeris"/>
                              <w:tag w:val="nr_3952c9c8478140478208cb29339a4698"/>
                              <w:lock w:val="sdtLocked"/>
                              <w:richText/>
                            </w:sdtPr>
                            <w:sdtContent>
                              <w:r>
                                <w:rPr>
                                  <w:szCs w:val="24"/>
                                </w:rPr>
                                <w:t>20.1</w:t>
                              </w:r>
                            </w:sdtContent>
                          </w:sdt>
                          <w:r>
                            <w:rPr>
                              <w:szCs w:val="24"/>
                            </w:rPr>
                            <w:t>. nusidėvėjimo kaštų dydį, kuris suskaičiuotas:</w:t>
                          </w:r>
                        </w:p>
                        <w:sdt>
                          <w:sdtPr>
                            <w:alias w:val="20.1.1 p."/>
                            <w:tag w:val="part_d1335ce682474c8f8502a37e288e1e34"/>
                            <w:lock w:val="sdtLocked"/>
                            <w:richText/>
                          </w:sdtPr>
                          <w:sdtContent>
                            <w:p>
                              <w:pPr>
                                <w:widowControl w:val="0"/>
                                <w:tabs>
                                  <w:tab w:val="left" w:pos="0"/>
                                  <w:tab w:val="left" w:pos="1276"/>
                                </w:tabs>
                                <w:ind w:firstLine="709"/>
                                <w:jc w:val="both"/>
                              </w:pPr>
                              <w:sdt>
                                <w:sdtPr>
                                  <w:alias w:val="Numeris"/>
                                  <w:tag w:val="nr_d1335ce682474c8f8502a37e288e1e34"/>
                                  <w:lock w:val="sdtLocked"/>
                                  <w:richText/>
                                </w:sdtPr>
                                <w:sdtContent>
                                  <w:r>
                                    <w:rPr>
                                      <w:szCs w:val="24"/>
                                    </w:rPr>
                                    <w:t>20.1.1</w:t>
                                  </w:r>
                                </w:sdtContent>
                              </w:sdt>
                              <w:r>
                                <w:rPr>
                                  <w:szCs w:val="24"/>
                                </w:rPr>
                                <w:t>. taikant tiesiogiai proporcingą (tiesinį) nusidėvėjimo metodą.</w:t>
                              </w:r>
                            </w:p>
                          </w:sdtContent>
                        </w:sdt>
                        <w:sdt>
                          <w:sdtPr>
                            <w:alias w:val="21.1.1-1 p."/>
                            <w:tag w:val="part_ac6c118e544c4b11a4a641702c9ceabd"/>
                            <w:lock w:val="sdtLocked"/>
                            <w:richText/>
                          </w:sdtPr>
                          <w:sdtContent>
                            <w:p>
                              <w:pPr>
                                <w:tabs>
                                  <w:tab w:val="left" w:pos="1134"/>
                                  <w:tab w:val="left" w:pos="1276"/>
                                </w:tabs>
                                <w:ind w:firstLine="709"/>
                                <w:jc w:val="both"/>
                                <w:rPr>
                                  <w:bCs/>
                                  <w:szCs w:val="24"/>
                                </w:rPr>
                              </w:pPr>
                              <w:sdt>
                                <w:sdtPr>
                                  <w:alias w:val="Numeris"/>
                                  <w:tag w:val="nr_ac6c118e544c4b11a4a641702c9ceabd"/>
                                  <w:lock w:val="sdtLocked"/>
                                  <w:richText/>
                                </w:sdtPr>
                                <w:sdtContent>
                                  <w:r>
                                    <w:rPr>
                                      <w:szCs w:val="24"/>
                                    </w:rPr>
                                    <w:t>21.1.1</w:t>
                                  </w:r>
                                  <w:r>
                                    <w:rPr>
                                      <w:szCs w:val="24"/>
                                      <w:vertAlign w:val="superscript"/>
                                    </w:rPr>
                                    <w:t>1</w:t>
                                  </w:r>
                                </w:sdtContent>
                              </w:sdt>
                              <w:r>
                                <w:rPr>
                                  <w:bCs/>
                                  <w:szCs w:val="24"/>
                                </w:rPr>
                                <w:t xml:space="preserve">. Įmonėms, kurioms Komisija yra atlikusi reguliuojamų paslaugų sąnaudų pagrįstumo (būtinumo) patikrinimą, naujojo reguliavimo periodo pagrįstų metinių OPEX  kaštų (išskyrus darbo užmokesčio kaštus) dydis nustatomas:</w:t>
                              </w:r>
                            </w:p>
                            <w:sdt>
                              <w:sdtPr>
                                <w:alias w:val="21.1.1-1.1 p."/>
                                <w:tag w:val="part_657c5f8cb3a240b397159bb6727604af"/>
                                <w:lock w:val="sdtLocked"/>
                                <w:richText/>
                              </w:sdtPr>
                              <w:sdtContent>
                                <w:p>
                                  <w:pPr>
                                    <w:tabs>
                                      <w:tab w:val="left" w:pos="1134"/>
                                      <w:tab w:val="left" w:pos="1276"/>
                                    </w:tabs>
                                    <w:ind w:firstLine="709"/>
                                    <w:jc w:val="both"/>
                                    <w:rPr>
                                      <w:bCs/>
                                      <w:szCs w:val="24"/>
                                    </w:rPr>
                                  </w:pPr>
                                  <w:sdt>
                                    <w:sdtPr>
                                      <w:alias w:val="Numeris"/>
                                      <w:tag w:val="nr_657c5f8cb3a240b397159bb6727604af"/>
                                      <w:lock w:val="sdtLocked"/>
                                      <w:richText/>
                                    </w:sdtPr>
                                    <w:sdtContent>
                                      <w:r>
                                        <w:rPr>
                                          <w:szCs w:val="24"/>
                                        </w:rPr>
                                        <w:t>21.1.1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21.1.1-1.2 p."/>
                                <w:tag w:val="part_b9078bc747c94ceb852f5199fc7b9335"/>
                                <w:lock w:val="sdtLocked"/>
                                <w:richText/>
                              </w:sdtPr>
                              <w:sdtContent>
                                <w:p>
                                  <w:pPr>
                                    <w:tabs>
                                      <w:tab w:val="left" w:pos="1134"/>
                                      <w:tab w:val="left" w:pos="1276"/>
                                    </w:tabs>
                                    <w:ind w:firstLine="709"/>
                                    <w:jc w:val="both"/>
                                    <w:rPr>
                                      <w:bCs/>
                                      <w:szCs w:val="24"/>
                                    </w:rPr>
                                  </w:pPr>
                                  <w:sdt>
                                    <w:sdtPr>
                                      <w:alias w:val="Numeris"/>
                                      <w:tag w:val="nr_b9078bc747c94ceb852f5199fc7b9335"/>
                                      <w:lock w:val="sdtLocked"/>
                                      <w:richText/>
                                    </w:sdtPr>
                                    <w:sdtContent>
                                      <w:r>
                                        <w:rPr>
                                          <w:szCs w:val="24"/>
                                        </w:rPr>
                                        <w:t>21.1.1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21.1.1-1.3 p."/>
                                <w:tag w:val="part_73adde6aa23b4425a101a687002194a5"/>
                                <w:lock w:val="sdtLocked"/>
                                <w:richText/>
                              </w:sdtPr>
                              <w:sdtContent>
                                <w:p>
                                  <w:pPr>
                                    <w:tabs>
                                      <w:tab w:val="left" w:pos="1134"/>
                                      <w:tab w:val="left" w:pos="1276"/>
                                    </w:tabs>
                                    <w:ind w:firstLine="709"/>
                                    <w:jc w:val="both"/>
                                    <w:rPr>
                                      <w:szCs w:val="24"/>
                                    </w:rPr>
                                  </w:pPr>
                                  <w:sdt>
                                    <w:sdtPr>
                                      <w:alias w:val="Numeris"/>
                                      <w:tag w:val="nr_73adde6aa23b4425a101a687002194a5"/>
                                      <w:lock w:val="sdtLocked"/>
                                      <w:richText/>
                                    </w:sdtPr>
                                    <w:sdtContent>
                                      <w:r>
                                        <w:rPr>
                                          <w:bCs/>
                                          <w:szCs w:val="24"/>
                                        </w:rPr>
                                        <w:t>21.1.1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1.2 p."/>
                            <w:tag w:val="part_ecbeb98946de45ec86c2402fbb8e22b9"/>
                            <w:lock w:val="sdtLocked"/>
                            <w:richText/>
                          </w:sdtPr>
                          <w:sdtContent>
                            <w:p>
                              <w:pPr>
                                <w:widowControl w:val="0"/>
                                <w:tabs>
                                  <w:tab w:val="left" w:pos="0"/>
                                  <w:tab w:val="left" w:pos="1276"/>
                                </w:tabs>
                                <w:ind w:firstLine="709"/>
                                <w:jc w:val="both"/>
                                <w:rPr>
                                  <w:szCs w:val="24"/>
                                </w:rPr>
                              </w:pPr>
                              <w:sdt>
                                <w:sdtPr>
                                  <w:alias w:val="Numeris"/>
                                  <w:tag w:val="nr_ecbeb98946de45ec86c2402fbb8e22b9"/>
                                  <w:lock w:val="sdtLocked"/>
                                  <w:richText/>
                                </w:sdtPr>
                                <w:sdtContent>
                                  <w:r>
                                    <w:rPr>
                                      <w:szCs w:val="24"/>
                                    </w:rPr>
                                    <w:t>20.1.2</w:t>
                                  </w:r>
                                </w:sdtContent>
                              </w:sdt>
                              <w:r>
                                <w:rPr>
                                  <w:szCs w:val="24"/>
                                </w:rPr>
                                <w:t>. taikant konkrečiam ilgalaikiam turtui nustatytus nusidėvėjimo (amortizacijos) normatyvus, nurodytus Aprašo 5 priede;</w:t>
                              </w:r>
                            </w:p>
                          </w:sdtContent>
                        </w:sdt>
                        <w:sdt>
                          <w:sdtPr>
                            <w:alias w:val="20.1.3 p."/>
                            <w:tag w:val="part_6044110cdf7d4225aaa1f558f5f5d4b9"/>
                            <w:lock w:val="sdtLocked"/>
                            <w:richText/>
                          </w:sdtPr>
                          <w:sdtContent>
                            <w:p>
                              <w:pPr>
                                <w:widowControl w:val="0"/>
                                <w:tabs>
                                  <w:tab w:val="left" w:pos="0"/>
                                  <w:tab w:val="left" w:pos="1276"/>
                                </w:tabs>
                                <w:ind w:firstLine="709"/>
                                <w:jc w:val="both"/>
                                <w:rPr>
                                  <w:szCs w:val="24"/>
                                </w:rPr>
                              </w:pPr>
                              <w:sdt>
                                <w:sdtPr>
                                  <w:alias w:val="Numeris"/>
                                  <w:tag w:val="nr_6044110cdf7d4225aaa1f558f5f5d4b9"/>
                                  <w:lock w:val="sdtLocked"/>
                                  <w:richText/>
                                </w:sdtPr>
                                <w:sdtContent>
                                  <w:r>
                                    <w:rPr>
                                      <w:szCs w:val="24"/>
                                    </w:rPr>
                                    <w:t>20.1.3</w:t>
                                  </w:r>
                                </w:sdtContent>
                              </w:sdt>
                              <w:r>
                                <w:rPr>
                                  <w:szCs w:val="24"/>
                                </w:rPr>
                                <w:t>. eliminuojant Metodikos 7.2.4 ir 7.2.5 punktuose nurodyto ilgalaikio turto nusidėvėjimo kaštų dalį;</w:t>
                              </w:r>
                            </w:p>
                          </w:sdtContent>
                        </w:sdt>
                        <w:sdt>
                          <w:sdtPr>
                            <w:alias w:val="20.1.4 p."/>
                            <w:tag w:val="part_bbe0a308718c44288aae8b1ae82c6f1c"/>
                            <w:lock w:val="sdtLocked"/>
                            <w:richText/>
                          </w:sdtPr>
                          <w:sdtContent>
                            <w:p>
                              <w:pPr>
                                <w:widowControl w:val="0"/>
                                <w:tabs>
                                  <w:tab w:val="left" w:pos="0"/>
                                  <w:tab w:val="left" w:pos="1276"/>
                                </w:tabs>
                                <w:ind w:firstLine="709"/>
                                <w:jc w:val="both"/>
                                <w:rPr>
                                  <w:szCs w:val="24"/>
                                </w:rPr>
                              </w:pPr>
                              <w:sdt>
                                <w:sdtPr>
                                  <w:alias w:val="Numeris"/>
                                  <w:tag w:val="nr_bbe0a308718c44288aae8b1ae82c6f1c"/>
                                  <w:lock w:val="sdtLocked"/>
                                  <w:richText/>
                                </w:sdtPr>
                                <w:sdtContent>
                                  <w:r>
                                    <w:rPr>
                                      <w:szCs w:val="24"/>
                                    </w:rPr>
                                    <w:t>20.1.4</w:t>
                                  </w:r>
                                </w:sdtContent>
                              </w:sdt>
                              <w:r>
                                <w:rPr>
                                  <w:szCs w:val="24"/>
                                </w:rPr>
                                <w:t xml:space="preserve">. </w:t>
                              </w:r>
                              <w:r>
                                <w:t>atsižvelgiant į finansavimą už Europos Sąjungos struktūrinių fondų lėšas, gautas subsidijas, dotacijas ir už elektros energijos vartotojų įrenginių prijungimą prie tinklų sumokėtas įmokas;</w:t>
                              </w:r>
                            </w:p>
                          </w:sdtContent>
                        </w:sdt>
                      </w:sdtContent>
                    </w:sdt>
                    <w:sdt>
                      <w:sdtPr>
                        <w:alias w:val="20.2 p."/>
                        <w:tag w:val="part_94892ee2003341a68c130b691f6e9faf"/>
                        <w:lock w:val="sdtLocked"/>
                        <w:richText/>
                      </w:sdtPr>
                      <w:sdtContent>
                        <w:p>
                          <w:pPr>
                            <w:widowControl w:val="0"/>
                            <w:tabs>
                              <w:tab w:val="left" w:pos="0"/>
                              <w:tab w:val="left" w:pos="1276"/>
                            </w:tabs>
                            <w:spacing w:line="240" w:lineRule="atLeast"/>
                            <w:ind w:firstLine="709"/>
                            <w:jc w:val="both"/>
                            <w:rPr>
                              <w:szCs w:val="24"/>
                            </w:rPr>
                          </w:pPr>
                          <w:sdt>
                            <w:sdtPr>
                              <w:alias w:val="Numeris"/>
                              <w:tag w:val="nr_94892ee2003341a68c130b691f6e9faf"/>
                              <w:lock w:val="sdtLocked"/>
                              <w:richText/>
                            </w:sdtPr>
                            <w:sdtContent>
                              <w:r>
                                <w:rPr>
                                  <w:szCs w:val="24"/>
                                </w:rPr>
                                <w:t>20.2</w:t>
                              </w:r>
                            </w:sdtContent>
                          </w:sdt>
                          <w:r>
                            <w:rPr>
                              <w:szCs w:val="24"/>
                            </w:rPr>
                            <w:t>. paslaugai ir (ar) produktui priskirtino reguliuojamo turto vertę (RAB):</w:t>
                          </w:r>
                        </w:p>
                        <w:sdt>
                          <w:sdtPr>
                            <w:alias w:val="20.2.1 p."/>
                            <w:tag w:val="part_6550e79724c44b3a8e3a8de234111fe8"/>
                            <w:lock w:val="sdtLocked"/>
                            <w:richText/>
                          </w:sdtPr>
                          <w:sdtContent>
                            <w:p>
                              <w:pPr>
                                <w:tabs>
                                  <w:tab w:val="left" w:pos="1134"/>
                                </w:tabs>
                                <w:ind w:firstLine="709"/>
                                <w:jc w:val="both"/>
                                <w:rPr>
                                  <w:szCs w:val="24"/>
                                </w:rPr>
                              </w:pPr>
                              <w:sdt>
                                <w:sdtPr>
                                  <w:alias w:val="Numeris"/>
                                  <w:tag w:val="nr_6550e79724c44b3a8e3a8de234111fe8"/>
                                  <w:lock w:val="sdtLocked"/>
                                  <w:richText/>
                                </w:sdtPr>
                                <w:sdtContent>
                                  <w:r>
                                    <w:rPr>
                                      <w:szCs w:val="24"/>
                                    </w:rPr>
                                    <w:t>20.2.1</w:t>
                                  </w:r>
                                </w:sdtContent>
                              </w:sdt>
                              <w:r>
                                <w:rPr>
                                  <w:szCs w:val="24"/>
                                </w:rPr>
                                <w:t>. įmonių, besiverčiančių skirstymo veikla, kurių veiklos teritorijoje esančių vartotojų skaičius mažesnis nei 100 tūkstančių atveju apskaičiuotą pagal (7) formulę licencijuojamai veiklai naudojamo turto vertę, ir duomenis šiam turtui apskaičiuoti, pateikiamus pagal Metodikos 2 priedą:</w:t>
                              </w:r>
                            </w:p>
                            <w:p>
                              <w:pPr>
                                <w:tabs>
                                  <w:tab w:val="left" w:pos="993"/>
                                </w:tabs>
                                <w:ind w:firstLine="709"/>
                                <w:jc w:val="both"/>
                                <w:rPr>
                                  <w:szCs w:val="24"/>
                                </w:rPr>
                              </w:pPr>
                            </w:p>
                            <w:p>
                              <w:pPr>
                                <w:tabs>
                                  <w:tab w:val="left" w:pos="993"/>
                                  <w:tab w:val="left" w:pos="9356"/>
                                </w:tabs>
                                <w:ind w:firstLine="993"/>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m:t>
                                    </m:r>
                                    <m:r>
                                      <w:rPr>
                                        <w:rFonts w:ascii="Cambria Math" w:hAnsi="Cambria Math"/>
                                        <w:szCs w:val="24"/>
                                      </w:rPr>
                                      <m:t>-1</m:t>
                                    </m:r>
                                  </m:sub>
                                </m:sSub>
                              </m:oMath>
                              <w:r>
                                <w:rPr>
                                  <w:szCs w:val="24"/>
                                </w:rPr>
                                <w:t>(7)</w:t>
                              </w:r>
                            </w:p>
                            <w:p>
                              <w:pPr>
                                <w:tabs>
                                  <w:tab w:val="left" w:pos="993"/>
                                  <w:tab w:val="left" w:pos="9356"/>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i/>
                                  <w:iCs/>
                                  <w:szCs w:val="24"/>
                                </w:rPr>
                                <w:t>RAB</w:t>
                              </w:r>
                              <w:r>
                                <w:rPr>
                                  <w:i/>
                                  <w:iCs/>
                                  <w:szCs w:val="24"/>
                                  <w:vertAlign w:val="subscript"/>
                                </w:rPr>
                                <w:t>t</w:t>
                              </w:r>
                              <w:r>
                                <w:rPr>
                                  <w:szCs w:val="24"/>
                                </w:rPr>
                                <w:t xml:space="preserve">– paslaugos teikėjo licencijuojamai veiklai naudojamo turto vertė </w:t>
                              </w:r>
                              <w:r>
                                <w:rPr>
                                  <w:i/>
                                  <w:iCs/>
                                  <w:szCs w:val="24"/>
                                </w:rPr>
                                <w:t xml:space="preserve">t </w:t>
                              </w:r>
                              <w:r>
                                <w:rPr>
                                  <w:iCs/>
                                  <w:szCs w:val="24"/>
                                </w:rPr>
                                <w:t>metų pradžiai</w:t>
                              </w:r>
                              <w:r>
                                <w:rPr>
                                  <w:szCs w:val="24"/>
                                </w:rPr>
                                <w:t>, EUR;</w:t>
                              </w:r>
                            </w:p>
                            <w:p>
                              <w:pPr>
                                <w:tabs>
                                  <w:tab w:val="left" w:pos="993"/>
                                </w:tabs>
                                <w:ind w:hanging="11"/>
                                <w:jc w:val="both"/>
                                <w:rPr>
                                  <w:szCs w:val="24"/>
                                </w:rPr>
                              </w:pPr>
                              <w:r>
                                <w:rPr>
                                  <w:i/>
                                  <w:iCs/>
                                  <w:szCs w:val="24"/>
                                </w:rPr>
                                <w:t>RAB</w:t>
                              </w:r>
                              <w:r>
                                <w:rPr>
                                  <w:i/>
                                  <w:iCs/>
                                  <w:szCs w:val="24"/>
                                  <w:vertAlign w:val="subscript"/>
                                </w:rPr>
                                <w:t xml:space="preserve">t-1 </w:t>
                              </w:r>
                              <w:r>
                                <w:rPr>
                                  <w:szCs w:val="24"/>
                                </w:rPr>
                                <w:t xml:space="preserve">– paslaugos teikėjo licencijuojamai veiklai naudojamo turto vertė </w:t>
                              </w:r>
                              <w:r>
                                <w:rPr>
                                  <w:i/>
                                  <w:iCs/>
                                  <w:szCs w:val="24"/>
                                </w:rPr>
                                <w:t xml:space="preserve">t-1 </w:t>
                              </w:r>
                              <w:r>
                                <w:rPr>
                                  <w:iCs/>
                                  <w:szCs w:val="24"/>
                                </w:rPr>
                                <w:t>metų pradžiai</w:t>
                              </w:r>
                              <w:r>
                                <w:rPr>
                                  <w:szCs w:val="24"/>
                                </w:rPr>
                                <w:t xml:space="preserve">, EUR. Pirmaisiais reguliavimo periodo metais, kurių pradiniam pajamų lygiui apskaičiuoti bus naudojama paslaugos teikėjo naudojamo turto vertė lygi ilgalaikio turto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pabaigos;</w:t>
                              </w:r>
                            </w:p>
                            <w:p>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turtą metais </w:t>
                              </w:r>
                              <w:r>
                                <w:rPr>
                                  <w:i/>
                                  <w:iCs/>
                                  <w:szCs w:val="24"/>
                                </w:rPr>
                                <w:t>t-1</w:t>
                              </w:r>
                              <w:r>
                                <w:rPr>
                                  <w:szCs w:val="24"/>
                                </w:rPr>
                                <w:t>, EUR;</w:t>
                              </w:r>
                            </w:p>
                            <w:p>
                              <w:pPr>
                                <w:tabs>
                                  <w:tab w:val="left" w:pos="993"/>
                                </w:tabs>
                                <w:jc w:val="both"/>
                                <w:rPr>
                                  <w:szCs w:val="24"/>
                                </w:rPr>
                              </w:pPr>
                              <w:r>
                                <w:rPr>
                                  <w:i/>
                                  <w:iCs/>
                                  <w:szCs w:val="24"/>
                                </w:rPr>
                                <w:t>N</w:t>
                              </w:r>
                              <w:r>
                                <w:rPr>
                                  <w:i/>
                                  <w:iCs/>
                                  <w:szCs w:val="24"/>
                                  <w:vertAlign w:val="subscript"/>
                                </w:rPr>
                                <w:t xml:space="preserve">t-1 </w:t>
                              </w:r>
                              <w:r>
                                <w:rPr>
                                  <w:szCs w:val="24"/>
                                </w:rPr>
                                <w:t xml:space="preserve">– paslaugos teikėjo turto nusidėvėjimo kaštai metais </w:t>
                              </w:r>
                              <w:r>
                                <w:rPr>
                                  <w:i/>
                                  <w:iCs/>
                                  <w:szCs w:val="24"/>
                                </w:rPr>
                                <w:t>t-1</w:t>
                              </w:r>
                              <w:r>
                                <w:rPr>
                                  <w:szCs w:val="24"/>
                                </w:rPr>
                                <w:t>, EUR;</w:t>
                              </w:r>
                            </w:p>
                            <w:p>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turtas, įskaitant Metodikos 7.2.4 ir 7.2.5 punktuose nurodomą turtą, metais </w:t>
                              </w:r>
                              <w:r>
                                <w:rPr>
                                  <w:i/>
                                  <w:iCs/>
                                  <w:szCs w:val="24"/>
                                </w:rPr>
                                <w:t>t-1</w:t>
                              </w:r>
                              <w:r>
                                <w:rPr>
                                  <w:szCs w:val="24"/>
                                </w:rPr>
                                <w:t>,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2.1-1 p."/>
                            <w:tag w:val="part_7691f0c4898f4ab998c24fbf4d787110"/>
                            <w:lock w:val="sdtLocked"/>
                            <w:richText/>
                          </w:sdtPr>
                          <w:sdtContent>
                            <w:p>
                              <w:pPr>
                                <w:tabs>
                                  <w:tab w:val="left" w:pos="758"/>
                                </w:tabs>
                                <w:ind w:firstLine="709"/>
                                <w:jc w:val="both"/>
                                <w:rPr>
                                  <w:szCs w:val="24"/>
                                </w:rPr>
                              </w:pPr>
                              <w:sdt>
                                <w:sdtPr>
                                  <w:alias w:val="Numeris"/>
                                  <w:tag w:val="nr_7691f0c4898f4ab998c24fbf4d787110"/>
                                  <w:lock w:val="sdtLocked"/>
                                  <w:richText/>
                                </w:sdtPr>
                                <w:sdtContent>
                                  <w:r>
                                    <w:rPr>
                                      <w:szCs w:val="24"/>
                                    </w:rPr>
                                    <w:t>20.2.1</w:t>
                                  </w:r>
                                  <w:r>
                                    <w:rPr>
                                      <w:szCs w:val="24"/>
                                      <w:vertAlign w:val="superscript"/>
                                    </w:rPr>
                                    <w:t>1</w:t>
                                  </w:r>
                                </w:sdtContent>
                              </w:sdt>
                              <w:r>
                                <w:rPr>
                                  <w:szCs w:val="24"/>
                                </w:rPr>
                                <w:t xml:space="preserve">. įtraukiant būtinas ir pagrįstas investicijas </w:t>
                              </w:r>
                              <w:r>
                                <w:rPr>
                                  <w:bCs/>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sdt>
                          <w:sdtPr>
                            <w:alias w:val="20.2.2 p."/>
                            <w:tag w:val="part_236aa593f70a4b2fb7ff1d11ea42c81c"/>
                            <w:lock w:val="sdtLocked"/>
                            <w:richText/>
                          </w:sdtPr>
                          <w:sdtContent>
                            <w:p>
                              <w:pPr>
                                <w:tabs>
                                  <w:tab w:val="left" w:pos="1276"/>
                                </w:tabs>
                                <w:ind w:firstLine="709"/>
                                <w:jc w:val="both"/>
                                <w:rPr>
                                  <w:szCs w:val="24"/>
                                </w:rPr>
                              </w:pPr>
                              <w:sdt>
                                <w:sdtPr>
                                  <w:alias w:val="Numeris"/>
                                  <w:tag w:val="nr_236aa593f70a4b2fb7ff1d11ea42c81c"/>
                                  <w:lock w:val="sdtLocked"/>
                                  <w:richText/>
                                </w:sdtPr>
                                <w:sdtContent>
                                  <w:r>
                                    <w:rPr>
                                      <w:szCs w:val="24"/>
                                    </w:rPr>
                                    <w:t>20.2.2</w:t>
                                  </w:r>
                                </w:sdtContent>
                              </w:sdt>
                              <w:r>
                                <w:rPr>
                                  <w:szCs w:val="24"/>
                                </w:rPr>
                                <w:t>. visuomeninio tiekimo paslaugos teikimo atveju reguliuojamo turto bazę sudaro ilgalaikio turto, apskaičiuoto Metodikos 20.2.1 punkte nustatyta tvarka, ir apyvartinio kapitalo elektros energijai įsigyti visuomeninio tiekimo poreikio tenkinimui vidutinė metinė apimties suma, atsižvelgiant į visuomeninio ir garantinio tiekimo pinigų srautus, t. y. vertinant mokėtinas ir gautinas sumas per ataskaitinį mėnesio laikotarpį.</w:t>
                              </w:r>
                              <w:r>
                                <w:t xml:space="preserve">     </w:t>
                              </w:r>
                            </w:p>
                          </w:sdtContent>
                        </w:sdt>
                      </w:sdtContent>
                    </w:sdt>
                    <w:sdt>
                      <w:sdtPr>
                        <w:alias w:val="20.3 p."/>
                        <w:tag w:val="part_11f547a9e0aa47e1b8a9910d1bc7d933"/>
                        <w:lock w:val="sdtLocked"/>
                        <w:richText/>
                      </w:sdtPr>
                      <w:sdtContent>
                        <w:p>
                          <w:pPr>
                            <w:tabs>
                              <w:tab w:val="left" w:pos="1276"/>
                            </w:tabs>
                            <w:ind w:firstLine="709"/>
                            <w:jc w:val="both"/>
                            <w:rPr>
                              <w:szCs w:val="24"/>
                            </w:rPr>
                          </w:pPr>
                          <w:sdt>
                            <w:sdtPr>
                              <w:alias w:val="Numeris"/>
                              <w:tag w:val="nr_11f547a9e0aa47e1b8a9910d1bc7d933"/>
                              <w:lock w:val="sdtLocked"/>
                              <w:richText/>
                            </w:sdtPr>
                            <w:sdtContent>
                              <w:r>
                                <w:rPr>
                                  <w:szCs w:val="24"/>
                                </w:rPr>
                                <w:t>20.3</w:t>
                              </w:r>
                            </w:sdtContent>
                          </w:sdt>
                          <w:r>
                            <w:rPr>
                              <w:szCs w:val="24"/>
                            </w:rPr>
                            <w:t>. Protingumo kriterijus atitinkančią investicijų grąžą, atsižvelgiant į:</w:t>
                          </w:r>
                        </w:p>
                        <w:sdt>
                          <w:sdtPr>
                            <w:alias w:val="20.3.1 p."/>
                            <w:tag w:val="part_cdfb24b0763e41308671c69f87be4ef2"/>
                            <w:lock w:val="sdtLocked"/>
                            <w:richText/>
                          </w:sdtPr>
                          <w:sdtContent>
                            <w:p>
                              <w:pPr>
                                <w:tabs>
                                  <w:tab w:val="left" w:pos="1134"/>
                                  <w:tab w:val="left" w:pos="1276"/>
                                </w:tabs>
                                <w:ind w:firstLine="709"/>
                                <w:jc w:val="both"/>
                                <w:rPr>
                                  <w:szCs w:val="24"/>
                                </w:rPr>
                              </w:pPr>
                              <w:sdt>
                                <w:sdtPr>
                                  <w:alias w:val="Numeris"/>
                                  <w:tag w:val="nr_cdfb24b0763e41308671c69f87be4ef2"/>
                                  <w:lock w:val="sdtLocked"/>
                                  <w:richText/>
                                </w:sdtPr>
                                <w:sdtContent>
                                  <w:r>
                                    <w:rPr>
                                      <w:szCs w:val="24"/>
                                    </w:rPr>
                                    <w:t>20.3.1</w:t>
                                  </w:r>
                                </w:sdtContent>
                              </w:sdt>
                              <w:r>
                                <w:rPr>
                                  <w:szCs w:val="24"/>
                                </w:rPr>
                                <w:t>. Komisijos nustatytai paslaugai ir (ar) produktui priskirtino reguliuojamo turto vertę pagal Metodikos 20.2 punkto nuostatas;</w:t>
                              </w:r>
                            </w:p>
                          </w:sdtContent>
                        </w:sdt>
                        <w:sdt>
                          <w:sdtPr>
                            <w:alias w:val="20.3.2 p."/>
                            <w:tag w:val="part_5a71f93bebd7437b99f05e61c8fae820"/>
                            <w:lock w:val="sdtLocked"/>
                            <w:richText/>
                          </w:sdtPr>
                          <w:sdtContent>
                            <w:p>
                              <w:pPr>
                                <w:tabs>
                                  <w:tab w:val="left" w:pos="1276"/>
                                </w:tabs>
                                <w:ind w:firstLine="709"/>
                                <w:jc w:val="both"/>
                                <w:rPr>
                                  <w:szCs w:val="24"/>
                                </w:rPr>
                              </w:pPr>
                              <w:sdt>
                                <w:sdtPr>
                                  <w:alias w:val="Numeris"/>
                                  <w:tag w:val="nr_5a71f93bebd7437b99f05e61c8fae820"/>
                                  <w:lock w:val="sdtLocked"/>
                                  <w:richText/>
                                </w:sdtPr>
                                <w:sdtContent>
                                  <w:r>
                                    <w:rPr>
                                      <w:szCs w:val="24"/>
                                    </w:rPr>
                                    <w:t>20.3.2</w:t>
                                  </w:r>
                                </w:sdtContent>
                              </w:sdt>
                              <w:r>
                                <w:rPr>
                                  <w:szCs w:val="24"/>
                                </w:rPr>
                                <w:t xml:space="preserve">. protingumo kriterijų atitinkančios investicijų grąžos normą </w:t>
                              </w:r>
                              <w:r>
                                <w:rPr>
                                  <w:i/>
                                  <w:szCs w:val="24"/>
                                </w:rPr>
                                <w:t>r</w:t>
                              </w:r>
                              <w:r>
                                <w:rPr>
                                  <w:szCs w:val="24"/>
                                </w:rPr>
                                <w:t xml:space="preserve"> (procentais) pagal (8) formulę:</w:t>
                              </w:r>
                            </w:p>
                            <w:p>
                              <w:pPr>
                                <w:tabs>
                                  <w:tab w:val="left" w:pos="1276"/>
                                </w:tabs>
                                <w:jc w:val="both"/>
                                <w:rPr>
                                  <w:szCs w:val="24"/>
                                </w:rPr>
                              </w:pPr>
                            </w:p>
                            <w:p>
                              <w:pPr>
                                <w:tabs>
                                  <w:tab w:val="left" w:pos="9214"/>
                                </w:tabs>
                                <w:jc w:val="both"/>
                                <w:rPr>
                                  <w:szCs w:val="24"/>
                                </w:rPr>
                              </w:pPr>
                              <w:r>
                                <w:rPr>
                                  <w:szCs w:val="24"/>
                                </w:rPr>
                                <w:t>ROI</w:t>
                              </w:r>
                              <w:r>
                                <w:rPr>
                                  <w:szCs w:val="24"/>
                                  <w:vertAlign w:val="subscript"/>
                                </w:rPr>
                                <w:t>i</w:t>
                              </w:r>
                              <w:r>
                                <w:rPr>
                                  <w:szCs w:val="24"/>
                                </w:rPr>
                                <w:t>=r×RAB</w:t>
                              </w:r>
                              <w:r>
                                <w:rPr>
                                  <w:szCs w:val="24"/>
                                  <w:vertAlign w:val="subscript"/>
                                </w:rPr>
                                <w:t xml:space="preserve">i </w:t>
                              </w:r>
                              <w:r>
                                <w:rPr>
                                  <w:szCs w:val="24"/>
                                </w:rPr>
                                <w:tab/>
                                <w:t>(8)</w:t>
                              </w:r>
                            </w:p>
                            <w:p>
                              <w:pPr>
                                <w:tabs>
                                  <w:tab w:val="left" w:pos="9214"/>
                                </w:tabs>
                                <w:jc w:val="both"/>
                                <w:rPr>
                                  <w:szCs w:val="24"/>
                                  <w:vertAlign w:val="subscript"/>
                                </w:rPr>
                              </w:pPr>
                            </w:p>
                            <w:p>
                              <w:pPr>
                                <w:tabs>
                                  <w:tab w:val="left" w:pos="1843"/>
                                </w:tabs>
                                <w:jc w:val="both"/>
                                <w:rPr>
                                  <w:i/>
                                  <w:szCs w:val="24"/>
                                </w:rPr>
                              </w:pPr>
                              <w:r>
                                <w:rPr>
                                  <w:i/>
                                  <w:szCs w:val="24"/>
                                </w:rPr>
                                <w:t>čia:</w:t>
                              </w:r>
                            </w:p>
                            <w:p>
                              <w:pPr>
                                <w:tabs>
                                  <w:tab w:val="left" w:pos="1843"/>
                                </w:tabs>
                                <w:jc w:val="both"/>
                                <w:rPr>
                                  <w:szCs w:val="24"/>
                                </w:rPr>
                              </w:pPr>
                              <w:r>
                                <w:rPr>
                                  <w:szCs w:val="24"/>
                                </w:rPr>
                                <w:t>ROI</w:t>
                              </w:r>
                              <w:r>
                                <w:rPr>
                                  <w:szCs w:val="24"/>
                                  <w:vertAlign w:val="subscript"/>
                                </w:rPr>
                                <w:t>i</w:t>
                              </w:r>
                              <w:r>
                                <w:rPr>
                                  <w:szCs w:val="24"/>
                                </w:rPr>
                                <w:t xml:space="preserve"> – investicijų grąža, priskirtina paslaugai, EUR;</w:t>
                              </w:r>
                            </w:p>
                            <w:p>
                              <w:pPr>
                                <w:tabs>
                                  <w:tab w:val="left" w:pos="1843"/>
                                </w:tabs>
                                <w:jc w:val="both"/>
                                <w:rPr>
                                  <w:szCs w:val="24"/>
                                </w:rPr>
                              </w:pPr>
                              <w:r>
                                <w:rPr>
                                  <w:i/>
                                  <w:szCs w:val="24"/>
                                </w:rPr>
                                <w:t>i</w:t>
                              </w:r>
                              <w:r>
                                <w:rPr>
                                  <w:szCs w:val="24"/>
                                </w:rPr>
                                <w:t xml:space="preserve"> – reguliuojamų kainų paslauga;</w:t>
                              </w:r>
                            </w:p>
                            <w:p>
                              <w:pPr>
                                <w:tabs>
                                  <w:tab w:val="left" w:pos="1843"/>
                                </w:tabs>
                                <w:jc w:val="both"/>
                                <w:rPr>
                                  <w:szCs w:val="24"/>
                                </w:rPr>
                              </w:pPr>
                              <w:r>
                                <w:rPr>
                                  <w:i/>
                                  <w:szCs w:val="24"/>
                                </w:rPr>
                                <w:t>r</w:t>
                              </w:r>
                              <w:r>
                                <w:rPr>
                                  <w:szCs w:val="24"/>
                                </w:rPr>
                                <w:t xml:space="preserve"> – protingumo kriterijų atitinkanti investicijų grąžos norma, proc.;</w:t>
                              </w:r>
                            </w:p>
                            <w:p>
                              <w:pPr>
                                <w:tabs>
                                  <w:tab w:val="left" w:pos="1843"/>
                                </w:tabs>
                                <w:jc w:val="both"/>
                                <w:rPr>
                                  <w:szCs w:val="24"/>
                                </w:rPr>
                              </w:pPr>
                              <w:r>
                                <w:rPr>
                                  <w:szCs w:val="24"/>
                                </w:rPr>
                                <w:t>RAB</w:t>
                              </w:r>
                              <w:r>
                                <w:rPr>
                                  <w:szCs w:val="24"/>
                                  <w:vertAlign w:val="subscript"/>
                                </w:rPr>
                                <w:t>i</w:t>
                              </w:r>
                              <w:r>
                                <w:rPr>
                                  <w:szCs w:val="24"/>
                                </w:rPr>
                                <w:t xml:space="preserve"> – i-tajai paslaugai priskirtino reguliuojamo turto vertė, EUR.</w:t>
                              </w:r>
                            </w:p>
                            <w:sdt>
                              <w:sdtPr>
                                <w:alias w:val="20.3.2.1 p."/>
                                <w:tag w:val="part_be8ce2180e29498abb30fdf1b54031e4"/>
                                <w:lock w:val="sdtLocked"/>
                                <w:richText/>
                              </w:sdtPr>
                              <w:sdtContent>
                                <w:p>
                                  <w:pPr>
                                    <w:tabs>
                                      <w:tab w:val="left" w:pos="1560"/>
                                    </w:tabs>
                                    <w:ind w:firstLine="709"/>
                                    <w:jc w:val="both"/>
                                    <w:rPr>
                                      <w:szCs w:val="24"/>
                                    </w:rPr>
                                  </w:pPr>
                                  <w:sdt>
                                    <w:sdtPr>
                                      <w:alias w:val="Numeris"/>
                                      <w:tag w:val="nr_be8ce2180e29498abb30fdf1b54031e4"/>
                                      <w:lock w:val="sdtLocked"/>
                                      <w:richText/>
                                    </w:sdtPr>
                                    <w:sdtContent>
                                      <w:r>
                                        <w:rPr>
                                          <w:szCs w:val="24"/>
                                        </w:rPr>
                                        <w:t>20.3.2.1</w:t>
                                      </w:r>
                                    </w:sdtContent>
                                  </w:sdt>
                                  <w:r>
                                    <w:rPr>
                                      <w:szCs w:val="24"/>
                                    </w:rPr>
                                    <w:t>. investicijų grąžos norma nustatoma vadovaujantis Investicijų grąžos normos nustatymo metodika.</w:t>
                                  </w:r>
                                </w:p>
                                <w:sdt>
                                  <w:sdtPr>
                                    <w:alias w:val="20.3.2.1.1 p."/>
                                    <w:tag w:val="part_e6f972d25a3b4b43bad4be8fe764a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20.3.2.1.1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1.2 p."/>
                                    <w:tag w:val="part_da27cb6070da4322b7230b4b7840cf06"/>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20.3.2.1.2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2 p."/>
                                <w:tag w:val="part_da8bc48477d3433f8fc2903a41db5ecb"/>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3 p."/>
                                <w:tag w:val="part_0b6739e8134642049996d2bd881708f1"/>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4 p."/>
                                <w:tag w:val="part_75e75b6c5b3a41899651ed905bb5c90d"/>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Content>
                </w:sdt>
                <w:sdt>
                  <w:sdtPr>
                    <w:alias w:val="21 p."/>
                    <w:tag w:val="part_9ca14d77d8884821be18b4769d0a2002"/>
                    <w:lock w:val="sdtLocked"/>
                    <w:richText/>
                  </w:sdtPr>
                  <w:sdtContent>
                    <w:p>
                      <w:pPr>
                        <w:widowControl w:val="0"/>
                        <w:tabs>
                          <w:tab w:val="left" w:pos="1134"/>
                          <w:tab w:val="left" w:pos="1843"/>
                        </w:tabs>
                        <w:spacing w:line="240" w:lineRule="atLeast"/>
                        <w:ind w:firstLine="710"/>
                        <w:jc w:val="both"/>
                        <w:rPr>
                          <w:szCs w:val="24"/>
                        </w:rPr>
                      </w:pPr>
                      <w:sdt>
                        <w:sdtPr>
                          <w:alias w:val="Numeris"/>
                          <w:tag w:val="nr_9ca14d77d8884821be18b4769d0a2002"/>
                          <w:lock w:val="sdtLocked"/>
                          <w:richText/>
                        </w:sdtPr>
                        <w:sdtContent>
                          <w:r>
                            <w:rPr>
                              <w:szCs w:val="24"/>
                            </w:rPr>
                            <w:t>21</w:t>
                          </w:r>
                        </w:sdtContent>
                      </w:sdt>
                      <w:r>
                        <w:rPr>
                          <w:szCs w:val="24"/>
                        </w:rPr>
                        <w:t>. Ekonomiškai pagrįsti (būtini) metiniai OPEX apskaičiuojami:</w:t>
                      </w:r>
                    </w:p>
                    <w:sdt>
                      <w:sdtPr>
                        <w:alias w:val="21.1 p."/>
                        <w:tag w:val="part_10cc8b066b7c45a1b25dbcf73c017b54"/>
                        <w:lock w:val="sdtLocked"/>
                        <w:richText/>
                      </w:sdtPr>
                      <w:sdtContent>
                        <w:p>
                          <w:pPr>
                            <w:widowControl w:val="0"/>
                            <w:tabs>
                              <w:tab w:val="left" w:pos="1276"/>
                              <w:tab w:val="left" w:pos="1843"/>
                            </w:tabs>
                            <w:spacing w:line="240" w:lineRule="atLeast"/>
                            <w:ind w:firstLine="710"/>
                            <w:jc w:val="both"/>
                            <w:rPr>
                              <w:szCs w:val="24"/>
                            </w:rPr>
                          </w:pPr>
                          <w:sdt>
                            <w:sdtPr>
                              <w:alias w:val="Numeris"/>
                              <w:tag w:val="nr_10cc8b066b7c45a1b25dbcf73c017b54"/>
                              <w:lock w:val="sdtLocked"/>
                              <w:richText/>
                            </w:sdtPr>
                            <w:sdtContent>
                              <w:r>
                                <w:rPr>
                                  <w:szCs w:val="24"/>
                                </w:rPr>
                                <w:t>21.1</w:t>
                              </w:r>
                            </w:sdtContent>
                          </w:sdt>
                          <w:r>
                            <w:rPr>
                              <w:szCs w:val="24"/>
                            </w:rPr>
                            <w:t xml:space="preserve">. remonto, priežiūros, eksploatavimo kaštų, personalo kaštų (išskyrus darbo užmokesčio kaštus), administracinių kaštų, rinkodaros ir pardavimo kaštų, kitų paskirstomų kaštų atveju  atsižvelgiama į:</w:t>
                          </w:r>
                        </w:p>
                        <w:sdt>
                          <w:sdtPr>
                            <w:alias w:val="21.1.1 p."/>
                            <w:tag w:val="part_a16a1731ea3f4f1bbcc79c4647d3a75f"/>
                            <w:lock w:val="sdtLocked"/>
                            <w:richText/>
                          </w:sdtPr>
                          <w:sdtContent>
                            <w:p>
                              <w:pPr>
                                <w:tabs>
                                  <w:tab w:val="left" w:pos="993"/>
                                </w:tabs>
                                <w:ind w:firstLine="709"/>
                                <w:jc w:val="both"/>
                              </w:pPr>
                              <w:sdt>
                                <w:sdtPr>
                                  <w:alias w:val="Numeris"/>
                                  <w:tag w:val="nr_a16a1731ea3f4f1bbcc79c4647d3a75f"/>
                                  <w:lock w:val="sdtLocked"/>
                                  <w:richText/>
                                </w:sdtPr>
                                <w:sdtContent>
                                  <w:r>
                                    <w:rPr>
                                      <w:szCs w:val="24"/>
                                    </w:rPr>
                                    <w:t>21.1.1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 atsižvelgiama į faktinę pagrįstą šių kaštų metinę apimtį;</w:t>
                              </w:r>
                              <w:r>
                                <w:t xml:space="preserve"> </w:t>
                              </w:r>
                            </w:p>
                          </w:sdtContent>
                        </w:sdt>
                        <w:sdt>
                          <w:sdtPr>
                            <w:alias w:val="21.1.2 p."/>
                            <w:tag w:val="part_3db97ea6bfbb4e94ba5d3c83edebd9f6"/>
                            <w:lock w:val="sdtLocked"/>
                            <w:richText/>
                          </w:sdtPr>
                          <w:sdtContent>
                            <w:p>
                              <w:pPr>
                                <w:widowControl w:val="0"/>
                                <w:tabs>
                                  <w:tab w:val="left" w:pos="1418"/>
                                  <w:tab w:val="left" w:pos="1843"/>
                                </w:tabs>
                                <w:spacing w:line="240" w:lineRule="atLeast"/>
                                <w:ind w:firstLine="710"/>
                                <w:jc w:val="both"/>
                                <w:rPr>
                                  <w:szCs w:val="24"/>
                                </w:rPr>
                              </w:pPr>
                              <w:sdt>
                                <w:sdtPr>
                                  <w:alias w:val="Numeris"/>
                                  <w:tag w:val="nr_3db97ea6bfbb4e94ba5d3c83edebd9f6"/>
                                  <w:lock w:val="sdtLocked"/>
                                  <w:richText/>
                                </w:sdtPr>
                                <w:sdtContent>
                                  <w:r>
                                    <w:rPr>
                                      <w:szCs w:val="24"/>
                                    </w:rPr>
                                    <w:t>21.1.2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21.1.3 p."/>
                            <w:tag w:val="part_c14a81f2e8a04612af3c2595c00d8f5c"/>
                            <w:lock w:val="sdtLocked"/>
                            <w:richText/>
                          </w:sdtPr>
                          <w:sdtContent>
                            <w:p>
                              <w:pPr>
                                <w:tabs>
                                  <w:tab w:val="left" w:pos="993"/>
                                  <w:tab w:val="left" w:pos="1134"/>
                                </w:tabs>
                                <w:ind w:firstLine="709"/>
                                <w:jc w:val="both"/>
                                <w:rPr>
                                  <w:szCs w:val="24"/>
                                </w:rPr>
                              </w:pPr>
                              <w:sdt>
                                <w:sdtPr>
                                  <w:alias w:val="Numeris"/>
                                  <w:tag w:val="nr_c14a81f2e8a04612af3c2595c00d8f5c"/>
                                  <w:lock w:val="sdtLocked"/>
                                  <w:richText/>
                                </w:sdtPr>
                                <w:sdtContent>
                                  <w:r>
                                    <w:rPr>
                                      <w:szCs w:val="24"/>
                                    </w:rPr>
                                    <w:t>21.1.3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21.1.1</w:t>
                              </w:r>
                              <w:r>
                                <w:rPr>
                                  <w:szCs w:val="24"/>
                                  <w:vertAlign w:val="superscript"/>
                                </w:rPr>
                                <w:t>1</w:t>
                              </w:r>
                              <w:r>
                                <w:rPr>
                                  <w:szCs w:val="24"/>
                                </w:rPr>
                                <w:t xml:space="preserve"> papunkčio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w:rPr>
                                            <w:rFonts w:ascii="Cambria Math" w:hAnsi="Cambria Math"/>
                                            <w:szCs w:val="24"/>
                                            <w:lang w:val="en-US"/>
                                          </w:rPr>
                                          <m:t>i</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1</w:t>
                              </w:r>
                              <w:r>
                                <w:rPr>
                                  <w:i/>
                                  <w:szCs w:val="24"/>
                                  <w:lang w:val="en-US"/>
                                </w:rPr>
                                <w:t>)</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1.4 p."/>
                            <w:tag w:val="part_efb4fe679363412ab57047eccf0a51e5"/>
                            <w:lock w:val="sdtLocked"/>
                            <w:richText/>
                          </w:sdtPr>
                          <w:sdtContent>
                            <w:p>
                              <w:pPr>
                                <w:tabs>
                                  <w:tab w:val="left" w:pos="993"/>
                                  <w:tab w:val="left" w:pos="1134"/>
                                </w:tabs>
                                <w:ind w:firstLine="709"/>
                                <w:jc w:val="both"/>
                                <w:rPr>
                                  <w:szCs w:val="24"/>
                                </w:rPr>
                              </w:pPr>
                              <w:sdt>
                                <w:sdtPr>
                                  <w:alias w:val="Numeris"/>
                                  <w:tag w:val="nr_efb4fe679363412ab57047eccf0a51e5"/>
                                  <w:lock w:val="sdtLocked"/>
                                  <w:richText/>
                                </w:sdtPr>
                                <w:sdtContent>
                                  <w:r>
                                    <w:rPr>
                                      <w:szCs w:val="24"/>
                                    </w:rPr>
                                    <w:t>21.1.4</w:t>
                                  </w:r>
                                </w:sdtContent>
                              </w:sdt>
                              <w:r>
                                <w:rPr>
                                  <w:szCs w:val="24"/>
                                </w:rPr>
                                <w:t>.</w:t>
                              </w:r>
                              <w:r>
                                <w:rPr>
                                  <w:bCs/>
                                  <w:szCs w:val="24"/>
                                </w:rPr>
                                <w:t xml:space="preserve"> </w:t>
                              </w:r>
                              <w:r>
                                <w:rPr>
                                  <w:szCs w:val="24"/>
                                </w:rPr>
                                <w:t>Visais kitais metais, einančiais po pirmųjų naujo reguliavimo periodo metų, šių kaštų apimtis kiekvieniems metams nustatoma įvertinus Finansų ministerijos prognozuojamos metinės infliacijos dydį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 p."/>
                        <w:tag w:val="part_5b8cfb64c5934e0798af5971da93f624"/>
                        <w:lock w:val="sdtLocked"/>
                        <w:richText/>
                      </w:sdtPr>
                      <w:sdtContent>
                        <w:p>
                          <w:pPr>
                            <w:widowControl w:val="0"/>
                            <w:tabs>
                              <w:tab w:val="left" w:pos="1276"/>
                              <w:tab w:val="left" w:pos="1843"/>
                            </w:tabs>
                            <w:spacing w:line="240" w:lineRule="atLeast"/>
                            <w:ind w:firstLine="710"/>
                            <w:jc w:val="both"/>
                            <w:rPr>
                              <w:szCs w:val="24"/>
                            </w:rPr>
                          </w:pPr>
                          <w:sdt>
                            <w:sdtPr>
                              <w:alias w:val="Numeris"/>
                              <w:tag w:val="nr_5b8cfb64c5934e0798af5971da93f624"/>
                              <w:lock w:val="sdtLocked"/>
                              <w:richText/>
                            </w:sdtPr>
                            <w:sdtContent>
                              <w:r>
                                <w:rPr>
                                  <w:szCs w:val="24"/>
                                </w:rPr>
                                <w:t>21.2</w:t>
                              </w:r>
                            </w:sdtContent>
                          </w:sdt>
                          <w:r>
                            <w:rPr>
                              <w:szCs w:val="24"/>
                            </w:rPr>
                            <w:t>. darbo užmokesčio kaštų atveju atsižvelgiama į:</w:t>
                          </w:r>
                        </w:p>
                        <w:sdt>
                          <w:sdtPr>
                            <w:alias w:val="21.2.1 p."/>
                            <w:tag w:val="part_6565ac89febb4d969202c12316c6c9f9"/>
                            <w:lock w:val="sdtLocked"/>
                            <w:richText/>
                          </w:sdtPr>
                          <w:sdtContent>
                            <w:p>
                              <w:pPr>
                                <w:tabs>
                                  <w:tab w:val="left" w:pos="993"/>
                                </w:tabs>
                                <w:ind w:firstLine="709"/>
                                <w:jc w:val="both"/>
                              </w:pPr>
                              <w:sdt>
                                <w:sdtPr>
                                  <w:alias w:val="Numeris"/>
                                  <w:tag w:val="nr_6565ac89febb4d969202c12316c6c9f9"/>
                                  <w:lock w:val="sdtLocked"/>
                                  <w:richText/>
                                </w:sdtPr>
                                <w:sdtContent>
                                  <w:r>
                                    <w:rPr>
                                      <w:szCs w:val="24"/>
                                    </w:rPr>
                                    <w:t>21.2.1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 atsižvelgiama į faktinę pagrįstą šių kaštų metinę apimtį. </w:t>
                              </w:r>
                            </w:p>
                          </w:sdtContent>
                        </w:sdt>
                        <w:sdt>
                          <w:sdtPr>
                            <w:alias w:val="21.2.1-1 p."/>
                            <w:tag w:val="part_c9b72119c6e14fa2b6490a960394b484"/>
                            <w:lock w:val="sdtLocked"/>
                            <w:richText/>
                          </w:sdtPr>
                          <w:sdtContent>
                            <w:p>
                              <w:pPr>
                                <w:tabs>
                                  <w:tab w:val="left" w:pos="1134"/>
                                  <w:tab w:val="left" w:pos="1276"/>
                                </w:tabs>
                                <w:ind w:firstLine="709"/>
                                <w:jc w:val="both"/>
                                <w:rPr>
                                  <w:bCs/>
                                  <w:szCs w:val="24"/>
                                </w:rPr>
                              </w:pPr>
                              <w:sdt>
                                <w:sdtPr>
                                  <w:alias w:val="Numeris"/>
                                  <w:tag w:val="nr_c9b72119c6e14fa2b6490a960394b484"/>
                                  <w:lock w:val="sdtLocked"/>
                                  <w:richText/>
                                </w:sdtPr>
                                <w:sdtContent>
                                  <w:r>
                                    <w:rPr>
                                      <w:szCs w:val="24"/>
                                    </w:rPr>
                                    <w:t>21.2.1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21.2.1-1.1 p."/>
                                <w:tag w:val="part_349c520bf33b4c28afee4c30076b5a08"/>
                                <w:lock w:val="sdtLocked"/>
                                <w:richText/>
                              </w:sdtPr>
                              <w:sdtContent>
                                <w:p>
                                  <w:pPr>
                                    <w:tabs>
                                      <w:tab w:val="left" w:pos="1134"/>
                                      <w:tab w:val="left" w:pos="1276"/>
                                    </w:tabs>
                                    <w:ind w:firstLine="709"/>
                                    <w:jc w:val="both"/>
                                    <w:rPr>
                                      <w:bCs/>
                                      <w:szCs w:val="24"/>
                                    </w:rPr>
                                  </w:pPr>
                                  <w:sdt>
                                    <w:sdtPr>
                                      <w:alias w:val="Numeris"/>
                                      <w:tag w:val="nr_349c520bf33b4c28afee4c30076b5a08"/>
                                      <w:lock w:val="sdtLocked"/>
                                      <w:richText/>
                                    </w:sdtPr>
                                    <w:sdtContent>
                                      <w:r>
                                        <w:rPr>
                                          <w:szCs w:val="24"/>
                                        </w:rPr>
                                        <w:t>21.2.1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prognozuojamą </w:t>
                                  </w:r>
                                  <w:r>
                                    <w:rPr>
                                      <w:szCs w:val="24"/>
                                    </w:rPr>
                                    <w:t>realaus vidutinio darbo užmokesčio</w:t>
                                  </w:r>
                                  <w:r>
                                    <w:rPr>
                                      <w:bCs/>
                                      <w:szCs w:val="24"/>
                                    </w:rPr>
                                    <w:t xml:space="preserve"> pokyčiu, pagal atitinkamais metais galiojusią Komisijos patvirtintą Elektros energijos perdavimo, skirstymo ir visuomeninio tiekimo paslaugų bei visuomeninės kainos viršutinės ribos nustatymo metodiką;</w:t>
                                  </w:r>
                                </w:p>
                              </w:sdtContent>
                            </w:sdt>
                            <w:sdt>
                              <w:sdtPr>
                                <w:alias w:val="21.2.1-1.2 p."/>
                                <w:tag w:val="part_f5a2f32376a6439da794509b91b0cc7a"/>
                                <w:lock w:val="sdtLocked"/>
                                <w:richText/>
                              </w:sdtPr>
                              <w:sdtContent>
                                <w:p>
                                  <w:pPr>
                                    <w:tabs>
                                      <w:tab w:val="left" w:pos="1134"/>
                                      <w:tab w:val="left" w:pos="1276"/>
                                    </w:tabs>
                                    <w:ind w:firstLine="709"/>
                                    <w:jc w:val="both"/>
                                    <w:rPr>
                                      <w:bCs/>
                                      <w:szCs w:val="24"/>
                                    </w:rPr>
                                  </w:pPr>
                                  <w:sdt>
                                    <w:sdtPr>
                                      <w:alias w:val="Numeris"/>
                                      <w:tag w:val="nr_f5a2f32376a6439da794509b91b0cc7a"/>
                                      <w:lock w:val="sdtLocked"/>
                                      <w:richText/>
                                    </w:sdtPr>
                                    <w:sdtContent>
                                      <w:r>
                                        <w:rPr>
                                          <w:bCs/>
                                          <w:szCs w:val="24"/>
                                        </w:rPr>
                                        <w:t>21.2.1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21.2.1-1.3 p."/>
                                <w:tag w:val="part_dcce056b4277482598b0fa0f3d45e903"/>
                                <w:lock w:val="sdtLocked"/>
                                <w:richText/>
                              </w:sdtPr>
                              <w:sdtContent>
                                <w:p>
                                  <w:pPr>
                                    <w:tabs>
                                      <w:tab w:val="left" w:pos="1134"/>
                                      <w:tab w:val="left" w:pos="1276"/>
                                    </w:tabs>
                                    <w:ind w:firstLine="709"/>
                                    <w:jc w:val="both"/>
                                  </w:pPr>
                                  <w:sdt>
                                    <w:sdtPr>
                                      <w:alias w:val="Numeris"/>
                                      <w:tag w:val="nr_dcce056b4277482598b0fa0f3d45e903"/>
                                      <w:lock w:val="sdtLocked"/>
                                      <w:richText/>
                                    </w:sdtPr>
                                    <w:sdtContent>
                                      <w:r>
                                        <w:rPr>
                                          <w:bCs/>
                                          <w:szCs w:val="24"/>
                                        </w:rPr>
                                        <w:t>21.2.1</w:t>
                                      </w:r>
                                      <w:r>
                                        <w:rPr>
                                          <w:bCs/>
                                          <w:szCs w:val="24"/>
                                          <w:vertAlign w:val="superscript"/>
                                        </w:rPr>
                                        <w:t>1</w:t>
                                      </w:r>
                                      <w:r>
                                        <w:rPr>
                                          <w:bCs/>
                                          <w:szCs w:val="24"/>
                                        </w:rPr>
                                        <w:t>.3</w:t>
                                      </w:r>
                                    </w:sdtContent>
                                  </w:sdt>
                                  <w:r>
                                    <w:rPr>
                                      <w:bCs/>
                                      <w:szCs w:val="24"/>
                                    </w:rPr>
                                    <w:t>. atsižvelgiant į Metodikos 21.2.2 papunkčio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2 p."/>
                            <w:tag w:val="part_efda8a2bbbf54881859522b16dceb1c3"/>
                            <w:lock w:val="sdtLocked"/>
                            <w:richText/>
                          </w:sdtPr>
                          <w:sdtContent>
                            <w:p>
                              <w:pPr>
                                <w:tabs>
                                  <w:tab w:val="left" w:pos="1134"/>
                                  <w:tab w:val="left" w:pos="1260"/>
                                </w:tabs>
                                <w:ind w:firstLine="709"/>
                                <w:jc w:val="both"/>
                                <w:rPr>
                                  <w:szCs w:val="24"/>
                                </w:rPr>
                              </w:pPr>
                              <w:sdt>
                                <w:sdtPr>
                                  <w:alias w:val="Numeris"/>
                                  <w:tag w:val="nr_efda8a2bbbf54881859522b16dceb1c3"/>
                                  <w:lock w:val="sdtLocked"/>
                                  <w:richText/>
                                </w:sdtPr>
                                <w:sdtContent>
                                  <w:r>
                                    <w:rPr>
                                      <w:szCs w:val="24"/>
                                    </w:rPr>
                                    <w:t>21.2.2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21.2.3 p."/>
                            <w:tag w:val="part_4402dd3cc3a64ca581d19c5517909ecc"/>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4402dd3cc3a64ca581d19c5517909ecc"/>
                                  <w:lock w:val="sdtLocked"/>
                                  <w:richText/>
                                </w:sdtPr>
                                <w:sdtContent>
                                  <w:r>
                                    <w:rPr>
                                      <w:szCs w:val="24"/>
                                    </w:rPr>
                                    <w:t>21.2.3</w:t>
                                  </w:r>
                                </w:sdtContent>
                              </w:sdt>
                              <w:r>
                                <w:rPr>
                                  <w:szCs w:val="24"/>
                                </w:rPr>
                                <w:t>. priežasčių, kurias Įmonė nurodė kaip lemiančias šių kaštų apimties pokyčius, pagrįstumą;</w:t>
                              </w:r>
                            </w:p>
                          </w:sdtContent>
                        </w:sdt>
                        <w:sdt>
                          <w:sdtPr>
                            <w:alias w:val="21.2.4 p."/>
                            <w:tag w:val="part_7630814edb97464786a27ad643d158ed"/>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7630814edb97464786a27ad643d158ed"/>
                                  <w:lock w:val="sdtLocked"/>
                                  <w:richText/>
                                </w:sdtPr>
                                <w:sdtContent>
                                  <w:r>
                                    <w:rPr>
                                      <w:szCs w:val="24"/>
                                    </w:rPr>
                                    <w:t>21.2.4</w:t>
                                  </w:r>
                                </w:sdtContent>
                              </w:sdt>
                              <w:r>
                                <w:rPr>
                                  <w:szCs w:val="24"/>
                                </w:rPr>
                                <w:t>. teisės aktus privalomojo socialinio draudimo ir garantinio fondo įmokų dydžiui nustatyti;</w:t>
                              </w:r>
                            </w:p>
                          </w:sdtContent>
                        </w:sdt>
                        <w:sdt>
                          <w:sdtPr>
                            <w:alias w:val="21.2.5 p."/>
                            <w:tag w:val="part_0dad7a581e5a48d3a95e088abac0c911"/>
                            <w:lock w:val="sdtLocked"/>
                            <w:richText/>
                          </w:sdtPr>
                          <w:sdtContent>
                            <w:p>
                              <w:pPr>
                                <w:tabs>
                                  <w:tab w:val="left" w:pos="1134"/>
                                </w:tabs>
                                <w:ind w:firstLine="709"/>
                                <w:jc w:val="both"/>
                                <w:rPr>
                                  <w:szCs w:val="24"/>
                                </w:rPr>
                              </w:pPr>
                              <w:sdt>
                                <w:sdtPr>
                                  <w:alias w:val="Numeris"/>
                                  <w:tag w:val="nr_0dad7a581e5a48d3a95e088abac0c911"/>
                                  <w:lock w:val="sdtLocked"/>
                                  <w:richText/>
                                </w:sdtPr>
                                <w:sdtContent>
                                  <w:r>
                                    <w:rPr>
                                      <w:szCs w:val="24"/>
                                    </w:rPr>
                                    <w:t>21</w:t>
                                  </w:r>
                                  <w:r>
                                    <w:rPr>
                                      <w:szCs w:val="24"/>
                                      <w:lang w:eastAsia="lt-LT"/>
                                    </w:rPr>
                                    <w:t>.2.5</w:t>
                                  </w:r>
                                </w:sdtContent>
                              </w:sdt>
                              <w:r>
                                <w:rPr>
                                  <w:szCs w:val="24"/>
                                  <w:lang w:eastAsia="lt-LT"/>
                                </w:rPr>
                                <w:t xml:space="preserve">. </w:t>
                              </w:r>
                              <w:r>
                                <w:rPr>
                                  <w:szCs w:val="24"/>
                                </w:rPr>
                                <w:t>Ekonomiškai pagrįstas darbo užmokesčio kaštų dydis pirmiesiems reguliavimo periodo metams, išskyrus Metodikos 21.2.1</w:t>
                              </w:r>
                              <w:r>
                                <w:rPr>
                                  <w:szCs w:val="24"/>
                                  <w:vertAlign w:val="superscript"/>
                                </w:rPr>
                                <w:t>1</w:t>
                              </w:r>
                              <w:r>
                                <w:rPr>
                                  <w:szCs w:val="24"/>
                                </w:rPr>
                                <w:t xml:space="preserve"> papunkčio atveju,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2</w:t>
                              </w:r>
                              <w:r>
                                <w:rPr>
                                  <w:i/>
                                  <w:szCs w:val="24"/>
                                  <w:lang w:val="en-US"/>
                                </w:rPr>
                                <w:t>)</w:t>
                              </w:r>
                            </w:p>
                            <w:p>
                              <w:pPr>
                                <w:tabs>
                                  <w:tab w:val="left" w:pos="1134"/>
                                </w:tabs>
                                <w:ind w:firstLine="709"/>
                                <w:jc w:val="both"/>
                                <w:rPr>
                                  <w:szCs w:val="24"/>
                                </w:rPr>
                              </w:pPr>
                            </w:p>
                            <w:p>
                              <w:pPr>
                                <w:tabs>
                                  <w:tab w:val="left" w:pos="1134"/>
                                </w:tabs>
                                <w:ind w:firstLine="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6 p."/>
                            <w:tag w:val="part_5c6c5c6a912c484da070e88bcfeb6693"/>
                            <w:lock w:val="sdtLocked"/>
                            <w:richText/>
                          </w:sdtPr>
                          <w:sdtContent>
                            <w:p>
                              <w:pPr>
                                <w:ind w:firstLine="709"/>
                                <w:jc w:val="both"/>
                                <w:rPr>
                                  <w:szCs w:val="24"/>
                                </w:rPr>
                              </w:pPr>
                              <w:sdt>
                                <w:sdtPr>
                                  <w:alias w:val="Numeris"/>
                                  <w:tag w:val="nr_5c6c5c6a912c484da070e88bcfeb6693"/>
                                  <w:lock w:val="sdtLocked"/>
                                  <w:richText/>
                                </w:sdtPr>
                                <w:sdtContent>
                                  <w:r>
                                    <w:rPr>
                                      <w:szCs w:val="24"/>
                                      <w:lang w:eastAsia="lt-LT"/>
                                    </w:rPr>
                                    <w:t>21.2.6</w:t>
                                  </w:r>
                                </w:sdtContent>
                              </w:sdt>
                              <w:r>
                                <w:rPr>
                                  <w:szCs w:val="24"/>
                                  <w:lang w:eastAsia="lt-LT"/>
                                </w:rPr>
                                <w:t>. Visais kitais metais einančiais po pirmųjų naujojo reguliavimo periodo metų, šių kaštų apimtis kiekvieniems metams nustatoma įvertinus Finansų ministerijos skelbiamą darbo užmokesčio pokytį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3 p."/>
                        <w:tag w:val="part_a392c3303e3a4ef690bcf14daf3b9af5"/>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4 p."/>
                        <w:tag w:val="part_32894447b6d641039e22595c70f853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5 p."/>
                        <w:tag w:val="part_5ee5b6753f4a40f9977dbedb29ae87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22 p."/>
                    <w:tag w:val="part_0c1be9c077184ea0970db99f43b575f6"/>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0c1be9c077184ea0970db99f43b575f6"/>
                          <w:lock w:val="sdtLocked"/>
                          <w:richText/>
                        </w:sdtPr>
                        <w:sdtContent>
                          <w:r>
                            <w:rPr>
                              <w:szCs w:val="24"/>
                            </w:rPr>
                            <w:t>22</w:t>
                          </w:r>
                        </w:sdtContent>
                      </w:sdt>
                      <w:r>
                        <w:rPr>
                          <w:szCs w:val="24"/>
                        </w:rPr>
                        <w:t xml:space="preserve">. Kaštai </w:t>
                      </w:r>
                      <w:r>
                        <w:rPr>
                          <w:iCs/>
                          <w:szCs w:val="24"/>
                        </w:rPr>
                        <w:t>elektros energijai, sunaudotai ją perduodant technologiniuose įrenginiuose pirkti, nustatomi atsižvelgiant į:</w:t>
                      </w:r>
                    </w:p>
                    <w:sdt>
                      <w:sdtPr>
                        <w:alias w:val="22.1 p."/>
                        <w:tag w:val="part_990774b317da4cf89be5cd17bfae6585"/>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990774b317da4cf89be5cd17bfae6585"/>
                              <w:lock w:val="sdtLocked"/>
                              <w:richText/>
                            </w:sdtPr>
                            <w:sdtContent>
                              <w:r>
                                <w:rPr>
                                  <w:szCs w:val="24"/>
                                </w:rPr>
                                <w:t>22.1</w:t>
                              </w:r>
                            </w:sdtContent>
                          </w:sdt>
                          <w:r>
                            <w:rPr>
                              <w:szCs w:val="24"/>
                            </w:rPr>
                            <w:t>. iš gamintojų, tiekėjų, biržoje, balansavimo rinkoje įsigytos elektros energijos ir persiuntimo paslaugų kaštų vertę;</w:t>
                          </w:r>
                        </w:p>
                      </w:sdtContent>
                    </w:sdt>
                    <w:sdt>
                      <w:sdtPr>
                        <w:alias w:val="22.2 p."/>
                        <w:tag w:val="part_ef1804b1aaff4aa4bf3d26c64418917d"/>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ef1804b1aaff4aa4bf3d26c64418917d"/>
                              <w:lock w:val="sdtLocked"/>
                              <w:richText/>
                            </w:sdtPr>
                            <w:sdtContent>
                              <w:r>
                                <w:rPr>
                                  <w:szCs w:val="24"/>
                                </w:rPr>
                                <w:t>22.2</w:t>
                              </w:r>
                            </w:sdtContent>
                          </w:sdt>
                          <w:r>
                            <w:rPr>
                              <w:szCs w:val="24"/>
                            </w:rPr>
                            <w:t>. Komisijos nustatytą elektros energijos technologinių sąnaudų koeficientą, kuris nustatomas atsižvelgiant į:</w:t>
                          </w:r>
                        </w:p>
                        <w:sdt>
                          <w:sdtPr>
                            <w:alias w:val="22.2.1 p."/>
                            <w:tag w:val="part_d7fd05e763d248b19a651ab30e50a124"/>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d7fd05e763d248b19a651ab30e50a124"/>
                                  <w:lock w:val="sdtLocked"/>
                                  <w:richText/>
                                </w:sdtPr>
                                <w:sdtContent>
                                  <w:r>
                                    <w:rPr>
                                      <w:szCs w:val="24"/>
                                    </w:rPr>
                                    <w:t>22.2.1</w:t>
                                  </w:r>
                                </w:sdtContent>
                              </w:sdt>
                              <w:r>
                                <w:rPr>
                                  <w:szCs w:val="24"/>
                                </w:rPr>
                                <w:t xml:space="preserve">. </w:t>
                              </w:r>
                              <w:r>
                                <w:rPr>
                                  <w:szCs w:val="24"/>
                                  <w:lang w:eastAsia="lt-LT"/>
                                </w:rPr>
                                <w:t>palyginamuosius faktinius kitų energetikos įmonių technologinių sąnaudų koeficientus;</w:t>
                              </w:r>
                            </w:p>
                          </w:sdtContent>
                        </w:sdt>
                        <w:sdt>
                          <w:sdtPr>
                            <w:alias w:val="22.2.2 p."/>
                            <w:tag w:val="part_980047efcb3b4c58b357883b60764f5f"/>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980047efcb3b4c58b357883b60764f5f"/>
                                  <w:lock w:val="sdtLocked"/>
                                  <w:richText/>
                                </w:sdtPr>
                                <w:sdtContent>
                                  <w:r>
                                    <w:rPr>
                                      <w:szCs w:val="24"/>
                                    </w:rPr>
                                    <w:t>22.2.2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22.2.3 p."/>
                            <w:tag w:val="part_a499b4f9a0b741908b544d2847084547"/>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a499b4f9a0b741908b544d2847084547"/>
                                  <w:lock w:val="sdtLocked"/>
                                  <w:richText/>
                                </w:sdtPr>
                                <w:sdtContent>
                                  <w:r>
                                    <w:rPr>
                                      <w:szCs w:val="24"/>
                                    </w:rPr>
                                    <w:t>22.2.3</w:t>
                                  </w:r>
                                </w:sdtContent>
                              </w:sdt>
                              <w:r>
                                <w:rPr>
                                  <w:szCs w:val="24"/>
                                </w:rPr>
                                <w:t xml:space="preserve">. </w:t>
                              </w:r>
                              <w:r>
                                <w:rPr>
                                  <w:szCs w:val="24"/>
                                  <w:lang w:eastAsia="lt-LT"/>
                                </w:rPr>
                                <w:t>faktinį ir Komisijos praėjusiam reguliavimo periodui nustatytą technologinių sąnaudų koeficiento neatitiktį bei ją nulėmusių priežasčių pagrįstumą;</w:t>
                              </w:r>
                            </w:p>
                          </w:sdtContent>
                        </w:sdt>
                        <w:sdt>
                          <w:sdtPr>
                            <w:alias w:val="22.2.4 p."/>
                            <w:tag w:val="part_cd2536e7bc6a418c954cb7a493bcefac"/>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cd2536e7bc6a418c954cb7a493bcefac"/>
                                  <w:lock w:val="sdtLocked"/>
                                  <w:richText/>
                                </w:sdtPr>
                                <w:sdtContent>
                                  <w:r>
                                    <w:rPr>
                                      <w:szCs w:val="24"/>
                                    </w:rPr>
                                    <w:t>22.2.4</w:t>
                                  </w:r>
                                </w:sdtContent>
                              </w:sdt>
                              <w:r>
                                <w:rPr>
                                  <w:szCs w:val="24"/>
                                </w:rPr>
                                <w:t xml:space="preserve">. </w:t>
                              </w:r>
                              <w:r>
                                <w:rPr>
                                  <w:szCs w:val="24"/>
                                  <w:lang w:eastAsia="lt-LT"/>
                                </w:rPr>
                                <w:t>reguliavimo periodui, kuriam nustatomos reguliuojamų paslaugų kainų viršutinės ribos, technologinių sąnaudų koeficiento prognozuojamą vidutinį dydį, apskaičiuotą pagal faktinius praėjusio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23 p."/>
                    <w:tag w:val="part_3431f4b7d25f4509be9727bc3079206d"/>
                    <w:lock w:val="sdtLocked"/>
                    <w:richText/>
                  </w:sdtPr>
                  <w:sdtContent>
                    <w:p>
                      <w:pPr>
                        <w:tabs>
                          <w:tab w:val="left" w:pos="1134"/>
                        </w:tabs>
                        <w:spacing w:line="240" w:lineRule="atLeast"/>
                        <w:ind w:firstLine="709"/>
                        <w:contextualSpacing/>
                        <w:jc w:val="both"/>
                        <w:rPr>
                          <w:iCs/>
                          <w:szCs w:val="24"/>
                        </w:rPr>
                      </w:pPr>
                      <w:sdt>
                        <w:sdtPr>
                          <w:alias w:val="Numeris"/>
                          <w:tag w:val="nr_3431f4b7d25f4509be9727bc3079206d"/>
                          <w:lock w:val="sdtLocked"/>
                          <w:richText/>
                        </w:sdtPr>
                        <w:sdtContent>
                          <w:r>
                            <w:rPr>
                              <w:iCs/>
                              <w:szCs w:val="24"/>
                            </w:rPr>
                            <w:t>23</w:t>
                          </w:r>
                        </w:sdtContent>
                      </w:sdt>
                      <w:r>
                        <w:rPr>
                          <w:iCs/>
                          <w:szCs w:val="24"/>
                        </w:rPr>
                        <w:t xml:space="preserve">. </w:t>
                      </w:r>
                      <w:r>
                        <w:rPr>
                          <w:szCs w:val="24"/>
                        </w:rPr>
                        <w:t xml:space="preserve">Kaštai </w:t>
                      </w:r>
                      <w:r>
                        <w:rPr>
                          <w:iCs/>
                          <w:szCs w:val="24"/>
                        </w:rPr>
                        <w:t>elektros energijai savoms reikmėms pirkti, apskaičiuojami atsižvelgiant į:</w:t>
                      </w:r>
                    </w:p>
                    <w:sdt>
                      <w:sdtPr>
                        <w:alias w:val="23.1 p."/>
                        <w:tag w:val="part_448d43b17c8e4994a1e72c275eb4bc0f"/>
                        <w:lock w:val="sdtLocked"/>
                        <w:richText/>
                      </w:sdtPr>
                      <w:sdtContent>
                        <w:p>
                          <w:pPr>
                            <w:tabs>
                              <w:tab w:val="left" w:pos="1276"/>
                            </w:tabs>
                            <w:spacing w:line="240" w:lineRule="atLeast"/>
                            <w:ind w:firstLine="709"/>
                            <w:contextualSpacing/>
                            <w:jc w:val="both"/>
                            <w:rPr>
                              <w:iCs/>
                              <w:szCs w:val="24"/>
                            </w:rPr>
                          </w:pPr>
                          <w:sdt>
                            <w:sdtPr>
                              <w:alias w:val="Numeris"/>
                              <w:tag w:val="nr_448d43b17c8e4994a1e72c275eb4bc0f"/>
                              <w:lock w:val="sdtLocked"/>
                              <w:richText/>
                            </w:sdtPr>
                            <w:sdtContent>
                              <w:r>
                                <w:rPr>
                                  <w:iCs/>
                                  <w:szCs w:val="24"/>
                                </w:rPr>
                                <w:t>23.1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VIAP ir sisteminių paslaugų kainą);</w:t>
                          </w:r>
                        </w:p>
                      </w:sdtContent>
                    </w:sdt>
                    <w:sdt>
                      <w:sdtPr>
                        <w:alias w:val="23.2 p."/>
                        <w:tag w:val="part_1e07cacfcfa740d19d1219fff60dc4a5"/>
                        <w:lock w:val="sdtLocked"/>
                        <w:richText/>
                      </w:sdtPr>
                      <w:sdtContent>
                        <w:p>
                          <w:pPr>
                            <w:tabs>
                              <w:tab w:val="left" w:pos="1276"/>
                            </w:tabs>
                            <w:spacing w:line="240" w:lineRule="atLeast"/>
                            <w:ind w:firstLine="709"/>
                            <w:contextualSpacing/>
                            <w:jc w:val="both"/>
                            <w:rPr>
                              <w:iCs/>
                              <w:szCs w:val="24"/>
                            </w:rPr>
                          </w:pPr>
                          <w:sdt>
                            <w:sdtPr>
                              <w:alias w:val="Numeris"/>
                              <w:tag w:val="nr_1e07cacfcfa740d19d1219fff60dc4a5"/>
                              <w:lock w:val="sdtLocked"/>
                              <w:richText/>
                            </w:sdtPr>
                            <w:sdtContent>
                              <w:r>
                                <w:rPr>
                                  <w:iCs/>
                                  <w:szCs w:val="24"/>
                                </w:rPr>
                                <w:t>23.2</w:t>
                              </w:r>
                            </w:sdtContent>
                          </w:sdt>
                          <w:r>
                            <w:rPr>
                              <w:iCs/>
                              <w:szCs w:val="24"/>
                            </w:rPr>
                            <w:t>. savoms reikmėms sunaudotus elektros energijos kiekius, kurie negali viršyti praėjusiam reguliavimo periodui nustatytų kiekių, praėjusį reguliavimo periodą sunaudotų faktinių kiekių.</w:t>
                          </w:r>
                        </w:p>
                      </w:sdtContent>
                    </w:sdt>
                  </w:sdtContent>
                </w:sdt>
                <w:sdt>
                  <w:sdtPr>
                    <w:alias w:val="24 p."/>
                    <w:tag w:val="part_a3e82ab1ab0c46dd8f180b70cb0d898c"/>
                    <w:lock w:val="sdtLocked"/>
                    <w:richText/>
                  </w:sdtPr>
                  <w:sdtContent>
                    <w:p>
                      <w:pPr>
                        <w:widowControl w:val="0"/>
                        <w:tabs>
                          <w:tab w:val="left" w:pos="0"/>
                          <w:tab w:val="left" w:pos="1134"/>
                          <w:tab w:val="left" w:pos="1843"/>
                        </w:tabs>
                        <w:spacing w:line="240" w:lineRule="atLeast"/>
                        <w:ind w:firstLine="709"/>
                        <w:jc w:val="both"/>
                        <w:rPr>
                          <w:szCs w:val="24"/>
                        </w:rPr>
                      </w:pPr>
                      <w:sdt>
                        <w:sdtPr>
                          <w:alias w:val="Numeris"/>
                          <w:tag w:val="nr_a3e82ab1ab0c46dd8f180b70cb0d898c"/>
                          <w:lock w:val="sdtLocked"/>
                          <w:richText/>
                        </w:sdtPr>
                        <w:sdtContent>
                          <w:r>
                            <w:rPr>
                              <w:szCs w:val="24"/>
                            </w:rPr>
                            <w:t>24</w:t>
                          </w:r>
                        </w:sdtContent>
                      </w:sdt>
                      <w:r>
                        <w:rPr>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 nepriklausančių veiksnių.</w:t>
                      </w:r>
                    </w:p>
                  </w:sdtContent>
                </w:sdt>
                <w:sdt>
                  <w:sdtPr>
                    <w:alias w:val="25 p."/>
                    <w:tag w:val="part_55297606b30d4b23ad851045fd37df9d"/>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55297606b30d4b23ad851045fd37df9d"/>
                          <w:lock w:val="sdtLocked"/>
                          <w:richText/>
                        </w:sdtPr>
                        <w:sdtContent>
                          <w:r>
                            <w:rPr>
                              <w:szCs w:val="24"/>
                            </w:rPr>
                            <w:t>25</w:t>
                          </w:r>
                        </w:sdtContent>
                      </w:sdt>
                      <w:r>
                        <w:rPr>
                          <w:szCs w:val="24"/>
                        </w:rPr>
                        <w:t>. 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26 p."/>
                    <w:tag w:val="part_f8c5c92639e04387ace3a83df900cd5f"/>
                    <w:lock w:val="sdtLocked"/>
                    <w:richText/>
                  </w:sdtPr>
                  <w:sdtContent>
                    <w:p>
                      <w:pPr>
                        <w:tabs>
                          <w:tab w:val="left" w:pos="1276"/>
                        </w:tabs>
                        <w:ind w:firstLine="709"/>
                        <w:jc w:val="both"/>
                        <w:rPr>
                          <w:szCs w:val="24"/>
                        </w:rPr>
                      </w:pPr>
                      <w:sdt>
                        <w:sdtPr>
                          <w:alias w:val="Numeris"/>
                          <w:tag w:val="nr_f8c5c92639e04387ace3a83df900cd5f"/>
                          <w:lock w:val="sdtLocked"/>
                          <w:richText/>
                        </w:sdtPr>
                        <w:sdtContent>
                          <w:r>
                            <w:rPr>
                              <w:szCs w:val="24"/>
                            </w:rPr>
                            <w:t>26</w:t>
                          </w:r>
                        </w:sdtContent>
                      </w:sdt>
                      <w:r>
                        <w:rPr>
                          <w:szCs w:val="24"/>
                        </w:rPr>
                        <w:t xml:space="preserve">. Jeigu dėl Įmonės veiklos efektyvumo, t. y. dėl OPEX suefektyvinimo vykdant reguliuojamą veiklą reguliuojamos veiklos pirmų dvejų reguliavimo periodo metų, o vėliau – pasibaigus reguliavimo periodui investicijų grąža, įvertinus taikytinų koregavimo koeficientų įtaką, yra didesnė, palyginti su nustatyta atitinkamų metų investicijų grąža šios veiklos atitinkamų metų leistina investicijų grąža didinama investicijų grąžos riba, dėl veiklos efektyvumo, kurį Įmonė įrodė Komisijai, viršijančia suma,  apskaičiuojama pagal formulę:</w:t>
                      </w:r>
                    </w:p>
                    <w:p>
                      <w:pPr>
                        <w:tabs>
                          <w:tab w:val="left" w:pos="993"/>
                        </w:tabs>
                        <w:ind w:firstLine="709"/>
                        <w:jc w:val="both"/>
                        <w:rPr>
                          <w:szCs w:val="24"/>
                        </w:rPr>
                      </w:pPr>
                    </w:p>
                    <w:p>
                      <w:pPr>
                        <w:tabs>
                          <w:tab w:val="left" w:pos="993"/>
                          <w:tab w:val="left" w:pos="9214"/>
                        </w:tabs>
                        <w:jc w:val="both"/>
                        <w:rPr>
                          <w:szCs w:val="24"/>
                        </w:rPr>
                      </w:pPr>
                      <w:r>
                        <w:rPr>
                          <w:i/>
                          <w:iCs/>
                          <w:szCs w:val="24"/>
                        </w:rPr>
                        <w:t>G</w:t>
                      </w:r>
                      <w:r>
                        <w:rPr>
                          <w:i/>
                          <w:iCs/>
                          <w:szCs w:val="24"/>
                          <w:vertAlign w:val="subscript"/>
                        </w:rPr>
                        <w:t xml:space="preserve">1,i </w:t>
                      </w:r>
                      <w:r>
                        <w:rPr>
                          <w:i/>
                          <w:iCs/>
                          <w:szCs w:val="24"/>
                        </w:rPr>
                        <w:t>= OPEX</w:t>
                      </w:r>
                      <w:r>
                        <w:rPr>
                          <w:i/>
                          <w:iCs/>
                          <w:szCs w:val="24"/>
                          <w:vertAlign w:val="subscript"/>
                        </w:rPr>
                        <w:t>nustatytas,i</w:t>
                      </w:r>
                      <w:r>
                        <w:rPr>
                          <w:i/>
                          <w:iCs/>
                          <w:szCs w:val="24"/>
                        </w:rPr>
                        <w:t xml:space="preserve"> – OPEX</w:t>
                      </w:r>
                      <w:r>
                        <w:rPr>
                          <w:i/>
                          <w:iCs/>
                          <w:szCs w:val="24"/>
                          <w:vertAlign w:val="subscript"/>
                        </w:rPr>
                        <w:t xml:space="preserve">faktinis,i </w:t>
                      </w:r>
                      <w:r>
                        <w:rPr>
                          <w:i/>
                          <w:iCs/>
                          <w:szCs w:val="24"/>
                        </w:rPr>
                        <w:tab/>
                      </w:r>
                      <w:r>
                        <w:rPr>
                          <w:szCs w:val="24"/>
                        </w:rPr>
                        <w:t>(11)</w:t>
                      </w:r>
                    </w:p>
                    <w:p>
                      <w:pPr>
                        <w:tabs>
                          <w:tab w:val="left" w:pos="993"/>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 p."/>
                    <w:tag w:val="part_b667d58df9c441058ab2270a0def4231"/>
                    <w:lock w:val="sdtLocked"/>
                    <w:richText/>
                  </w:sdtPr>
                  <w:sdtContent>
                    <w:p>
                      <w:pPr>
                        <w:tabs>
                          <w:tab w:val="left" w:pos="993"/>
                          <w:tab w:val="left" w:pos="9214"/>
                        </w:tabs>
                        <w:ind w:firstLine="709"/>
                        <w:jc w:val="both"/>
                        <w:rPr>
                          <w:szCs w:val="24"/>
                        </w:rPr>
                      </w:pPr>
                      <w:sdt>
                        <w:sdtPr>
                          <w:alias w:val="Numeris"/>
                          <w:tag w:val="nr_b667d58df9c441058ab2270a0def4231"/>
                          <w:lock w:val="sdtLocked"/>
                          <w:richText/>
                        </w:sdtPr>
                        <w:sdtContent>
                          <w:r>
                            <w:rPr>
                              <w:szCs w:val="24"/>
                            </w:rPr>
                            <w:t>27</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 pasibaigus reguliavimo periodui investicijų grąža, įvertinus taikytinų koregavimo koeficientų įtaką viršija Komisijos nustatytą atitinkamos veiklos investicijų grąžą šios veiklos atitinkamų metų leistina investicijų grąža didinama 50 proc. investicijų grąžos ribą dėl veiklos efektyvumo, kurį Įmonė įrodė Komisijai, viršijančia suma, apskaičiuojama pagal formulę:</w:t>
                      </w:r>
                    </w:p>
                    <w:p>
                      <w:pPr>
                        <w:tabs>
                          <w:tab w:val="left" w:pos="993"/>
                          <w:tab w:val="left" w:pos="9214"/>
                        </w:tabs>
                        <w:ind w:firstLine="709"/>
                        <w:jc w:val="both"/>
                        <w:rPr>
                          <w:szCs w:val="24"/>
                        </w:rPr>
                      </w:pPr>
                    </w:p>
                    <w:p>
                      <w:pPr>
                        <w:tabs>
                          <w:tab w:val="left" w:pos="993"/>
                          <w:tab w:val="left" w:pos="9214"/>
                        </w:tabs>
                        <w:ind w:firstLine="709"/>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(12)</w:t>
                      </w:r>
                    </w:p>
                    <w:p>
                      <w:pPr>
                        <w:tabs>
                          <w:tab w:val="left" w:pos="993"/>
                        </w:tabs>
                        <w:jc w:val="both"/>
                        <w:rPr>
                          <w:i/>
                          <w:iCs/>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2,i </w:t>
                      </w:r>
                      <w:r>
                        <w:rPr>
                          <w:szCs w:val="24"/>
                        </w:rPr>
                        <w:t xml:space="preserve">– suma, kuria didinama leistina investicijų grąža  i-tajai paslaugai,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p>
                    <w:p>
                      <w:pPr>
                        <w:tabs>
                          <w:tab w:val="left" w:pos="993"/>
                        </w:tabs>
                        <w:jc w:val="both"/>
                      </w:pPr>
                      <w:r>
                        <w:rPr>
                          <w:szCs w:val="24"/>
                        </w:rPr>
                        <w:t>Kitiems metams ir (arba) nustatant kainų viršutines ribas kito reguliavimo periodo antriesiems metams,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1 p."/>
                    <w:tag w:val="part_25fe8608b0a04c95aba96df8e8e0fcca"/>
                    <w:lock w:val="sdtLocked"/>
                    <w:richText/>
                  </w:sdtPr>
                  <w:sdtContent>
                    <w:p>
                      <w:pPr>
                        <w:tabs>
                          <w:tab w:val="left" w:pos="993"/>
                        </w:tabs>
                        <w:ind w:firstLine="709"/>
                        <w:jc w:val="both"/>
                      </w:pPr>
                      <w:sdt>
                        <w:sdtPr>
                          <w:alias w:val="Numeris"/>
                          <w:tag w:val="nr_25fe8608b0a04c95aba96df8e8e0fcca"/>
                          <w:lock w:val="sdtLocked"/>
                          <w:richText/>
                        </w:sdtPr>
                        <w:sdtContent>
                          <w:r>
                            <w:rPr>
                              <w:szCs w:val="24"/>
                            </w:rPr>
                            <w:t>27</w:t>
                          </w:r>
                          <w:r>
                            <w:rPr>
                              <w:szCs w:val="24"/>
                              <w:vertAlign w:val="superscript"/>
                            </w:rPr>
                            <w:t>1</w:t>
                          </w:r>
                        </w:sdtContent>
                      </w:sdt>
                      <w:r>
                        <w:rPr>
                          <w:szCs w:val="24"/>
                        </w:rPr>
                        <w:t>. OPEX taikomas skatinamasis mechanizmas, t. y. OPEX per reguliavimo periodą ir naujajam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2 p."/>
                    <w:tag w:val="part_a6146b2bef5b45d897e734b78540f84c"/>
                    <w:lock w:val="sdtLocked"/>
                    <w:richText/>
                  </w:sdtPr>
                  <w:sdtContent>
                    <w:p>
                      <w:pPr>
                        <w:tabs>
                          <w:tab w:val="left" w:pos="1134"/>
                        </w:tabs>
                        <w:ind w:firstLine="709"/>
                        <w:jc w:val="both"/>
                        <w:rPr>
                          <w:szCs w:val="24"/>
                        </w:rPr>
                      </w:pPr>
                      <w:sdt>
                        <w:sdtPr>
                          <w:alias w:val="Numeris"/>
                          <w:tag w:val="nr_a6146b2bef5b45d897e734b78540f84c"/>
                          <w:lock w:val="sdtLocked"/>
                          <w:richText/>
                        </w:sdtPr>
                        <w:sdtContent>
                          <w:r>
                            <w:rPr>
                              <w:szCs w:val="24"/>
                            </w:rPr>
                            <w:t>27</w:t>
                          </w:r>
                          <w:r>
                            <w:rPr>
                              <w:szCs w:val="24"/>
                              <w:vertAlign w:val="superscript"/>
                            </w:rPr>
                            <w:t>2</w:t>
                          </w:r>
                        </w:sdtContent>
                      </w:sdt>
                      <w:r>
                        <w:rPr>
                          <w:szCs w:val="24"/>
                        </w:rPr>
                        <w:t>. Įmonių veiklos efektyvinimu nėra laikoma:</w:t>
                      </w:r>
                    </w:p>
                    <w:sdt>
                      <w:sdtPr>
                        <w:alias w:val="27-2.1 p."/>
                        <w:tag w:val="part_1fd6ca38bf344def80869b11683bf7d4"/>
                        <w:lock w:val="sdtLocked"/>
                        <w:richText/>
                      </w:sdtPr>
                      <w:sdtContent>
                        <w:p>
                          <w:pPr>
                            <w:tabs>
                              <w:tab w:val="left" w:pos="1134"/>
                            </w:tabs>
                            <w:ind w:firstLine="709"/>
                            <w:jc w:val="both"/>
                            <w:rPr>
                              <w:szCs w:val="24"/>
                            </w:rPr>
                          </w:pPr>
                          <w:sdt>
                            <w:sdtPr>
                              <w:alias w:val="Numeris"/>
                              <w:tag w:val="nr_1fd6ca38bf344def80869b11683bf7d4"/>
                              <w:lock w:val="sdtLocked"/>
                              <w:richText/>
                            </w:sdtPr>
                            <w:sdtContent>
                              <w:r>
                                <w:rPr>
                                  <w:szCs w:val="24"/>
                                </w:rPr>
                                <w:t>27</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27-2.2 p."/>
                        <w:tag w:val="part_b1203fbb6b124c869b85ab569e42500a"/>
                        <w:lock w:val="sdtLocked"/>
                        <w:richText/>
                      </w:sdtPr>
                      <w:sdtContent>
                        <w:p>
                          <w:pPr>
                            <w:tabs>
                              <w:tab w:val="left" w:pos="1134"/>
                            </w:tabs>
                            <w:ind w:firstLine="709"/>
                            <w:jc w:val="both"/>
                            <w:rPr>
                              <w:szCs w:val="24"/>
                            </w:rPr>
                          </w:pPr>
                          <w:sdt>
                            <w:sdtPr>
                              <w:alias w:val="Numeris"/>
                              <w:tag w:val="nr_b1203fbb6b124c869b85ab569e42500a"/>
                              <w:lock w:val="sdtLocked"/>
                              <w:richText/>
                            </w:sdtPr>
                            <w:sdtContent>
                              <w:r>
                                <w:rPr>
                                  <w:szCs w:val="24"/>
                                </w:rPr>
                                <w:t>27</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27-2.3 p."/>
                        <w:tag w:val="part_c8aee767536d4a06996cff45bdd6d471"/>
                        <w:lock w:val="sdtLocked"/>
                        <w:richText/>
                      </w:sdtPr>
                      <w:sdtContent>
                        <w:p>
                          <w:pPr>
                            <w:tabs>
                              <w:tab w:val="left" w:pos="1134"/>
                            </w:tabs>
                            <w:ind w:firstLine="709"/>
                            <w:jc w:val="both"/>
                          </w:pPr>
                          <w:sdt>
                            <w:sdtPr>
                              <w:alias w:val="Numeris"/>
                              <w:tag w:val="nr_c8aee767536d4a06996cff45bdd6d471"/>
                              <w:lock w:val="sdtLocked"/>
                              <w:richText/>
                            </w:sdtPr>
                            <w:sdtContent>
                              <w:r>
                                <w:rPr>
                                  <w:szCs w:val="24"/>
                                </w:rPr>
                                <w:t>27</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sdt>
                      <w:sdtPr>
                        <w:alias w:val="27-2.4 p."/>
                        <w:tag w:val="part_49cea0971b9b46428853308ee18eb7f1"/>
                        <w:lock w:val="sdtLocked"/>
                        <w:richText/>
                      </w:sdtPr>
                      <w:sdtContent>
                        <w:p>
                          <w:pPr>
                            <w:tabs>
                              <w:tab w:val="left" w:pos="758"/>
                            </w:tabs>
                            <w:ind w:firstLine="709"/>
                            <w:jc w:val="both"/>
                            <w:rPr>
                              <w:szCs w:val="24"/>
                            </w:rPr>
                          </w:pPr>
                          <w:sdt>
                            <w:sdtPr>
                              <w:alias w:val="Numeris"/>
                              <w:tag w:val="nr_49cea0971b9b46428853308ee18eb7f1"/>
                              <w:lock w:val="sdtLocked"/>
                              <w:richText/>
                            </w:sdtPr>
                            <w:sdtContent>
                              <w:r>
                                <w:rPr>
                                  <w:szCs w:val="24"/>
                                </w:rPr>
                                <w:t>27</w:t>
                              </w:r>
                              <w:r>
                                <w:rPr>
                                  <w:szCs w:val="24"/>
                                  <w:vertAlign w:val="superscript"/>
                                </w:rPr>
                                <w:t>2</w:t>
                              </w:r>
                              <w:r>
                                <w:rPr>
                                  <w:szCs w:val="24"/>
                                </w:rPr>
                                <w:t>.4</w:t>
                              </w:r>
                            </w:sdtContent>
                          </w:sdt>
                          <w:r>
                            <w:rPr>
                              <w:szCs w:val="24"/>
                            </w:rPr>
                            <w:t xml:space="preserve">. </w:t>
                          </w:r>
                          <w:r>
                            <w:rPr>
                              <w:bCs/>
                              <w:kern w:val="32"/>
                              <w:szCs w:val="24"/>
                            </w:rPr>
                            <w:t xml:space="preserve">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8 p."/>
                    <w:tag w:val="part_ae740cc285ea400fa3112028adb7f68c"/>
                    <w:lock w:val="sdtLocked"/>
                    <w:richText/>
                  </w:sdtPr>
                  <w:sdtContent>
                    <w:p>
                      <w:pPr>
                        <w:tabs>
                          <w:tab w:val="left" w:pos="1134"/>
                        </w:tabs>
                        <w:ind w:firstLine="709"/>
                        <w:jc w:val="both"/>
                        <w:rPr>
                          <w:szCs w:val="24"/>
                        </w:rPr>
                      </w:pPr>
                      <w:sdt>
                        <w:sdtPr>
                          <w:alias w:val="Numeris"/>
                          <w:tag w:val="nr_ae740cc285ea400fa3112028adb7f68c"/>
                          <w:lock w:val="sdtLocked"/>
                          <w:richText/>
                        </w:sdtPr>
                        <w:sdtContent>
                          <w:r>
                            <w:rPr>
                              <w:szCs w:val="24"/>
                            </w:rPr>
                            <w:t>28</w:t>
                          </w:r>
                        </w:sdtContent>
                      </w:sdt>
                      <w:r>
                        <w:rPr>
                          <w:szCs w:val="24"/>
                        </w:rPr>
                        <w:t xml:space="preserve">. Elektros energijos  skirstymo paslaugų leistina investicijų grąža sumažinama ar padidinama atitinkamai už kiekvieną persiuntimo patikimumo rodiklį:</w:t>
                      </w:r>
                    </w:p>
                    <w:sdt>
                      <w:sdtPr>
                        <w:alias w:val="28.1 p."/>
                        <w:tag w:val="part_58946922a4404fd886cfaebc7c4f16f7"/>
                        <w:lock w:val="sdtLocked"/>
                        <w:richText/>
                      </w:sdtPr>
                      <w:sdtContent>
                        <w:p>
                          <w:pPr>
                            <w:tabs>
                              <w:tab w:val="left" w:pos="1134"/>
                            </w:tabs>
                            <w:ind w:firstLine="709"/>
                            <w:jc w:val="both"/>
                            <w:rPr>
                              <w:szCs w:val="24"/>
                            </w:rPr>
                          </w:pPr>
                          <w:sdt>
                            <w:sdtPr>
                              <w:alias w:val="Numeris"/>
                              <w:tag w:val="nr_58946922a4404fd886cfaebc7c4f16f7"/>
                              <w:lock w:val="sdtLocked"/>
                              <w:richText/>
                            </w:sdtPr>
                            <w:sdtContent>
                              <w:r>
                                <w:rPr>
                                  <w:szCs w:val="24"/>
                                </w:rPr>
                                <w:t>28.1</w:t>
                              </w:r>
                            </w:sdtContent>
                          </w:sdt>
                          <w:r>
                            <w:rPr>
                              <w:szCs w:val="24"/>
                            </w:rPr>
                            <w:t>. 1 proc., jei praėjusių vienerių metų persiuntimo patikimumo rodiklis, kuriam nustatytas minimalus lygis, pablogėjo ar pagerėjo nuo 5 iki 10 proc., palyginti su minimaliu lygiu;</w:t>
                          </w:r>
                        </w:p>
                      </w:sdtContent>
                    </w:sdt>
                    <w:sdt>
                      <w:sdtPr>
                        <w:alias w:val="28.2 p."/>
                        <w:tag w:val="part_85c882cd38e24941b181e884368d4995"/>
                        <w:lock w:val="sdtLocked"/>
                        <w:richText/>
                      </w:sdtPr>
                      <w:sdtContent>
                        <w:p>
                          <w:pPr>
                            <w:tabs>
                              <w:tab w:val="left" w:pos="1134"/>
                            </w:tabs>
                            <w:ind w:firstLine="709"/>
                            <w:jc w:val="both"/>
                            <w:rPr>
                              <w:szCs w:val="24"/>
                            </w:rPr>
                          </w:pPr>
                          <w:sdt>
                            <w:sdtPr>
                              <w:alias w:val="Numeris"/>
                              <w:tag w:val="nr_85c882cd38e24941b181e884368d4995"/>
                              <w:lock w:val="sdtLocked"/>
                              <w:richText/>
                            </w:sdtPr>
                            <w:sdtContent>
                              <w:r>
                                <w:rPr>
                                  <w:szCs w:val="24"/>
                                </w:rPr>
                                <w:t>28.2</w:t>
                              </w:r>
                            </w:sdtContent>
                          </w:sdt>
                          <w:r>
                            <w:rPr>
                              <w:szCs w:val="24"/>
                            </w:rPr>
                            <w:t>. 2 proc., jei praėjusių vienerių metų persiuntimo patikimumo rodiklis, kuriam nustatytas minimalus lygis, pablogėjo ar pagerėjo daugiau nei 10 proc., palyginti su minimaliu lygiu.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9 p."/>
                    <w:tag w:val="part_501616ec8ff648b0a6b3fd3abebe7ed1"/>
                    <w:lock w:val="sdtLocked"/>
                    <w:richText/>
                  </w:sdtPr>
                  <w:sdtContent>
                    <w:p>
                      <w:pPr>
                        <w:tabs>
                          <w:tab w:val="left" w:pos="1134"/>
                        </w:tabs>
                        <w:ind w:firstLine="709"/>
                        <w:jc w:val="both"/>
                        <w:rPr>
                          <w:szCs w:val="24"/>
                        </w:rPr>
                      </w:pPr>
                      <w:sdt>
                        <w:sdtPr>
                          <w:alias w:val="Numeris"/>
                          <w:tag w:val="nr_501616ec8ff648b0a6b3fd3abebe7ed1"/>
                          <w:lock w:val="sdtLocked"/>
                          <w:richText/>
                        </w:sdtPr>
                        <w:sdtContent>
                          <w:r>
                            <w:rPr>
                              <w:szCs w:val="24"/>
                            </w:rPr>
                            <w:t>29</w:t>
                          </w:r>
                        </w:sdtContent>
                      </w:sdt>
                      <w:r>
                        <w:rPr>
                          <w:szCs w:val="24"/>
                        </w:rPr>
                        <w:t>. Apskaičiuojant protingumo kriterijų atitinkančios investicijų grąžos viršijimo dydį, palyginti su nustatyta investicijų grąža, įvertinus taikytinų koregavimo koeficientų įtaką, skaičiuojamą po reguliuojamos veiklos pirmų dviejų reguliavimo periodo metų, o vėliau viso reguliavimo periodo, kuriuo mažinamas reguliuojamos veiklos leistinas pajamų lygis ateinantiems metams, įvertinama:</w:t>
                      </w:r>
                    </w:p>
                    <w:sdt>
                      <w:sdtPr>
                        <w:alias w:val="29.1 p."/>
                        <w:tag w:val="part_7573e1685f714ba3832c2208139ee8d4"/>
                        <w:lock w:val="sdtLocked"/>
                        <w:richText/>
                      </w:sdtPr>
                      <w:sdtContent>
                        <w:p>
                          <w:pPr>
                            <w:tabs>
                              <w:tab w:val="left" w:pos="1276"/>
                            </w:tabs>
                            <w:ind w:firstLine="709"/>
                            <w:jc w:val="both"/>
                            <w:rPr>
                              <w:szCs w:val="24"/>
                            </w:rPr>
                          </w:pPr>
                          <w:sdt>
                            <w:sdtPr>
                              <w:alias w:val="Numeris"/>
                              <w:tag w:val="nr_7573e1685f714ba3832c2208139ee8d4"/>
                              <w:lock w:val="sdtLocked"/>
                              <w:richText/>
                            </w:sdtPr>
                            <w:sdtContent>
                              <w:r>
                                <w:rPr>
                                  <w:szCs w:val="24"/>
                                </w:rPr>
                                <w:t>29.1</w:t>
                              </w:r>
                            </w:sdtContent>
                          </w:sdt>
                          <w:r>
                            <w:rPr>
                              <w:szCs w:val="24"/>
                            </w:rPr>
                            <w:t>. Įmonės uždirbta faktinė grąža iš reguliuojamos veiklos;</w:t>
                          </w:r>
                        </w:p>
                      </w:sdtContent>
                    </w:sdt>
                    <w:sdt>
                      <w:sdtPr>
                        <w:alias w:val="29.2 p."/>
                        <w:tag w:val="part_78c7536139d044619386796ccc66f4ab"/>
                        <w:lock w:val="sdtLocked"/>
                        <w:richText/>
                      </w:sdtPr>
                      <w:sdtContent>
                        <w:p>
                          <w:pPr>
                            <w:tabs>
                              <w:tab w:val="left" w:pos="1276"/>
                            </w:tabs>
                            <w:ind w:firstLine="709"/>
                            <w:jc w:val="both"/>
                            <w:rPr>
                              <w:szCs w:val="24"/>
                            </w:rPr>
                          </w:pPr>
                          <w:sdt>
                            <w:sdtPr>
                              <w:alias w:val="Numeris"/>
                              <w:tag w:val="nr_78c7536139d044619386796ccc66f4ab"/>
                              <w:lock w:val="sdtLocked"/>
                              <w:richText/>
                            </w:sdtPr>
                            <w:sdtContent>
                              <w:r>
                                <w:rPr>
                                  <w:szCs w:val="24"/>
                                </w:rPr>
                                <w:t>29.2</w:t>
                              </w:r>
                            </w:sdtContent>
                          </w:sdt>
                          <w:r>
                            <w:rPr>
                              <w:szCs w:val="24"/>
                            </w:rPr>
                            <w:t>. Įmonės gautos papildomos pajamos, susijusios su reguliuojamų paslaugų ir (ar) produktų teikimu, kuriems teikti naudojami ar nenaudojami reguliuojamos veiklos ištekliai;</w:t>
                          </w:r>
                          <w:r>
                            <w:t xml:space="preserve">     </w:t>
                          </w:r>
                        </w:p>
                      </w:sdtContent>
                    </w:sdt>
                    <w:sdt>
                      <w:sdtPr>
                        <w:alias w:val="29.3 p."/>
                        <w:tag w:val="part_0760e5266d6e45e4a06064e53bc452e7"/>
                        <w:lock w:val="sdtLocked"/>
                        <w:richText/>
                      </w:sdtPr>
                      <w:sdtContent>
                        <w:p>
                          <w:pPr>
                            <w:tabs>
                              <w:tab w:val="left" w:pos="1260"/>
                            </w:tabs>
                            <w:ind w:firstLine="709"/>
                            <w:jc w:val="both"/>
                            <w:rPr>
                              <w:szCs w:val="24"/>
                            </w:rPr>
                          </w:pPr>
                          <w:sdt>
                            <w:sdtPr>
                              <w:alias w:val="Numeris"/>
                              <w:tag w:val="nr_0760e5266d6e45e4a06064e53bc452e7"/>
                              <w:lock w:val="sdtLocked"/>
                              <w:richText/>
                            </w:sdtPr>
                            <w:sdtContent>
                              <w:r>
                                <w:rPr>
                                  <w:szCs w:val="24"/>
                                </w:rPr>
                                <w:t>29.3</w:t>
                              </w:r>
                            </w:sdtContent>
                          </w:sdt>
                          <w:r>
                            <w:rPr>
                              <w:szCs w:val="24"/>
                            </w:rPr>
                            <w:t>. kaštų, kuriems Komisija nustatė atitinkamus normatyvus Metodikos 20–23 punktuose nurodytoms sąnaudų grupėms, viršijimo suma, kuri apskaičiuojama Metodikos nustatyta tvarka;</w:t>
                          </w:r>
                        </w:p>
                      </w:sdtContent>
                    </w:sdt>
                    <w:sdt>
                      <w:sdtPr>
                        <w:alias w:val="29.4 p."/>
                        <w:tag w:val="part_388502e347c94c2dbe5652b49d21d890"/>
                        <w:lock w:val="sdtLocked"/>
                        <w:richText/>
                      </w:sdtPr>
                      <w:sdtContent>
                        <w:p>
                          <w:pPr>
                            <w:tabs>
                              <w:tab w:val="left" w:pos="1260"/>
                            </w:tabs>
                            <w:ind w:firstLine="709"/>
                            <w:jc w:val="both"/>
                            <w:rPr>
                              <w:szCs w:val="24"/>
                            </w:rPr>
                          </w:pPr>
                          <w:sdt>
                            <w:sdtPr>
                              <w:alias w:val="Numeris"/>
                              <w:tag w:val="nr_388502e347c94c2dbe5652b49d21d890"/>
                              <w:lock w:val="sdtLocked"/>
                              <w:richText/>
                            </w:sdtPr>
                            <w:sdtContent>
                              <w:r>
                                <w:rPr>
                                  <w:szCs w:val="24"/>
                                </w:rPr>
                                <w:t>29.4</w:t>
                              </w:r>
                            </w:sdtContent>
                          </w:sdt>
                          <w:r>
                            <w:rPr>
                              <w:szCs w:val="24"/>
                            </w:rPr>
                            <w:t>. Įmonėms nukrypus nuo Komisijos nustatytų rodiklių, lemiančių jų veiklos efektyvumą;</w:t>
                          </w:r>
                        </w:p>
                      </w:sdtContent>
                    </w:sdt>
                    <w:sdt>
                      <w:sdtPr>
                        <w:alias w:val="29.5 p."/>
                        <w:tag w:val="part_af6831ba918b466ab8d9e0a12d4c680b"/>
                        <w:lock w:val="sdtLocked"/>
                        <w:richText/>
                      </w:sdtPr>
                      <w:sdtContent>
                        <w:p>
                          <w:pPr>
                            <w:tabs>
                              <w:tab w:val="left" w:pos="1260"/>
                            </w:tabs>
                            <w:ind w:firstLine="709"/>
                            <w:jc w:val="both"/>
                            <w:rPr>
                              <w:szCs w:val="24"/>
                            </w:rPr>
                          </w:pPr>
                          <w:sdt>
                            <w:sdtPr>
                              <w:alias w:val="Numeris"/>
                              <w:tag w:val="nr_af6831ba918b466ab8d9e0a12d4c680b"/>
                              <w:lock w:val="sdtLocked"/>
                              <w:richText/>
                            </w:sdtPr>
                            <w:sdtContent>
                              <w:r>
                                <w:rPr>
                                  <w:szCs w:val="24"/>
                                </w:rPr>
                                <w:t>29.5</w:t>
                              </w:r>
                            </w:sdtContent>
                          </w:sdt>
                          <w:r>
                            <w:rPr>
                              <w:szCs w:val="24"/>
                            </w:rPr>
                            <w:t xml:space="preserve">. </w:t>
                          </w:r>
                          <w:r>
                            <w:rPr>
                              <w:i/>
                              <w:szCs w:val="24"/>
                            </w:rPr>
                            <w:t>t-2</w:t>
                          </w:r>
                          <w:r>
                            <w:rPr>
                              <w:szCs w:val="24"/>
                            </w:rPr>
                            <w:t xml:space="preserve">, </w:t>
                          </w:r>
                          <w:r>
                            <w:rPr>
                              <w:i/>
                              <w:szCs w:val="24"/>
                            </w:rPr>
                            <w:t>t-3</w:t>
                          </w:r>
                          <w:r>
                            <w:rPr>
                              <w:szCs w:val="24"/>
                            </w:rPr>
                            <w:t xml:space="preserve"> metams planuotų sumų (nustatytu Komisijos sprendimu), mažinančių tų metų pajamų lygį, ir faktiškai gautų pajamų skirtumas.</w:t>
                          </w:r>
                        </w:p>
                      </w:sdtContent>
                    </w:sdt>
                  </w:sdtContent>
                </w:sdt>
                <w:sdt>
                  <w:sdtPr>
                    <w:alias w:val="30 p."/>
                    <w:tag w:val="part_316fadfe7e37471897191408932849b0"/>
                    <w:lock w:val="sdtLocked"/>
                    <w:richText/>
                  </w:sdtPr>
                  <w:sdtContent>
                    <w:p>
                      <w:pPr>
                        <w:tabs>
                          <w:tab w:val="left" w:pos="1080"/>
                        </w:tabs>
                        <w:ind w:firstLine="709"/>
                        <w:jc w:val="both"/>
                        <w:rPr>
                          <w:szCs w:val="24"/>
                        </w:rPr>
                      </w:pPr>
                      <w:sdt>
                        <w:sdtPr>
                          <w:alias w:val="Numeris"/>
                          <w:tag w:val="nr_316fadfe7e37471897191408932849b0"/>
                          <w:lock w:val="sdtLocked"/>
                          <w:richText/>
                        </w:sdtPr>
                        <w:sdtContent>
                          <w:r>
                            <w:t>30</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nurodytų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31 p."/>
                    <w:tag w:val="part_080cddc376fe4078a0c8c376dd1d5e67"/>
                    <w:lock w:val="sdtLocked"/>
                    <w:richText/>
                  </w:sdtPr>
                  <w:sdtContent>
                    <w:p>
                      <w:pPr>
                        <w:tabs>
                          <w:tab w:val="left" w:pos="1134"/>
                        </w:tabs>
                        <w:ind w:firstLine="709"/>
                        <w:jc w:val="both"/>
                        <w:rPr>
                          <w:szCs w:val="24"/>
                        </w:rPr>
                      </w:pPr>
                      <w:sdt>
                        <w:sdtPr>
                          <w:alias w:val="Numeris"/>
                          <w:tag w:val="nr_080cddc376fe4078a0c8c376dd1d5e67"/>
                          <w:lock w:val="sdtLocked"/>
                          <w:richText/>
                        </w:sdtPr>
                        <w:sdtContent>
                          <w:r>
                            <w:rPr>
                              <w:szCs w:val="24"/>
                            </w:rPr>
                            <w:t>31</w:t>
                          </w:r>
                        </w:sdtContent>
                      </w:sdt>
                      <w:r>
                        <w:rPr>
                          <w:szCs w:val="24"/>
                        </w:rPr>
                        <w:t>. Reguliuojamos paslaugos parduotos ar paskirstytos elektros energijos metinis kiekis reguliuojamų kainų galiojimo laikotarpiu nustatomas atsižvelgiant į realizuotiną paslaugos kiekį per vienerius reguliavimo periodo metus, įvertinus:</w:t>
                      </w:r>
                    </w:p>
                    <w:sdt>
                      <w:sdtPr>
                        <w:alias w:val="31.1 p."/>
                        <w:tag w:val="part_13d942d6a36045de8b0a4003a1c32298"/>
                        <w:lock w:val="sdtLocked"/>
                        <w:richText/>
                      </w:sdtPr>
                      <w:sdtContent>
                        <w:p>
                          <w:pPr>
                            <w:tabs>
                              <w:tab w:val="left" w:pos="1276"/>
                            </w:tabs>
                            <w:ind w:firstLine="709"/>
                            <w:jc w:val="both"/>
                            <w:rPr>
                              <w:szCs w:val="24"/>
                            </w:rPr>
                          </w:pPr>
                          <w:sdt>
                            <w:sdtPr>
                              <w:alias w:val="Numeris"/>
                              <w:tag w:val="nr_13d942d6a36045de8b0a4003a1c32298"/>
                              <w:lock w:val="sdtLocked"/>
                              <w:richText/>
                            </w:sdtPr>
                            <w:sdtContent>
                              <w:r>
                                <w:rPr>
                                  <w:szCs w:val="24"/>
                                </w:rPr>
                                <w:t>31.1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31.2 p."/>
                        <w:tag w:val="part_e614cef3de1d45098f157e309e3aa0b2"/>
                        <w:lock w:val="sdtLocked"/>
                        <w:richText/>
                      </w:sdtPr>
                      <w:sdtContent>
                        <w:p>
                          <w:pPr>
                            <w:tabs>
                              <w:tab w:val="left" w:pos="1276"/>
                            </w:tabs>
                            <w:ind w:firstLine="709"/>
                            <w:jc w:val="both"/>
                            <w:rPr>
                              <w:szCs w:val="24"/>
                            </w:rPr>
                          </w:pPr>
                          <w:sdt>
                            <w:sdtPr>
                              <w:alias w:val="Numeris"/>
                              <w:tag w:val="nr_e614cef3de1d45098f157e309e3aa0b2"/>
                              <w:lock w:val="sdtLocked"/>
                              <w:richText/>
                            </w:sdtPr>
                            <w:sdtContent>
                              <w:r>
                                <w:rPr>
                                  <w:szCs w:val="24"/>
                                </w:rPr>
                                <w:t>31.2</w:t>
                              </w:r>
                            </w:sdtContent>
                          </w:sdt>
                          <w:r>
                            <w:rPr>
                              <w:szCs w:val="24"/>
                            </w:rPr>
                            <w:t xml:space="preserve">. metais </w:t>
                          </w:r>
                          <w:r>
                            <w:rPr>
                              <w:i/>
                              <w:szCs w:val="24"/>
                            </w:rPr>
                            <w:t xml:space="preserve">t </w:t>
                          </w:r>
                          <w:r>
                            <w:rPr>
                              <w:szCs w:val="24"/>
                            </w:rPr>
                            <w:t xml:space="preserve">– metų </w:t>
                          </w:r>
                          <w:r>
                            <w:rPr>
                              <w:i/>
                              <w:szCs w:val="24"/>
                            </w:rPr>
                            <w:t>t-1</w:t>
                          </w:r>
                          <w:r>
                            <w:rPr>
                              <w:szCs w:val="24"/>
                            </w:rPr>
                            <w:t xml:space="preserve"> duomenys padidinti </w:t>
                          </w:r>
                          <w:r>
                            <w:rPr>
                              <w:i/>
                              <w:szCs w:val="24"/>
                            </w:rPr>
                            <w:t>t</w:t>
                          </w:r>
                          <w:r>
                            <w:rPr>
                              <w:szCs w:val="24"/>
                            </w:rPr>
                            <w:t xml:space="preserve"> metų puse bendro vidaus produkto pokyčio pagal Finansų ministerijos arba Lietuvos banko pateiktas naujausias prognozes;</w:t>
                          </w:r>
                        </w:p>
                      </w:sdtContent>
                    </w:sdt>
                    <w:sdt>
                      <w:sdtPr>
                        <w:alias w:val="31.3 p."/>
                        <w:tag w:val="part_2d6f220a11bc4a1b9122013ae1b44217"/>
                        <w:lock w:val="sdtLocked"/>
                        <w:richText/>
                      </w:sdtPr>
                      <w:sdtContent>
                        <w:p>
                          <w:pPr>
                            <w:tabs>
                              <w:tab w:val="left" w:pos="1276"/>
                            </w:tabs>
                            <w:ind w:firstLine="709"/>
                            <w:jc w:val="both"/>
                            <w:rPr>
                              <w:szCs w:val="24"/>
                            </w:rPr>
                          </w:pPr>
                          <w:sdt>
                            <w:sdtPr>
                              <w:alias w:val="Numeris"/>
                              <w:tag w:val="nr_2d6f220a11bc4a1b9122013ae1b44217"/>
                              <w:lock w:val="sdtLocked"/>
                              <w:richText/>
                            </w:sdtPr>
                            <w:sdtContent>
                              <w:r>
                                <w:rPr>
                                  <w:szCs w:val="24"/>
                                </w:rPr>
                                <w:t>31.3</w:t>
                              </w:r>
                            </w:sdtContent>
                          </w:sdt>
                          <w:r>
                            <w:rPr>
                              <w:szCs w:val="24"/>
                            </w:rPr>
                            <w:t>. priežasčių, kurias Įmonė nurodė kaip lemiančias realizuoto kiekio faktinių ir būsimų apimties pokyčių, pagrįstumą;</w:t>
                          </w:r>
                        </w:p>
                      </w:sdtContent>
                    </w:sdt>
                    <w:sdt>
                      <w:sdtPr>
                        <w:alias w:val="31.4 p."/>
                        <w:tag w:val="part_f431f5b7148342059eb9a1cc0f2c8303"/>
                        <w:lock w:val="sdtLocked"/>
                        <w:richText/>
                      </w:sdtPr>
                      <w:sdtContent>
                        <w:p>
                          <w:pPr>
                            <w:tabs>
                              <w:tab w:val="left" w:pos="1276"/>
                            </w:tabs>
                            <w:ind w:firstLine="709"/>
                            <w:jc w:val="both"/>
                            <w:rPr>
                              <w:szCs w:val="24"/>
                            </w:rPr>
                          </w:pPr>
                          <w:sdt>
                            <w:sdtPr>
                              <w:alias w:val="Numeris"/>
                              <w:tag w:val="nr_f431f5b7148342059eb9a1cc0f2c8303"/>
                              <w:lock w:val="sdtLocked"/>
                              <w:richText/>
                            </w:sdtPr>
                            <w:sdtContent>
                              <w:r>
                                <w:rPr>
                                  <w:szCs w:val="24"/>
                                </w:rPr>
                                <w:t>31.4</w:t>
                              </w:r>
                            </w:sdtContent>
                          </w:sdt>
                          <w:r>
                            <w:rPr>
                              <w:szCs w:val="24"/>
                            </w:rPr>
                            <w:t>. kitų Įmonių, galinčių daryti įtaką prognozuojamam kiekiui, plėtrą ir teisės aktuose nustatytus įpareigojimus.</w:t>
                          </w:r>
                        </w:p>
                        <w:p>
                          <w:pPr>
                            <w:tabs>
                              <w:tab w:val="left" w:pos="1134"/>
                            </w:tabs>
                            <w:jc w:val="both"/>
                            <w:rPr>
                              <w:szCs w:val="24"/>
                            </w:rPr>
                          </w:pPr>
                        </w:p>
                        <w:p>
                          <w:pPr>
                            <w:tabs>
                              <w:tab w:val="left" w:pos="1134"/>
                            </w:tabs>
                            <w:jc w:val="both"/>
                            <w:rPr>
                              <w:szCs w:val="24"/>
                            </w:rPr>
                          </w:pPr>
                        </w:p>
                      </w:sdtContent>
                    </w:sdt>
                  </w:sdtContent>
                </w:sdt>
              </w:sdtContent>
            </w:sdt>
          </w:sdtContent>
        </w:sdt>
        <w:sdt>
          <w:sdtPr>
            <w:alias w:val="skyrius"/>
            <w:tag w:val="part_92ad53a6647840708073450e0025a949"/>
            <w:lock w:val="sdtLocked"/>
            <w:richText/>
          </w:sdtPr>
          <w:sdtContent>
            <w:p>
              <w:pPr>
                <w:widowControl w:val="0"/>
                <w:tabs>
                  <w:tab w:val="left" w:pos="2835"/>
                </w:tabs>
                <w:suppressAutoHyphens/>
                <w:jc w:val="center"/>
                <w:textAlignment w:val="center"/>
                <w:rPr>
                  <w:b/>
                  <w:szCs w:val="24"/>
                </w:rPr>
              </w:pPr>
              <w:sdt>
                <w:sdtPr>
                  <w:alias w:val="Numeris"/>
                  <w:tag w:val="nr_92ad53a6647840708073450e0025a949"/>
                  <w:lock w:val="sdtLocked"/>
                  <w:richText/>
                </w:sdtPr>
                <w:sdtContent>
                  <w:r>
                    <w:rPr>
                      <w:b/>
                      <w:szCs w:val="24"/>
                    </w:rPr>
                    <w:t>III</w:t>
                  </w:r>
                </w:sdtContent>
              </w:sdt>
              <w:r>
                <w:rPr>
                  <w:b/>
                  <w:szCs w:val="24"/>
                </w:rPr>
                <w:t xml:space="preserve"> SKYRIUS</w:t>
              </w:r>
            </w:p>
            <w:p>
              <w:pPr>
                <w:widowControl w:val="0"/>
                <w:tabs>
                  <w:tab w:val="left" w:pos="2835"/>
                </w:tabs>
                <w:suppressAutoHyphens/>
                <w:jc w:val="center"/>
                <w:textAlignment w:val="center"/>
                <w:rPr>
                  <w:b/>
                  <w:szCs w:val="24"/>
                </w:rPr>
              </w:pPr>
              <w:sdt>
                <w:sdtPr>
                  <w:alias w:val="Pavadinimas"/>
                  <w:tag w:val="title_92ad53a6647840708073450e0025a949"/>
                  <w:lock w:val="sdtLocked"/>
                  <w:richText/>
                </w:sdtPr>
                <w:sdtContent>
                  <w:r>
                    <w:rPr>
                      <w:b/>
                      <w:szCs w:val="24"/>
                    </w:rPr>
                    <w:t>ELEKTROS ENERGIJOS PERDAVIMO IR SKIRSTYMO VERSLO VIENETO PASLAUGŲ KAINODARA</w:t>
                  </w:r>
                </w:sdtContent>
              </w:sdt>
            </w:p>
            <w:p>
              <w:pPr>
                <w:widowControl w:val="0"/>
                <w:tabs>
                  <w:tab w:val="left" w:pos="2835"/>
                </w:tabs>
                <w:suppressAutoHyphens/>
                <w:jc w:val="center"/>
                <w:textAlignment w:val="center"/>
                <w:rPr>
                  <w:b/>
                  <w:szCs w:val="24"/>
                </w:rPr>
              </w:pPr>
            </w:p>
            <w:p>
              <w:pPr>
                <w:widowControl w:val="0"/>
                <w:tabs>
                  <w:tab w:val="left" w:pos="2835"/>
                </w:tabs>
                <w:suppressAutoHyphens/>
                <w:jc w:val="center"/>
                <w:textAlignment w:val="center"/>
                <w:rPr>
                  <w:b/>
                  <w:szCs w:val="24"/>
                </w:rPr>
              </w:pPr>
            </w:p>
            <w:sdt>
              <w:sdtPr>
                <w:alias w:val="skirsnis"/>
                <w:tag w:val="part_d69f3afbefe34f7e99baeaed13ab36d3"/>
                <w:lock w:val="sdtLocked"/>
                <w:richText/>
              </w:sdtPr>
              <w:sdtContent>
                <w:p>
                  <w:pPr>
                    <w:widowControl w:val="0"/>
                    <w:tabs>
                      <w:tab w:val="left" w:pos="2835"/>
                    </w:tabs>
                    <w:suppressAutoHyphens/>
                    <w:jc w:val="center"/>
                    <w:textAlignment w:val="center"/>
                    <w:rPr>
                      <w:b/>
                      <w:szCs w:val="24"/>
                    </w:rPr>
                  </w:pPr>
                  <w:sdt>
                    <w:sdtPr>
                      <w:alias w:val="Numeris"/>
                      <w:tag w:val="nr_d69f3afbefe34f7e99baeaed13ab36d3"/>
                      <w:lock w:val="sdtLocked"/>
                      <w:richText/>
                    </w:sdtPr>
                    <w:sdtContent>
                      <w:r>
                        <w:rPr>
                          <w:b/>
                          <w:szCs w:val="24"/>
                        </w:rPr>
                        <w:t>PIRMASIS</w:t>
                      </w:r>
                    </w:sdtContent>
                  </w:sdt>
                  <w:r>
                    <w:rPr>
                      <w:b/>
                      <w:szCs w:val="24"/>
                    </w:rPr>
                    <w:t xml:space="preserve"> SKIRSNIS</w:t>
                  </w:r>
                </w:p>
                <w:p>
                  <w:pPr>
                    <w:widowControl w:val="0"/>
                    <w:tabs>
                      <w:tab w:val="left" w:pos="2835"/>
                    </w:tabs>
                    <w:suppressAutoHyphens/>
                    <w:jc w:val="center"/>
                    <w:textAlignment w:val="center"/>
                    <w:rPr>
                      <w:b/>
                      <w:szCs w:val="24"/>
                    </w:rPr>
                  </w:pPr>
                  <w:sdt>
                    <w:sdtPr>
                      <w:alias w:val="Pavadinimas"/>
                      <w:tag w:val="title_d69f3afbefe34f7e99baeaed13ab36d3"/>
                      <w:lock w:val="sdtLocked"/>
                      <w:richText/>
                    </w:sdtPr>
                    <w:sdtContent>
                      <w:r>
                        <w:rPr>
                          <w:b/>
                          <w:szCs w:val="24"/>
                        </w:rPr>
                        <w:t>LRAIC MODELIO TAIKYMAS</w:t>
                      </w:r>
                    </w:sdtContent>
                  </w:sdt>
                </w:p>
                <w:p>
                  <w:pPr>
                    <w:widowControl w:val="0"/>
                    <w:tabs>
                      <w:tab w:val="left" w:pos="2835"/>
                    </w:tabs>
                    <w:suppressAutoHyphens/>
                    <w:ind w:left="567" w:firstLine="567"/>
                    <w:jc w:val="center"/>
                    <w:textAlignment w:val="center"/>
                    <w:rPr>
                      <w:b/>
                      <w:szCs w:val="24"/>
                    </w:rPr>
                  </w:pPr>
                </w:p>
                <w:p>
                  <w:pPr>
                    <w:widowControl w:val="0"/>
                    <w:tabs>
                      <w:tab w:val="left" w:pos="2835"/>
                    </w:tabs>
                    <w:suppressAutoHyphens/>
                    <w:ind w:left="567" w:firstLine="567"/>
                    <w:jc w:val="center"/>
                    <w:textAlignment w:val="center"/>
                    <w:rPr>
                      <w:b/>
                      <w:szCs w:val="24"/>
                    </w:rPr>
                  </w:pPr>
                </w:p>
                <w:sdt>
                  <w:sdtPr>
                    <w:alias w:val="32 p."/>
                    <w:tag w:val="part_6b2732cf5a8f48698a263ecd9d760434"/>
                    <w:lock w:val="sdtLocked"/>
                    <w:richText/>
                  </w:sdtPr>
                  <w:sdtContent>
                    <w:p>
                      <w:pPr>
                        <w:tabs>
                          <w:tab w:val="left" w:pos="851"/>
                          <w:tab w:val="left" w:pos="1134"/>
                          <w:tab w:val="left" w:pos="1843"/>
                          <w:tab w:val="left" w:pos="2268"/>
                        </w:tabs>
                        <w:ind w:firstLine="709"/>
                        <w:jc w:val="both"/>
                        <w:rPr>
                          <w:szCs w:val="24"/>
                        </w:rPr>
                      </w:pPr>
                      <w:sdt>
                        <w:sdtPr>
                          <w:alias w:val="Numeris"/>
                          <w:tag w:val="nr_6b2732cf5a8f48698a263ecd9d760434"/>
                          <w:lock w:val="sdtLocked"/>
                          <w:richText/>
                        </w:sdtPr>
                        <w:sdtContent>
                          <w:r>
                            <w:rPr>
                              <w:szCs w:val="24"/>
                            </w:rPr>
                            <w:t>32</w:t>
                          </w:r>
                        </w:sdtContent>
                      </w:sdt>
                      <w:r>
                        <w:rPr>
                          <w:szCs w:val="24"/>
                        </w:rPr>
                        <w:t>. Bendros perdavimo sistemos operatoriui (toliau – PSO) ir skirstomųjų tinklų operatoriui (toliau – STO) reguliuojamų veiklų leidžiamos pajamos apskaičiuojamos Modeliu. Modeliuojamas 5 metų ateities laikotarpis, sutampantis su reguliavimo periodu. Paslaugos kainos viršutinei ribai nustatyti Modeliu apskaičiuotos leidžiamos pajamos turi būti koreguojamos Metodikoje nustatyta tvarka:</w:t>
                      </w:r>
                    </w:p>
                    <w:sdt>
                      <w:sdtPr>
                        <w:alias w:val="32.1 p."/>
                        <w:tag w:val="part_7afec7f10f744eda920cdf2e00b751cd"/>
                        <w:lock w:val="sdtLocked"/>
                        <w:richText/>
                      </w:sdtPr>
                      <w:sdtContent>
                        <w:p>
                          <w:pPr>
                            <w:tabs>
                              <w:tab w:val="left" w:pos="1276"/>
                              <w:tab w:val="left" w:pos="1843"/>
                              <w:tab w:val="left" w:pos="2268"/>
                            </w:tabs>
                            <w:ind w:firstLine="709"/>
                            <w:jc w:val="both"/>
                            <w:rPr>
                              <w:szCs w:val="24"/>
                            </w:rPr>
                          </w:pPr>
                          <w:sdt>
                            <w:sdtPr>
                              <w:alias w:val="Numeris"/>
                              <w:tag w:val="nr_7afec7f10f744eda920cdf2e00b751cd"/>
                              <w:lock w:val="sdtLocked"/>
                              <w:richText/>
                            </w:sdtPr>
                            <w:sdtContent>
                              <w:r>
                                <w:rPr>
                                  <w:szCs w:val="24"/>
                                </w:rPr>
                                <w:t>32.1</w:t>
                              </w:r>
                            </w:sdtContent>
                          </w:sdt>
                          <w:r>
                            <w:rPr>
                              <w:szCs w:val="24"/>
                            </w:rPr>
                            <w:t>. Modelis apskaičiuoja leidžiamas pajamas tiksliniams metams, t. y. 5 metų reguliavimo periodo pabaigos metams. Tam periodui pajamos apskaičiuojamos tolygiai kintančio pajamų lygio būdu:</w:t>
                          </w:r>
                        </w:p>
                        <w:sdt>
                          <w:sdtPr>
                            <w:alias w:val="32.1.1 p."/>
                            <w:tag w:val="part_fdf65fd50ab1410ea642edb895d03e63"/>
                            <w:lock w:val="sdtLocked"/>
                            <w:richText/>
                          </w:sdtPr>
                          <w:sdtContent>
                            <w:p>
                              <w:pPr>
                                <w:tabs>
                                  <w:tab w:val="left" w:pos="1418"/>
                                  <w:tab w:val="left" w:pos="1843"/>
                                  <w:tab w:val="left" w:pos="2268"/>
                                </w:tabs>
                                <w:ind w:firstLine="709"/>
                                <w:jc w:val="both"/>
                                <w:rPr>
                                  <w:szCs w:val="24"/>
                                </w:rPr>
                              </w:pPr>
                              <w:sdt>
                                <w:sdtPr>
                                  <w:alias w:val="Numeris"/>
                                  <w:tag w:val="nr_fdf65fd50ab1410ea642edb895d03e63"/>
                                  <w:lock w:val="sdtLocked"/>
                                  <w:richText/>
                                </w:sdtPr>
                                <w:sdtContent>
                                  <w:r>
                                    <w:rPr>
                                      <w:szCs w:val="24"/>
                                    </w:rPr>
                                    <w:t>32.1.1</w:t>
                                  </w:r>
                                </w:sdtContent>
                              </w:sdt>
                              <w:r>
                                <w:rPr>
                                  <w:szCs w:val="24"/>
                                </w:rPr>
                                <w:t>. apskaičiuojant skirtumą tarp Modelio apskaičiuotų tikslinių metų leidžiamų pajamų lygio ir paskutinių metų, einančių prieš naują reguliavimo periodą, kai pajamų lygis apskaičiuojamas su Modelio pagalba, PSO ir STO Komisijos patvirtintų leidžiamų pajamų lygio;</w:t>
                              </w:r>
                            </w:p>
                          </w:sdtContent>
                        </w:sdt>
                        <w:sdt>
                          <w:sdtPr>
                            <w:alias w:val="32.1.2 p."/>
                            <w:tag w:val="part_d3929d752a94465d8224e2be3754d6f8"/>
                            <w:lock w:val="sdtLocked"/>
                            <w:richText/>
                          </w:sdtPr>
                          <w:sdtContent>
                            <w:p>
                              <w:pPr>
                                <w:tabs>
                                  <w:tab w:val="left" w:pos="1134"/>
                                </w:tabs>
                                <w:ind w:firstLine="709"/>
                                <w:jc w:val="both"/>
                                <w:rPr>
                                  <w:szCs w:val="24"/>
                                </w:rPr>
                              </w:pPr>
                              <w:sdt>
                                <w:sdtPr>
                                  <w:alias w:val="Numeris"/>
                                  <w:tag w:val="nr_d3929d752a94465d8224e2be3754d6f8"/>
                                  <w:lock w:val="sdtLocked"/>
                                  <w:richText/>
                                </w:sdtPr>
                                <w:sdtContent>
                                  <w:r>
                                    <w:rPr>
                                      <w:szCs w:val="24"/>
                                    </w:rPr>
                                    <w:t>32.1.2</w:t>
                                  </w:r>
                                </w:sdtContent>
                              </w:sdt>
                              <w:r>
                                <w:rPr>
                                  <w:szCs w:val="24"/>
                                </w:rPr>
                                <w:t xml:space="preserve">. apskaičiuojant nekoreguotas leidžiamas pajamas kiekvieniems reguliavimo periodo metams, </w:t>
                              </w:r>
                              <w:r>
                                <w:rPr>
                                  <w:bCs/>
                                  <w:szCs w:val="24"/>
                                </w:rPr>
                                <w:t xml:space="preserve">Komisijos sprendimu </w:t>
                              </w:r>
                              <w:r>
                                <w:rPr>
                                  <w:szCs w:val="24"/>
                                </w:rPr>
                                <w:t xml:space="preserve">nustatoma tiesinė progresija tarp  </w:t>
                              </w:r>
                              <w:r>
                                <w:rPr>
                                  <w:bCs/>
                                  <w:szCs w:val="24"/>
                                </w:rPr>
                                <w:t>konkrečių</w:t>
                              </w:r>
                              <w:r>
                                <w:rPr>
                                  <w:szCs w:val="24"/>
                                </w:rPr>
                                <w:t xml:space="preserve"> </w:t>
                              </w:r>
                              <w:r>
                                <w:rPr>
                                  <w:bCs/>
                                  <w:szCs w:val="24"/>
                                </w:rPr>
                                <w:t>reguliavimo periodo</w:t>
                              </w:r>
                              <w:r>
                                <w:rPr>
                                  <w:szCs w:val="24"/>
                                </w:rPr>
                                <w:t xml:space="preserve"> metų</w:t>
                              </w:r>
                              <w:r>
                                <w:rPr>
                                  <w:bCs/>
                                  <w:szCs w:val="24"/>
                                </w:rPr>
                                <w:t>, ne ilgesnių už tikslinius metus,</w:t>
                              </w:r>
                              <w:r>
                                <w:rPr>
                                  <w:szCs w:val="24"/>
                                </w:rPr>
                                <w:t xml:space="preserve"> leidžiamų pajamų lygio ir esamų leidžiamų pajamų lygio;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2.2 p."/>
                        <w:tag w:val="part_775942b33c0b49a3a7464b645d7dab9a"/>
                        <w:lock w:val="sdtLocked"/>
                        <w:richText/>
                      </w:sdtPr>
                      <w:sdtContent>
                        <w:p>
                          <w:pPr>
                            <w:tabs>
                              <w:tab w:val="left" w:pos="1134"/>
                            </w:tabs>
                            <w:ind w:firstLine="709"/>
                            <w:jc w:val="both"/>
                            <w:rPr>
                              <w:szCs w:val="24"/>
                            </w:rPr>
                          </w:pPr>
                          <w:sdt>
                            <w:sdtPr>
                              <w:alias w:val="Numeris"/>
                              <w:tag w:val="nr_775942b33c0b49a3a7464b645d7dab9a"/>
                              <w:lock w:val="sdtLocked"/>
                              <w:richText/>
                            </w:sdtPr>
                            <w:sdtContent>
                              <w:r>
                                <w:rPr>
                                  <w:szCs w:val="24"/>
                                  <w:lang w:eastAsia="lt-LT"/>
                                </w:rPr>
                                <w:t>32.2</w:t>
                              </w:r>
                            </w:sdtContent>
                          </w:sdt>
                          <w:r>
                            <w:rPr>
                              <w:szCs w:val="24"/>
                              <w:lang w:eastAsia="lt-LT"/>
                            </w:rPr>
                            <w:t xml:space="preserve">. Modelis apskaičiuoja leidžiamas pajamas esamam turtui, nevertinant per naują reguliavimo periodą planuojamų naujų tikslinių investicijų ir investicijų į neoptimizuotino turto atstatymą.  Naujos tikslinės investicijos gali apimti naujas tarpsistemines jungtis, investicijas, būtinas užtikrinti elektros energijos tiekimo saugumą, ar investicijas, būtinas pagal naujus reguliavimo reikalavimus. Šios investicijos privalo būti suderintos su Komisija pagal Investicijų aprašą.  LRAIC modeliu optimizuotino turto, kuris buvo įvertintas atstatomaisiais kaštais, rekonstrukcija, modernizacija ar atstatymas negali būti įtraukiami kaip investicijos, nes šis turtas įvertintas optimizuojant tinklą Modelyje;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3 p."/>
                        <w:tag w:val="part_0ded615d3e444baa8af9fb424bc49ea5"/>
                        <w:lock w:val="sdtLocked"/>
                        <w:richText/>
                      </w:sdtPr>
                      <w:sdtContent>
                        <w:p>
                          <w:pPr>
                            <w:pStyle w:val="PlainText"/>
                            <w:ind w:firstLine="567"/>
                            <w:jc w:val="both"/>
                            <w:rPr>
                              <w:rFonts w:ascii="Times New Roman" w:hAnsi="Times New Roman"/>
                              <w:b/>
                              <w:bCs/>
                              <w:sz w:val="22"/>
                            </w:rPr>
                          </w:pPr>
                          <w:r>
                            <w:rPr>
                              <w:rFonts w:ascii="Times New Roman" w:hAnsi="Times New Roman"/>
                              <w:sz w:val="22"/>
                            </w:rPr>
                            <w:t>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4 p."/>
                        <w:tag w:val="part_631c52b8f7734f1fa77f10f6afcbb58e"/>
                        <w:lock w:val="sdtLocked"/>
                        <w:richText/>
                      </w:sdtPr>
                      <w:sdtContent>
                        <w:p>
                          <w:pPr>
                            <w:tabs>
                              <w:tab w:val="left" w:pos="1276"/>
                              <w:tab w:val="left" w:pos="1843"/>
                              <w:tab w:val="left" w:pos="2268"/>
                            </w:tabs>
                            <w:ind w:firstLine="709"/>
                            <w:jc w:val="both"/>
                            <w:rPr>
                              <w:szCs w:val="24"/>
                            </w:rPr>
                          </w:pPr>
                          <w:sdt>
                            <w:sdtPr>
                              <w:alias w:val="Numeris"/>
                              <w:tag w:val="nr_631c52b8f7734f1fa77f10f6afcbb58e"/>
                              <w:lock w:val="sdtLocked"/>
                              <w:richText/>
                            </w:sdtPr>
                            <w:sdtContent>
                              <w:r>
                                <w:rPr>
                                  <w:szCs w:val="24"/>
                                </w:rPr>
                                <w:t>32.4</w:t>
                              </w:r>
                            </w:sdtContent>
                          </w:sdt>
                          <w:r>
                            <w:rPr>
                              <w:szCs w:val="24"/>
                            </w:rPr>
                            <w:t>. Metiniai nepagrįstai panaudotų investicijų į reguliuojamų paslaugų ir (ar) produktų turto vertę, turto, įsigyto už dotacijas, Europos Sąjungos struktūrinių fondų ir naujų vartotojų lėšas Kapitalo kaštai kaip nurodyta Metodikos 7.2.4 ir 7.2.5 punktuose, privalo būti eliminuoti iš Modeliu apskaičiuoto leidžiamų pajamų rezultato, kadangi šis turtas yra įtrauktas į Modelį. Kapitalo kaštai eliminuojami paskaičiuojant juos pagal tinklo elementų grupę ar konkretų tinklo elementą;</w:t>
                          </w:r>
                        </w:p>
                      </w:sdtContent>
                    </w:sdt>
                  </w:sdtContent>
                </w:sdt>
                <w:sdt>
                  <w:sdtPr>
                    <w:alias w:val="33 p."/>
                    <w:tag w:val="part_d4a67b134cc449d7aa2cc7e5b74a4cf4"/>
                    <w:lock w:val="sdtLocked"/>
                    <w:richText/>
                  </w:sdtPr>
                  <w:sdtContent>
                    <w:p>
                      <w:pPr>
                        <w:tabs>
                          <w:tab w:val="left" w:pos="1080"/>
                          <w:tab w:val="left" w:pos="1418"/>
                          <w:tab w:val="left" w:pos="1843"/>
                          <w:tab w:val="left" w:pos="2268"/>
                        </w:tabs>
                        <w:ind w:firstLine="709"/>
                        <w:jc w:val="both"/>
                        <w:rPr>
                          <w:szCs w:val="24"/>
                        </w:rPr>
                      </w:pPr>
                      <w:sdt>
                        <w:sdtPr>
                          <w:alias w:val="Numeris"/>
                          <w:tag w:val="nr_d4a67b134cc449d7aa2cc7e5b74a4cf4"/>
                          <w:lock w:val="sdtLocked"/>
                          <w:richText/>
                        </w:sdtPr>
                        <w:sdtContent>
                          <w:r>
                            <w:rPr>
                              <w:szCs w:val="24"/>
                            </w:rPr>
                            <w:t>33</w:t>
                          </w:r>
                        </w:sdtContent>
                      </w:sdt>
                      <w:r>
                        <w:rPr>
                          <w:szCs w:val="24"/>
                        </w:rPr>
                        <w:t>. PSO ar STO leidžiamų pajamų, nustatytų Modelio pagalba, padidinimai ar sumažinimai per reguliavimo periodą gali būti atliekami:</w:t>
                      </w:r>
                      <w:r>
                        <w:t xml:space="preserve">     </w:t>
                      </w:r>
                    </w:p>
                    <w:sdt>
                      <w:sdtPr>
                        <w:alias w:val="33.1 p."/>
                        <w:tag w:val="part_08ad5e8ff6684d01a824b6b5379466f3"/>
                        <w:lock w:val="sdtLocked"/>
                        <w:richText/>
                      </w:sdtPr>
                      <w:sdtContent>
                        <w:p>
                          <w:pPr>
                            <w:tabs>
                              <w:tab w:val="left" w:pos="1276"/>
                              <w:tab w:val="left" w:pos="1843"/>
                              <w:tab w:val="left" w:pos="2268"/>
                            </w:tabs>
                            <w:ind w:firstLine="709"/>
                            <w:jc w:val="both"/>
                            <w:rPr>
                              <w:szCs w:val="24"/>
                            </w:rPr>
                          </w:pPr>
                          <w:sdt>
                            <w:sdtPr>
                              <w:alias w:val="Numeris"/>
                              <w:tag w:val="nr_08ad5e8ff6684d01a824b6b5379466f3"/>
                              <w:lock w:val="sdtLocked"/>
                              <w:richText/>
                            </w:sdtPr>
                            <w:sdtContent>
                              <w:r>
                                <w:rPr>
                                  <w:szCs w:val="24"/>
                                </w:rPr>
                                <w:t>33.1</w:t>
                              </w:r>
                            </w:sdtContent>
                          </w:sdt>
                          <w:r>
                            <w:rPr>
                              <w:szCs w:val="24"/>
                            </w:rPr>
                            <w:t>. Įmonėms viršijus Komisijos apskaičiuotą leistiną protingumo kriterijų atitinkančią investicijų grąžą, apskaičiuotą atsižvelgiant į Metodikos 16 punkto nuostatas;</w:t>
                          </w:r>
                        </w:p>
                      </w:sdtContent>
                    </w:sdt>
                    <w:sdt>
                      <w:sdtPr>
                        <w:alias w:val="33.2 p."/>
                        <w:tag w:val="part_b6b166c6aaee4db99c411ee28995f9f7"/>
                        <w:lock w:val="sdtLocked"/>
                        <w:richText/>
                      </w:sdtPr>
                      <w:sdtContent>
                        <w:p>
                          <w:pPr>
                            <w:tabs>
                              <w:tab w:val="left" w:pos="1276"/>
                              <w:tab w:val="left" w:pos="1843"/>
                              <w:tab w:val="left" w:pos="2268"/>
                            </w:tabs>
                            <w:ind w:firstLine="709"/>
                            <w:jc w:val="both"/>
                            <w:rPr>
                              <w:szCs w:val="24"/>
                            </w:rPr>
                          </w:pPr>
                          <w:sdt>
                            <w:sdtPr>
                              <w:alias w:val="Numeris"/>
                              <w:tag w:val="nr_b6b166c6aaee4db99c411ee28995f9f7"/>
                              <w:lock w:val="sdtLocked"/>
                              <w:richText/>
                            </w:sdtPr>
                            <w:sdtContent>
                              <w:r>
                                <w:rPr>
                                  <w:szCs w:val="24"/>
                                </w:rPr>
                                <w:t>33.2</w:t>
                              </w:r>
                            </w:sdtContent>
                          </w:sdt>
                          <w:r>
                            <w:rPr>
                              <w:szCs w:val="24"/>
                            </w:rPr>
                            <w:t>. dėl teisės aktų pasikeitimo;</w:t>
                          </w:r>
                        </w:p>
                      </w:sdtContent>
                    </w:sdt>
                    <w:sdt>
                      <w:sdtPr>
                        <w:alias w:val="33.3 p."/>
                        <w:tag w:val="part_1afe28fad7664a0b8072da77c110c02a"/>
                        <w:lock w:val="sdtLocked"/>
                        <w:richText/>
                      </w:sdtPr>
                      <w:sdtContent>
                        <w:p>
                          <w:pPr>
                            <w:pStyle w:val="PlainText"/>
                            <w:ind w:firstLine="567"/>
                            <w:jc w:val="both"/>
                            <w:rPr>
                              <w:rFonts w:ascii="Times New Roman" w:hAnsi="Times New Roman"/>
                              <w:b/>
                              <w:bCs/>
                              <w:sz w:val="22"/>
                            </w:rPr>
                          </w:pPr>
                          <w:r>
                            <w:rPr>
                              <w:rFonts w:ascii="Times New Roman" w:hAnsi="Times New Roman"/>
                              <w:sz w:val="22"/>
                            </w:rPr>
                            <w:t>33.3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4 p."/>
                        <w:tag w:val="part_de23b2d4999e43fd9e870fee30e4a37d"/>
                        <w:lock w:val="sdtLocked"/>
                        <w:richText/>
                      </w:sdtPr>
                      <w:sdtContent>
                        <w:p>
                          <w:pPr>
                            <w:tabs>
                              <w:tab w:val="left" w:pos="1276"/>
                              <w:tab w:val="left" w:pos="1843"/>
                              <w:tab w:val="left" w:pos="2268"/>
                            </w:tabs>
                            <w:ind w:firstLine="709"/>
                            <w:jc w:val="both"/>
                            <w:rPr>
                              <w:szCs w:val="24"/>
                            </w:rPr>
                          </w:pPr>
                          <w:sdt>
                            <w:sdtPr>
                              <w:alias w:val="Numeris"/>
                              <w:tag w:val="nr_de23b2d4999e43fd9e870fee30e4a37d"/>
                              <w:lock w:val="sdtLocked"/>
                              <w:richText/>
                            </w:sdtPr>
                            <w:sdtContent>
                              <w:r>
                                <w:rPr>
                                  <w:szCs w:val="24"/>
                                </w:rPr>
                                <w:t>33.4</w:t>
                              </w:r>
                            </w:sdtContent>
                          </w:sdt>
                          <w:r>
                            <w:rPr>
                              <w:szCs w:val="24"/>
                            </w:rPr>
                            <w:t>. Įmonei įvykdžius Komisijos nustatytus uždavinius, susijusius su teikiamų paslaugų kokybės rodiklių įgyvendinimu, ar jų neįvykdžius;</w:t>
                          </w:r>
                        </w:p>
                      </w:sdtContent>
                    </w:sdt>
                    <w:sdt>
                      <w:sdtPr>
                        <w:alias w:val="33.5 p."/>
                        <w:tag w:val="part_2fc9d2fe933e4b2099557898dc5b1ae9"/>
                        <w:lock w:val="sdtLocked"/>
                        <w:richText/>
                      </w:sdtPr>
                      <w:sdtContent>
                        <w:p>
                          <w:pPr>
                            <w:tabs>
                              <w:tab w:val="left" w:pos="993"/>
                            </w:tabs>
                            <w:ind w:firstLine="709"/>
                            <w:jc w:val="both"/>
                            <w:rPr>
                              <w:szCs w:val="24"/>
                            </w:rPr>
                          </w:pPr>
                          <w:sdt>
                            <w:sdtPr>
                              <w:alias w:val="Numeris"/>
                              <w:tag w:val="nr_2fc9d2fe933e4b2099557898dc5b1ae9"/>
                              <w:lock w:val="sdtLocked"/>
                              <w:richText/>
                            </w:sdtPr>
                            <w:sdtContent>
                              <w:r>
                                <w:rPr>
                                  <w:szCs w:val="24"/>
                                </w:rPr>
                                <w:t>33.5</w:t>
                              </w:r>
                            </w:sdtContent>
                          </w:sdt>
                          <w:r>
                            <w:rPr>
                              <w:szCs w:val="24"/>
                            </w:rPr>
                            <w:t>. dėl faktinių Įmonės gautų pajamų susijusių su reguliuojamų perdavimo ir skirstymo paslaugų ir (ar) produktų teikimu, kuriems teikti naudojami ar nenaudojami reguliuojamos veiklos ištekliai dydžio neatitikties prognozuotam dydžiui;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6 p."/>
                        <w:tag w:val="part_57589ad491734e1a889f5f1aa99414d8"/>
                        <w:lock w:val="sdtLocked"/>
                        <w:richText/>
                      </w:sdtPr>
                      <w:sdtContent>
                        <w:p>
                          <w:pPr>
                            <w:tabs>
                              <w:tab w:val="left" w:pos="1276"/>
                              <w:tab w:val="left" w:pos="1843"/>
                              <w:tab w:val="left" w:pos="2268"/>
                            </w:tabs>
                            <w:ind w:firstLine="709"/>
                            <w:jc w:val="both"/>
                            <w:rPr>
                              <w:szCs w:val="24"/>
                            </w:rPr>
                          </w:pPr>
                          <w:sdt>
                            <w:sdtPr>
                              <w:alias w:val="Numeris"/>
                              <w:tag w:val="nr_57589ad491734e1a889f5f1aa99414d8"/>
                              <w:lock w:val="sdtLocked"/>
                              <w:richText/>
                            </w:sdtPr>
                            <w:sdtContent>
                              <w:r>
                                <w:rPr>
                                  <w:szCs w:val="24"/>
                                </w:rPr>
                                <w:t>33.6</w:t>
                              </w:r>
                            </w:sdtContent>
                          </w:sdt>
                          <w:r>
                            <w:rPr>
                              <w:szCs w:val="24"/>
                            </w:rPr>
                            <w:t>. dėl faktinių mokesčių dydžio neatitikties prognozuotam atitinkamų reguliavimo metų mokesčių dydžiui ar atsiradus naujiems mokesčiams;</w:t>
                          </w:r>
                        </w:p>
                      </w:sdtContent>
                    </w:sdt>
                    <w:sdt>
                      <w:sdtPr>
                        <w:alias w:val="33.7 p."/>
                        <w:tag w:val="part_719d3032019548f88367a2e91a005bc1"/>
                        <w:lock w:val="sdtLocked"/>
                        <w:richText/>
                      </w:sdtPr>
                      <w:sdtContent>
                        <w:p>
                          <w:pPr>
                            <w:tabs>
                              <w:tab w:val="left" w:pos="993"/>
                            </w:tabs>
                            <w:ind w:firstLine="709"/>
                            <w:jc w:val="both"/>
                          </w:pPr>
                          <w:sdt>
                            <w:sdtPr>
                              <w:alias w:val="Numeris"/>
                              <w:tag w:val="nr_719d3032019548f88367a2e91a005bc1"/>
                              <w:lock w:val="sdtLocked"/>
                              <w:richText/>
                            </w:sdtPr>
                            <w:sdtContent>
                              <w:r>
                                <w:rPr>
                                  <w:szCs w:val="24"/>
                                </w:rPr>
                                <w:t>33.7</w:t>
                              </w:r>
                            </w:sdtContent>
                          </w:sdt>
                          <w:r>
                            <w:rPr>
                              <w:szCs w:val="24"/>
                            </w:rPr>
                            <w:t xml:space="preserve">. kaštų elektros energijos sąnaudoms technologiniuose įrenginiuose ir savoms reikmėms padengti  dydžio skirtumo, nulemto neatitikties tarp faktinės ir prognozuotos elektros energijos kainos bei kiekio, jeigu Įmonė pagrindė šio kiekio ir kainos pokytį objektyviais nuo Įmonės nepriklausančiais veiksniais;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8 p."/>
                        <w:tag w:val="part_901564fb174a4ebea53f0f0cc8e4efe3"/>
                        <w:lock w:val="sdtLocked"/>
                        <w:richText/>
                      </w:sdtPr>
                      <w:sdtContent>
                        <w:p>
                          <w:pPr>
                            <w:tabs>
                              <w:tab w:val="left" w:pos="993"/>
                            </w:tabs>
                            <w:ind w:firstLine="709"/>
                            <w:jc w:val="both"/>
                          </w:pPr>
                          <w:sdt>
                            <w:sdtPr>
                              <w:alias w:val="Numeris"/>
                              <w:tag w:val="nr_901564fb174a4ebea53f0f0cc8e4efe3"/>
                              <w:lock w:val="sdtLocked"/>
                              <w:richText/>
                            </w:sdtPr>
                            <w:sdtContent>
                              <w:r>
                                <w:rPr>
                                  <w:szCs w:val="24"/>
                                </w:rPr>
                                <w:t>33.8</w:t>
                              </w:r>
                            </w:sdtContent>
                          </w:sdt>
                          <w:r>
                            <w:rPr>
                              <w:szCs w:val="24"/>
                            </w:rPr>
                            <w:t>. dėl faktinių Įmonės gautų pajamų iš naudojimosi jungiamosiomis linijomis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9 p."/>
                        <w:tag w:val="part_31ea2d1ce64540b09d194e1b823266fd"/>
                        <w:lock w:val="sdtLocked"/>
                        <w:richText/>
                      </w:sdtPr>
                      <w:sdtContent>
                        <w:p>
                          <w:pPr>
                            <w:tabs>
                              <w:tab w:val="left" w:pos="993"/>
                            </w:tabs>
                            <w:ind w:firstLine="709"/>
                            <w:jc w:val="both"/>
                          </w:pPr>
                          <w:sdt>
                            <w:sdtPr>
                              <w:alias w:val="Numeris"/>
                              <w:tag w:val="nr_31ea2d1ce64540b09d194e1b823266fd"/>
                              <w:lock w:val="sdtLocked"/>
                              <w:richText/>
                            </w:sdtPr>
                            <w:sdtContent>
                              <w:r>
                                <w:rPr>
                                  <w:szCs w:val="24"/>
                                </w:rPr>
                                <w:t>33.9</w:t>
                              </w:r>
                            </w:sdtContent>
                          </w:sdt>
                          <w:r>
                            <w:rPr>
                              <w:szCs w:val="24"/>
                            </w:rPr>
                            <w:t>. dėl nurašomo, perleidžiamo, išimamo iš eksploatacijos, bet į Modelį įtraukto neoptimizuotino turto, kaštų prognozės ir fakto neatitikties;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0 p."/>
                        <w:tag w:val="part_fc96212be3334822a297ad0853d567ee"/>
                        <w:lock w:val="sdtLocked"/>
                        <w:richText/>
                      </w:sdtPr>
                      <w:sdtContent>
                        <w:p>
                          <w:pPr>
                            <w:tabs>
                              <w:tab w:val="left" w:pos="993"/>
                            </w:tabs>
                            <w:ind w:firstLine="709"/>
                            <w:jc w:val="both"/>
                          </w:pPr>
                          <w:sdt>
                            <w:sdtPr>
                              <w:alias w:val="Numeris"/>
                              <w:tag w:val="nr_fc96212be3334822a297ad0853d567ee"/>
                              <w:lock w:val="sdtLocked"/>
                              <w:richText/>
                            </w:sdtPr>
                            <w:sdtContent>
                              <w:r>
                                <w:rPr>
                                  <w:szCs w:val="24"/>
                                </w:rPr>
                                <w:t>33.10</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kaštų prognozės ir fakto neatitikties;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1 p."/>
                        <w:tag w:val="part_343c8615f22b475ca2c560314c84c20d"/>
                        <w:lock w:val="sdtLocked"/>
                        <w:richText/>
                      </w:sdtPr>
                      <w:sdtContent>
                        <w:p>
                          <w:pPr>
                            <w:tabs>
                              <w:tab w:val="left" w:pos="1134"/>
                            </w:tabs>
                            <w:ind w:firstLine="709"/>
                            <w:jc w:val="both"/>
                          </w:pPr>
                          <w:sdt>
                            <w:sdtPr>
                              <w:alias w:val="Numeris"/>
                              <w:tag w:val="nr_343c8615f22b475ca2c560314c84c20d"/>
                              <w:lock w:val="sdtLocked"/>
                              <w:richText/>
                            </w:sdtPr>
                            <w:sdtContent>
                              <w:r>
                                <w:rPr>
                                  <w:szCs w:val="24"/>
                                </w:rPr>
                                <w:t>33.11</w:t>
                              </w:r>
                            </w:sdtContent>
                          </w:sdt>
                          <w:r>
                            <w:rPr>
                              <w:szCs w:val="24"/>
                            </w:rPr>
                            <w:t>. dėl nepagrįstai panaudotų investicijų, dotacijomis, subsidijomis, Europos Sąjungos struktūrinių fondų lėšomis, elektros energijos vartotojų ir gamintojų lėšomis finansuojamo turto nusidėvėjimo sąnaudų ir investicijų grąžos prognozės ir fakto neatitikties;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2 p."/>
                        <w:tag w:val="part_ad833366d1b44a0c9194f8dd97d441bb"/>
                        <w:lock w:val="sdtLocked"/>
                        <w:richText/>
                      </w:sdtPr>
                      <w:sdtContent>
                        <w:p>
                          <w:pPr>
                            <w:tabs>
                              <w:tab w:val="left" w:pos="1134"/>
                            </w:tabs>
                            <w:ind w:firstLine="709"/>
                            <w:jc w:val="both"/>
                          </w:pPr>
                          <w:sdt>
                            <w:sdtPr>
                              <w:alias w:val="Numeris"/>
                              <w:tag w:val="nr_ad833366d1b44a0c9194f8dd97d441bb"/>
                              <w:lock w:val="sdtLocked"/>
                              <w:richText/>
                            </w:sdtPr>
                            <w:sdtContent>
                              <w:r>
                                <w:rPr>
                                  <w:szCs w:val="24"/>
                                </w:rPr>
                                <w:t>33.12</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nurašomo, perleidžiamo, išimamo iš eksploatacijos, bet į Modelį įtraukto neoptimizuotino turto, nepagrįstai panaudotų investicijų, dotacijomis, subsidijomis, Europos Sąjungos struktūrinių fondų lėšomis, elektros energijos vartotojų ir gamintojų lėšomis finansuojamo turto nusidėvėjimo sąnaudų ir investicijų grąžos pasikeitimų, apskaičiuojamų kaip reguliavimo periodui nustatyto tokio turto kaštų ir nuo tokio turto likutinės vertės einamųjų metų pabaigai kaštų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3 p."/>
                        <w:tag w:val="part_313f786a0f664b8a9973c69e43554b8a"/>
                        <w:lock w:val="sdtLocked"/>
                        <w:richText/>
                      </w:sdtPr>
                      <w:sdtContent>
                        <w:p>
                          <w:pPr>
                            <w:tabs>
                              <w:tab w:val="left" w:pos="1276"/>
                            </w:tabs>
                            <w:ind w:firstLine="709"/>
                            <w:jc w:val="both"/>
                          </w:pPr>
                          <w:sdt>
                            <w:sdtPr>
                              <w:alias w:val="Numeris"/>
                              <w:tag w:val="nr_313f786a0f664b8a9973c69e43554b8a"/>
                              <w:lock w:val="sdtLocked"/>
                              <w:richText/>
                            </w:sdtPr>
                            <w:sdtContent>
                              <w:r>
                                <w:rPr>
                                  <w:szCs w:val="24"/>
                                </w:rPr>
                                <w:t>33.13</w:t>
                              </w:r>
                            </w:sdtContent>
                          </w:sdt>
                          <w:r>
                            <w:rPr>
                              <w:szCs w:val="24"/>
                            </w:rPr>
                            <w:t>. dėl prognozuotų ir faktinių pajamų iš elektros energijos tarptautinio tranzito ir įėjimo į Lietuvos Respublikos elektros energijos rinką neatitikties;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4 p."/>
                        <w:tag w:val="part_528b67d38a1341eda79fd7ead17b10ad"/>
                        <w:lock w:val="sdtLocked"/>
                        <w:richText/>
                      </w:sdtPr>
                      <w:sdtContent>
                        <w:p>
                          <w:pPr>
                            <w:tabs>
                              <w:tab w:val="left" w:pos="1276"/>
                            </w:tabs>
                            <w:ind w:firstLine="709"/>
                            <w:jc w:val="both"/>
                          </w:pPr>
                          <w:sdt>
                            <w:sdtPr>
                              <w:alias w:val="Numeris"/>
                              <w:tag w:val="nr_528b67d38a1341eda79fd7ead17b10ad"/>
                              <w:lock w:val="sdtLocked"/>
                              <w:richText/>
                            </w:sdtPr>
                            <w:sdtContent>
                              <w:r>
                                <w:rPr>
                                  <w:szCs w:val="24"/>
                                </w:rPr>
                                <w:t>33.14</w:t>
                              </w:r>
                            </w:sdtContent>
                          </w:sdt>
                          <w:r>
                            <w:rPr>
                              <w:szCs w:val="24"/>
                            </w:rPr>
                            <w:t>. dėl skirtumo tarp prognozuoto ir faktinio PSO nacionalinės balansavimo funkcijos veiklos rezultato;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5 p."/>
                        <w:tag w:val="part_253404aba63e4742b4779d1c8a806f3d"/>
                        <w:lock w:val="sdtLocked"/>
                        <w:richText/>
                      </w:sdtPr>
                      <w:sdtContent>
                        <w:p>
                          <w:pPr>
                            <w:tabs>
                              <w:tab w:val="left" w:pos="1134"/>
                            </w:tabs>
                            <w:ind w:firstLine="709"/>
                            <w:jc w:val="both"/>
                          </w:pPr>
                          <w:sdt>
                            <w:sdtPr>
                              <w:alias w:val="Numeris"/>
                              <w:tag w:val="nr_253404aba63e4742b4779d1c8a806f3d"/>
                              <w:lock w:val="sdtLocked"/>
                              <w:richText/>
                            </w:sdtPr>
                            <w:sdtContent>
                              <w:r>
                                <w:rPr>
                                  <w:szCs w:val="24"/>
                                </w:rPr>
                                <w:t>33.15</w:t>
                              </w:r>
                            </w:sdtContent>
                          </w:sdt>
                          <w:r>
                            <w:rPr>
                              <w:szCs w:val="24"/>
                            </w:rPr>
                            <w:t>. dėl OPEX koregavimo Finansų ministerijos prognozuojamos infliacijos ir vidutinio darbo užmokesčio pokyčio bei nustatyto efektyvumo koeficiento dydžiu. Darbo užmokesčio atveju koregavimo indeksas yra nominalus vidutinio darbo užmokesčio pokytis, kitų OPEX kaštų atveju suderintas vartotojų kainų indeksas;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6 p."/>
                        <w:tag w:val="part_a005f858e5cc4b91a80db424b10547f6"/>
                        <w:lock w:val="sdtLocked"/>
                        <w:richText/>
                      </w:sdtPr>
                      <w:sdtContent>
                        <w:p>
                          <w:pPr>
                            <w:ind w:firstLine="709"/>
                            <w:jc w:val="both"/>
                            <w:rPr>
                              <w:szCs w:val="24"/>
                            </w:rPr>
                          </w:pPr>
                          <w:sdt>
                            <w:sdtPr>
                              <w:alias w:val="Numeris"/>
                              <w:tag w:val="nr_a005f858e5cc4b91a80db424b10547f6"/>
                              <w:lock w:val="sdtLocked"/>
                              <w:richText/>
                            </w:sdtPr>
                            <w:sdtContent>
                              <w:r>
                                <w:rPr>
                                  <w:szCs w:val="24"/>
                                  <w:lang w:eastAsia="lt-LT"/>
                                </w:rPr>
                                <w:t>33.16</w:t>
                              </w:r>
                            </w:sdtContent>
                          </w:sdt>
                          <w:r>
                            <w:rPr>
                              <w:szCs w:val="24"/>
                              <w:lang w:eastAsia="lt-LT"/>
                            </w:rPr>
                            <w:t xml:space="preserve"> dėl OPEX koregavimo dėl skirtumo tarp faktinės ir prognozuotos infliacijos</w:t>
                          </w:r>
                          <w:r>
                            <w:rPr>
                              <w:szCs w:val="24"/>
                            </w:rPr>
                            <w:t xml:space="preserve"> </w:t>
                          </w:r>
                          <w:r>
                            <w:rPr>
                              <w:szCs w:val="24"/>
                              <w:lang w:eastAsia="lt-LT"/>
                            </w:rPr>
                            <w:t>ir vidutinio darbo užmokesčio pokyčio;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7 p."/>
                        <w:tag w:val="part_e12a5fee30d046b59815f7f5c0acfc11"/>
                        <w:lock w:val="sdtLocked"/>
                        <w:richText/>
                      </w:sdtPr>
                      <w:sdtContent>
                        <w:p>
                          <w:pPr>
                            <w:tabs>
                              <w:tab w:val="left" w:pos="1276"/>
                              <w:tab w:val="left" w:pos="1843"/>
                              <w:tab w:val="left" w:pos="2268"/>
                            </w:tabs>
                            <w:ind w:firstLine="709"/>
                            <w:jc w:val="both"/>
                          </w:pPr>
                          <w:sdt>
                            <w:sdtPr>
                              <w:alias w:val="Numeris"/>
                              <w:tag w:val="nr_e12a5fee30d046b59815f7f5c0acfc11"/>
                              <w:lock w:val="sdtLocked"/>
                              <w:richText/>
                            </w:sdtPr>
                            <w:sdtContent>
                              <w:r>
                                <w:rPr>
                                  <w:szCs w:val="24"/>
                                </w:rPr>
                                <w:t>33.17</w:t>
                              </w:r>
                            </w:sdtContent>
                          </w:sdt>
                          <w:r>
                            <w:rPr>
                              <w:szCs w:val="24"/>
                            </w:rPr>
                            <w:t>. kitais šioje Metodikoje nustatytais būdais.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irsnis"/>
                <w:tag w:val="part_8ed38321041443e4bc3b4a48d4786259"/>
                <w:lock w:val="sdtLocked"/>
                <w:richText/>
              </w:sdtPr>
              <w:sdtContent>
                <w:p>
                  <w:pPr>
                    <w:tabs>
                      <w:tab w:val="left" w:pos="1134"/>
                      <w:tab w:val="left" w:pos="1843"/>
                      <w:tab w:val="left" w:pos="2268"/>
                    </w:tabs>
                    <w:jc w:val="center"/>
                    <w:rPr>
                      <w:b/>
                      <w:szCs w:val="24"/>
                    </w:rPr>
                  </w:pPr>
                  <w:sdt>
                    <w:sdtPr>
                      <w:alias w:val="Numeris"/>
                      <w:tag w:val="nr_8ed38321041443e4bc3b4a48d4786259"/>
                      <w:lock w:val="sdtLocked"/>
                      <w:richText/>
                    </w:sdtPr>
                    <w:sdtContent>
                      <w:r>
                        <w:rPr>
                          <w:b/>
                          <w:szCs w:val="24"/>
                        </w:rPr>
                        <w:t>ANTRASIS</w:t>
                      </w:r>
                    </w:sdtContent>
                  </w:sdt>
                  <w:r>
                    <w:rPr>
                      <w:b/>
                      <w:szCs w:val="24"/>
                    </w:rPr>
                    <w:t xml:space="preserve"> SKIRSNIS</w:t>
                  </w:r>
                </w:p>
                <w:p>
                  <w:pPr>
                    <w:tabs>
                      <w:tab w:val="left" w:pos="1134"/>
                      <w:tab w:val="left" w:pos="1843"/>
                      <w:tab w:val="left" w:pos="2268"/>
                    </w:tabs>
                    <w:jc w:val="center"/>
                    <w:rPr>
                      <w:b/>
                      <w:szCs w:val="24"/>
                    </w:rPr>
                  </w:pPr>
                  <w:sdt>
                    <w:sdtPr>
                      <w:alias w:val="Pavadinimas"/>
                      <w:tag w:val="title_8ed38321041443e4bc3b4a48d4786259"/>
                      <w:lock w:val="sdtLocked"/>
                      <w:richText/>
                    </w:sdtPr>
                    <w:sdtContent>
                      <w:r>
                        <w:rPr>
                          <w:b/>
                          <w:szCs w:val="24"/>
                        </w:rPr>
                        <w:t>PERDAVIMO AUKŠTOS ĮTAMPOS TINKLAIS PASLAUGOS KAINODARA</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34 p."/>
                    <w:tag w:val="part_ffa33668b8754ef880c10d0ae79e1559"/>
                    <w:lock w:val="sdtLocked"/>
                    <w:richText/>
                  </w:sdtPr>
                  <w:sdtContent>
                    <w:p>
                      <w:pPr>
                        <w:tabs>
                          <w:tab w:val="left" w:pos="1134"/>
                          <w:tab w:val="left" w:pos="1843"/>
                          <w:tab w:val="left" w:pos="2268"/>
                        </w:tabs>
                        <w:ind w:firstLine="709"/>
                        <w:jc w:val="both"/>
                        <w:rPr>
                          <w:szCs w:val="24"/>
                        </w:rPr>
                      </w:pPr>
                      <w:sdt>
                        <w:sdtPr>
                          <w:alias w:val="Numeris"/>
                          <w:tag w:val="nr_ffa33668b8754ef880c10d0ae79e1559"/>
                          <w:lock w:val="sdtLocked"/>
                          <w:richText/>
                        </w:sdtPr>
                        <w:sdtContent>
                          <w:r>
                            <w:rPr>
                              <w:szCs w:val="24"/>
                            </w:rPr>
                            <w:t>34</w:t>
                          </w:r>
                        </w:sdtContent>
                      </w:sdt>
                      <w:r>
                        <w:rPr>
                          <w:szCs w:val="24"/>
                        </w:rPr>
                        <w:t>. Prieš apskaičiuojant perdavimo paslaugos aukštos įtampos (toliau – AĮ) tinklais kainos viršutinę ribą turi būti apskaičiuotos nekoreguotos leidžiamos pajamos, o po jų – galutinės PSO leidžiamos pajamos, apskaičiuojamos naudojant Modelį, kuris sumodeliuoja tinklą, atsižvelgiant į būsimą elektros energijos paklausą bei įvertinus Metodikos 33 punkte nustatytus leidžiamų pajamų padidinimo ar sumažinimo kriterijus.</w:t>
                      </w:r>
                    </w:p>
                  </w:sdtContent>
                </w:sdt>
                <w:sdt>
                  <w:sdtPr>
                    <w:alias w:val="35 p."/>
                    <w:tag w:val="part_dd510abff70a4479939c5d3f221b0f01"/>
                    <w:lock w:val="sdtLocked"/>
                    <w:richText/>
                  </w:sdtPr>
                  <w:sdtContent>
                    <w:p>
                      <w:pPr>
                        <w:tabs>
                          <w:tab w:val="left" w:pos="1080"/>
                        </w:tabs>
                        <w:ind w:firstLine="720"/>
                        <w:jc w:val="both"/>
                        <w:rPr>
                          <w:szCs w:val="24"/>
                        </w:rPr>
                      </w:pPr>
                      <w:sdt>
                        <w:sdtPr>
                          <w:alias w:val="Numeris"/>
                          <w:tag w:val="nr_dd510abff70a4479939c5d3f221b0f01"/>
                          <w:lock w:val="sdtLocked"/>
                          <w:richText/>
                        </w:sdtPr>
                        <w:sdtContent>
                          <w:r>
                            <w:rPr>
                              <w:szCs w:val="24"/>
                            </w:rPr>
                            <w:t>35</w:t>
                          </w:r>
                        </w:sdtContent>
                      </w:sdt>
                      <w:r>
                        <w:rPr>
                          <w:szCs w:val="24"/>
                        </w:rPr>
                        <w:t>. PSO bendros leidžiamos paskutinių nustatomo reguliavimo periodo metų pajamos, susideda iš 2 dalių:</w:t>
                      </w:r>
                    </w:p>
                    <w:sdt>
                      <w:sdtPr>
                        <w:alias w:val="35.1 p."/>
                        <w:tag w:val="part_2518e94d39814822bdf99504ee913d30"/>
                        <w:lock w:val="sdtLocked"/>
                        <w:richText/>
                      </w:sdtPr>
                      <w:sdtContent>
                        <w:p>
                          <w:pPr>
                            <w:tabs>
                              <w:tab w:val="left" w:pos="1134"/>
                            </w:tabs>
                            <w:ind w:firstLine="709"/>
                            <w:jc w:val="both"/>
                            <w:rPr>
                              <w:szCs w:val="24"/>
                            </w:rPr>
                          </w:pPr>
                          <w:sdt>
                            <w:sdtPr>
                              <w:alias w:val="Numeris"/>
                              <w:tag w:val="nr_2518e94d39814822bdf99504ee913d30"/>
                              <w:lock w:val="sdtLocked"/>
                              <w:richText/>
                            </w:sdtPr>
                            <w:sdtContent>
                              <w:r>
                                <w:rPr>
                                  <w:szCs w:val="24"/>
                                </w:rPr>
                                <w:t>35.1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5.2 p."/>
                        <w:tag w:val="part_be5ee7e61886424a9d027273c19659e2"/>
                        <w:lock w:val="sdtLocked"/>
                        <w:richText/>
                      </w:sdtPr>
                      <w:sdtContent>
                        <w:p>
                          <w:pPr>
                            <w:tabs>
                              <w:tab w:val="left" w:pos="1134"/>
                            </w:tabs>
                            <w:ind w:firstLine="709"/>
                            <w:jc w:val="both"/>
                            <w:rPr>
                              <w:szCs w:val="24"/>
                            </w:rPr>
                          </w:pPr>
                          <w:sdt>
                            <w:sdtPr>
                              <w:alias w:val="Numeris"/>
                              <w:tag w:val="nr_be5ee7e61886424a9d027273c19659e2"/>
                              <w:lock w:val="sdtLocked"/>
                              <w:richText/>
                            </w:sdtPr>
                            <w:sdtContent>
                              <w:r>
                                <w:rPr>
                                  <w:szCs w:val="24"/>
                                </w:rPr>
                                <w:t>35.2</w:t>
                              </w:r>
                            </w:sdtContent>
                          </w:sdt>
                          <w:r>
                            <w:rPr>
                              <w:szCs w:val="24"/>
                            </w:rPr>
                            <w:t xml:space="preserve">. metinio OPEX, kuris apskaičiuojamas  Metodikos 8 punkte nustatyta tvarka  įvertinus planinį infliacijos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6 p."/>
                    <w:tag w:val="part_a0204c11b3ed4dad9d679ed5ef400b1b"/>
                    <w:lock w:val="sdtLocked"/>
                    <w:richText/>
                  </w:sdtPr>
                  <w:sdtContent>
                    <w:p>
                      <w:pPr>
                        <w:tabs>
                          <w:tab w:val="left" w:pos="1134"/>
                        </w:tabs>
                        <w:ind w:firstLine="709"/>
                        <w:jc w:val="both"/>
                        <w:rPr>
                          <w:szCs w:val="24"/>
                        </w:rPr>
                      </w:pPr>
                      <w:sdt>
                        <w:sdtPr>
                          <w:alias w:val="Numeris"/>
                          <w:tag w:val="nr_a0204c11b3ed4dad9d679ed5ef400b1b"/>
                          <w:lock w:val="sdtLocked"/>
                          <w:richText/>
                        </w:sdtPr>
                        <w:sdtContent>
                          <w:r>
                            <w:rPr>
                              <w:szCs w:val="24"/>
                            </w:rPr>
                            <w:t>36</w:t>
                          </w:r>
                        </w:sdtContent>
                      </w:sdt>
                      <w:r>
                        <w:rPr>
                          <w:szCs w:val="24"/>
                        </w:rPr>
                        <w:t>. Pirmiausia Modelis apskaičiuoja bendras PSO leidžiamas t metų nekoreguotas pajamas. Bendros PSO leidžiamos pajamos apskaičiuojamos pagal formulę:</w:t>
                      </w:r>
                    </w:p>
                    <w:p>
                      <w:pPr>
                        <w:tabs>
                          <w:tab w:val="left" w:pos="1134"/>
                        </w:tabs>
                        <w:ind w:firstLine="709"/>
                        <w:jc w:val="both"/>
                        <w:rPr>
                          <w:szCs w:val="24"/>
                        </w:rPr>
                      </w:pPr>
                    </w:p>
                    <w:p>
                      <w:pPr>
                        <w:tabs>
                          <w:tab w:val="left" w:pos="1134"/>
                        </w:tabs>
                        <w:ind w:firstLine="2160"/>
                        <w:jc w:val="both"/>
                        <w:rPr>
                          <w:szCs w:val="24"/>
                        </w:rPr>
                      </w:pPr>
                      <m:oMath>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t</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m</m:t>
                                    </m:r>
                                  </m:sub>
                                </m:sSub>
                              </m:num>
                              <m:den>
                                <m:r>
                                  <w:rPr>
                                    <w:rFonts w:ascii="Cambria Math" w:hAnsi="Cambria Math"/>
                                    <w:szCs w:val="24"/>
                                  </w:rPr>
                                  <m:t>T</m:t>
                                </m:r>
                              </m:den>
                            </m:f>
                          </m:e>
                        </m:d>
                        <m:r>
                          <m:rPr>
                            <m:sty m:val="p"/>
                          </m:rPr>
                          <w:rPr>
                            <w:rFonts w:ascii="Cambria Math" w:hAnsi="Cambria Math"/>
                            <w:szCs w:val="24"/>
                          </w:rPr>
                          <m:t>×</m:t>
                        </m:r>
                        <m:r>
                          <w:rPr>
                            <w:rFonts w:ascii="Cambria Math" w:hAnsi="Cambria Math"/>
                            <w:szCs w:val="24"/>
                          </w:rPr>
                          <m:t>t</m:t>
                        </m:r>
                      </m:oMath>
                      <w:r>
                        <w:rPr>
                          <w:szCs w:val="24"/>
                        </w:rPr>
                        <w:t>(13)</w:t>
                      </w:r>
                    </w:p>
                    <w:p>
                      <w:pPr>
                        <w:tabs>
                          <w:tab w:val="left" w:pos="1134"/>
                        </w:tabs>
                        <w:ind w:firstLine="709"/>
                        <w:jc w:val="both"/>
                        <w:rPr>
                          <w:szCs w:val="24"/>
                        </w:rPr>
                      </w:pPr>
                    </w:p>
                    <w:p>
                      <w:pPr>
                        <w:tabs>
                          <w:tab w:val="left" w:pos="1134"/>
                        </w:tabs>
                        <w:jc w:val="both"/>
                        <w:rPr>
                          <w:szCs w:val="24"/>
                        </w:rPr>
                      </w:pPr>
                      <w:r>
                        <w:rPr>
                          <w:szCs w:val="24"/>
                        </w:rPr>
                        <w:t>čia:</w:t>
                      </w:r>
                    </w:p>
                    <w:p>
                      <w:pPr>
                        <w:tabs>
                          <w:tab w:val="left" w:pos="1134"/>
                        </w:tabs>
                        <w:jc w:val="both"/>
                        <w:rPr>
                          <w:szCs w:val="24"/>
                        </w:rPr>
                      </w:pPr>
                      <w:r>
                        <w:rPr>
                          <w:szCs w:val="24"/>
                        </w:rPr>
                        <w:t>LRAIC</w:t>
                      </w:r>
                      <w:r>
                        <w:rPr>
                          <w:szCs w:val="24"/>
                          <w:vertAlign w:val="subscript"/>
                        </w:rPr>
                        <w:t xml:space="preserve">TSO,t </w:t>
                      </w:r>
                      <w:r>
                        <w:rPr>
                          <w:szCs w:val="24"/>
                        </w:rPr>
                        <w:t>– PSO nekoreguotos t metų leidžiamos pajamos;</w:t>
                      </w:r>
                    </w:p>
                    <w:p>
                      <w:pPr>
                        <w:tabs>
                          <w:tab w:val="left" w:pos="1134"/>
                        </w:tabs>
                        <w:jc w:val="both"/>
                        <w:rPr>
                          <w:szCs w:val="24"/>
                        </w:rPr>
                      </w:pPr>
                      <w:r>
                        <w:rPr>
                          <w:szCs w:val="24"/>
                        </w:rPr>
                        <w:t>P</w:t>
                      </w:r>
                      <w:r>
                        <w:rPr>
                          <w:szCs w:val="24"/>
                          <w:vertAlign w:val="subscript"/>
                        </w:rPr>
                        <w:t>TSO,0</w:t>
                      </w:r>
                      <w:r>
                        <w:rPr>
                          <w:szCs w:val="24"/>
                        </w:rPr>
                        <w:t xml:space="preserve"> – PSO leidžiamos pajamos metų, einančių prieš pirmus reguliavimo periodo metus;</w:t>
                      </w:r>
                    </w:p>
                    <w:p>
                      <w:pPr>
                        <w:tabs>
                          <w:tab w:val="left" w:pos="1134"/>
                        </w:tabs>
                        <w:jc w:val="both"/>
                        <w:rPr>
                          <w:szCs w:val="24"/>
                        </w:rPr>
                      </w:pPr>
                      <w:r>
                        <w:rPr>
                          <w:szCs w:val="24"/>
                        </w:rPr>
                        <w:t>LRAIC</w:t>
                      </w:r>
                      <w:r>
                        <w:rPr>
                          <w:szCs w:val="24"/>
                          <w:vertAlign w:val="subscript"/>
                        </w:rPr>
                        <w:t>TSO,m</w:t>
                      </w:r>
                      <w:r>
                        <w:rPr>
                          <w:szCs w:val="24"/>
                        </w:rPr>
                        <w:t xml:space="preserve"> – PSO bendros leidžiamos paskutinių nustatomo reguliavimo periodo metų pajamos;</w:t>
                      </w:r>
                    </w:p>
                    <w:p>
                      <w:pPr>
                        <w:tabs>
                          <w:tab w:val="left" w:pos="1134"/>
                        </w:tabs>
                        <w:jc w:val="both"/>
                        <w:rPr>
                          <w:szCs w:val="24"/>
                        </w:rPr>
                      </w:pPr>
                      <w:r>
                        <w:rPr>
                          <w:szCs w:val="24"/>
                        </w:rPr>
                        <w:t xml:space="preserve">T –  konkrečių Komisijos sprendimu nustatytų reguliavimo periodo metų eilės Nr.;</w:t>
                      </w:r>
                    </w:p>
                    <w:p>
                      <w:pPr>
                        <w:tabs>
                          <w:tab w:val="left" w:pos="1134"/>
                        </w:tabs>
                        <w:jc w:val="both"/>
                        <w:rPr>
                          <w:szCs w:val="24"/>
                        </w:rPr>
                      </w:pPr>
                      <w:r>
                        <w:rPr>
                          <w:szCs w:val="24"/>
                        </w:rPr>
                        <w:t>t – reguliavimo periodo metų eilės numeris, kuriam skaičiuojamos nekoreguotos leidžiamos pajamos.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7 p."/>
                    <w:tag w:val="part_b9264b5a72fb4a29b32837dcd64379c7"/>
                    <w:lock w:val="sdtLocked"/>
                    <w:richText/>
                  </w:sdtPr>
                  <w:sdtContent>
                    <w:p>
                      <w:pPr>
                        <w:tabs>
                          <w:tab w:val="left" w:pos="993"/>
                        </w:tabs>
                        <w:ind w:firstLine="709"/>
                        <w:jc w:val="both"/>
                        <w:rPr>
                          <w:szCs w:val="24"/>
                        </w:rPr>
                      </w:pPr>
                      <w:sdt>
                        <w:sdtPr>
                          <w:alias w:val="Numeris"/>
                          <w:tag w:val="nr_b9264b5a72fb4a29b32837dcd64379c7"/>
                          <w:lock w:val="sdtLocked"/>
                          <w:richText/>
                        </w:sdtPr>
                        <w:sdtContent>
                          <w:r>
                            <w:rPr>
                              <w:szCs w:val="24"/>
                            </w:rPr>
                            <w:t>37</w:t>
                          </w:r>
                        </w:sdtContent>
                      </w:sdt>
                      <w:r>
                        <w:rPr>
                          <w:szCs w:val="24"/>
                        </w:rPr>
                        <w:t xml:space="preserve">. Nekoreguotos PSO leistinos pajamos apskaičiuojamos naudojant Modelį, kuris sumodeliuoja tinklą, atsižvelgiant į būsimą elektros energijos paklausą su elektros energijos tranzitu. Apskaičiuojant PSO leidžiamas pajamas už elektros energijos perdavimo paslaugą šalies poreikiui, iš nekoreguotų leidžiamų PSO pajamų atimamos  numatomos pajamos iš elektros energijos tarptautinio tranzito ir įėjimo į Lietuvos Respublikos elektros energijos rinką;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8 p."/>
                    <w:tag w:val="part_add94b8186214b6ab28ff8cbb09e620c"/>
                    <w:lock w:val="sdtLocked"/>
                    <w:richText/>
                  </w:sdtPr>
                  <w:sdtContent>
                    <w:p>
                      <w:pPr>
                        <w:tabs>
                          <w:tab w:val="left" w:pos="993"/>
                        </w:tabs>
                        <w:ind w:firstLine="709"/>
                        <w:jc w:val="both"/>
                        <w:rPr>
                          <w:szCs w:val="24"/>
                        </w:rPr>
                      </w:pPr>
                      <w:sdt>
                        <w:sdtPr>
                          <w:alias w:val="Numeris"/>
                          <w:tag w:val="nr_add94b8186214b6ab28ff8cbb09e620c"/>
                          <w:lock w:val="sdtLocked"/>
                          <w:richText/>
                        </w:sdtPr>
                        <w:sdtContent>
                          <w:r>
                            <w:rPr>
                              <w:szCs w:val="24"/>
                            </w:rPr>
                            <w:t>38</w:t>
                          </w:r>
                        </w:sdtContent>
                      </w:sdt>
                      <w:r>
                        <w:rPr>
                          <w:szCs w:val="24"/>
                        </w:rPr>
                        <w:t>. PSO leidžiamos pajamos už perdavimo paslaugą šalies poreikiui apskaičiuojamos pagal formulę:</w:t>
                      </w:r>
                    </w:p>
                    <w:p>
                      <w:pPr>
                        <w:tabs>
                          <w:tab w:val="left" w:pos="993"/>
                        </w:tabs>
                        <w:ind w:firstLine="709"/>
                        <w:jc w:val="both"/>
                        <w:rPr>
                          <w:szCs w:val="24"/>
                        </w:rPr>
                      </w:pPr>
                    </w:p>
                    <w:p>
                      <w:pPr>
                        <w:tabs>
                          <w:tab w:val="left" w:pos="0"/>
                          <w:tab w:val="left" w:pos="9214"/>
                        </w:tabs>
                        <w:jc w:val="both"/>
                        <w:rPr>
                          <w:szCs w:val="24"/>
                        </w:rPr>
                      </w:pPr>
                      <w:r>
                        <w:rPr>
                          <w:i/>
                          <w:iCs/>
                          <w:szCs w:val="24"/>
                        </w:rPr>
                        <w:t>LRAIC</w:t>
                      </w:r>
                      <w:r>
                        <w:rPr>
                          <w:szCs w:val="24"/>
                          <w:vertAlign w:val="subscript"/>
                        </w:rPr>
                        <w:t xml:space="preserve">110, </w:t>
                      </w:r>
                      <w:r>
                        <w:rPr>
                          <w:i/>
                          <w:iCs/>
                          <w:szCs w:val="24"/>
                          <w:vertAlign w:val="subscript"/>
                        </w:rPr>
                        <w:t xml:space="preserve">t </w:t>
                      </w:r>
                      <w:r>
                        <w:rPr>
                          <w:szCs w:val="24"/>
                        </w:rPr>
                        <w:t xml:space="preserve">= </w:t>
                      </w:r>
                      <w:r>
                        <w:rPr>
                          <w:i/>
                          <w:iCs/>
                          <w:szCs w:val="24"/>
                        </w:rPr>
                        <w:t>LRAIC</w:t>
                      </w:r>
                      <w:r>
                        <w:rPr>
                          <w:i/>
                          <w:iCs/>
                          <w:szCs w:val="24"/>
                          <w:vertAlign w:val="subscript"/>
                        </w:rPr>
                        <w:t xml:space="preserve">TSO, t </w:t>
                      </w:r>
                      <w:r>
                        <w:rPr>
                          <w:szCs w:val="24"/>
                        </w:rPr>
                        <w:t xml:space="preserve">− </w:t>
                      </w:r>
                      <w:r>
                        <w:rPr>
                          <w:i/>
                          <w:iCs/>
                          <w:szCs w:val="24"/>
                        </w:rPr>
                        <w:t>IT</w:t>
                      </w:r>
                      <w:r>
                        <w:rPr>
                          <w:i/>
                          <w:iCs/>
                          <w:szCs w:val="24"/>
                          <w:vertAlign w:val="subscript"/>
                        </w:rPr>
                        <w:t xml:space="preserve">TSO, t  </w:t>
                      </w:r>
                      <w:r>
                        <w:rPr>
                          <w:i/>
                          <w:iCs/>
                          <w:szCs w:val="24"/>
                        </w:rPr>
                        <w:tab/>
                      </w:r>
                      <w:r>
                        <w:rPr>
                          <w:szCs w:val="24"/>
                        </w:rPr>
                        <w:t>(14)</w:t>
                      </w:r>
                    </w:p>
                    <w:p>
                      <w:pPr>
                        <w:tabs>
                          <w:tab w:val="left" w:pos="993"/>
                          <w:tab w:val="left" w:pos="9214"/>
                        </w:tabs>
                        <w:ind w:firstLine="709"/>
                        <w:jc w:val="both"/>
                        <w:rPr>
                          <w:szCs w:val="24"/>
                        </w:rPr>
                      </w:pPr>
                    </w:p>
                    <w:p>
                      <w:pPr>
                        <w:tabs>
                          <w:tab w:val="left" w:pos="993"/>
                          <w:tab w:val="left" w:pos="2834"/>
                          <w:tab w:val="left" w:pos="3583"/>
                        </w:tabs>
                        <w:jc w:val="both"/>
                        <w:rPr>
                          <w:i/>
                          <w:iCs/>
                          <w:szCs w:val="24"/>
                        </w:rPr>
                      </w:pPr>
                      <w:r>
                        <w:rPr>
                          <w:i/>
                          <w:iCs/>
                          <w:szCs w:val="24"/>
                        </w:rPr>
                        <w:t>čia:</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šalies poreikiui;</w:t>
                      </w:r>
                    </w:p>
                    <w:p>
                      <w:pPr>
                        <w:tabs>
                          <w:tab w:val="left" w:pos="993"/>
                        </w:tabs>
                        <w:jc w:val="both"/>
                        <w:rPr>
                          <w:szCs w:val="24"/>
                        </w:rPr>
                      </w:pPr>
                      <w:r>
                        <w:rPr>
                          <w:szCs w:val="24"/>
                        </w:rPr>
                        <w:t>LRAIC</w:t>
                      </w:r>
                      <w:r>
                        <w:rPr>
                          <w:szCs w:val="24"/>
                          <w:vertAlign w:val="subscript"/>
                        </w:rPr>
                        <w:t>TSO, t</w:t>
                      </w:r>
                      <w:r>
                        <w:rPr>
                          <w:szCs w:val="24"/>
                        </w:rPr>
                        <w:t xml:space="preserve"> – nekoreguotos Modeliu apskaičiuotos </w:t>
                      </w:r>
                      <w:r>
                        <w:rPr>
                          <w:i/>
                          <w:iCs/>
                          <w:szCs w:val="24"/>
                        </w:rPr>
                        <w:t xml:space="preserve">t </w:t>
                      </w:r>
                      <w:r>
                        <w:rPr>
                          <w:szCs w:val="24"/>
                        </w:rPr>
                        <w:t>metų PSO leidžiamos pajamos;</w:t>
                      </w:r>
                    </w:p>
                    <w:p>
                      <w:pPr>
                        <w:tabs>
                          <w:tab w:val="left" w:pos="993"/>
                        </w:tabs>
                        <w:jc w:val="both"/>
                        <w:rPr>
                          <w:sz w:val="6"/>
                          <w:szCs w:val="6"/>
                        </w:rPr>
                      </w:pPr>
                      <w:r>
                        <w:rPr>
                          <w:szCs w:val="24"/>
                        </w:rPr>
                        <w:t>IT</w:t>
                      </w:r>
                      <w:r>
                        <w:rPr>
                          <w:szCs w:val="24"/>
                          <w:vertAlign w:val="subscript"/>
                        </w:rPr>
                        <w:t>TSO, t</w:t>
                      </w:r>
                      <w:r>
                        <w:rPr>
                          <w:szCs w:val="24"/>
                        </w:rPr>
                        <w:t xml:space="preserve"> – planuojamos elektros energijos tarptautinio tranzito pajamos </w:t>
                      </w:r>
                      <w:r>
                        <w:rPr>
                          <w:i/>
                          <w:iCs/>
                          <w:szCs w:val="24"/>
                        </w:rPr>
                        <w:t xml:space="preserve">t </w:t>
                      </w:r>
                      <w:r>
                        <w:rPr>
                          <w:szCs w:val="24"/>
                        </w:rPr>
                        <w:t>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9 p."/>
                    <w:tag w:val="part_5c82052a00344b35af09840af6f45b58"/>
                    <w:lock w:val="sdtLocked"/>
                    <w:richText/>
                  </w:sdtPr>
                  <w:sdtContent>
                    <w:p>
                      <w:pPr>
                        <w:tabs>
                          <w:tab w:val="left" w:pos="993"/>
                        </w:tabs>
                        <w:ind w:firstLine="709"/>
                        <w:jc w:val="both"/>
                        <w:rPr>
                          <w:szCs w:val="24"/>
                        </w:rPr>
                      </w:pPr>
                      <w:sdt>
                        <w:sdtPr>
                          <w:alias w:val="Numeris"/>
                          <w:tag w:val="nr_5c82052a00344b35af09840af6f45b58"/>
                          <w:lock w:val="sdtLocked"/>
                          <w:richText/>
                        </w:sdtPr>
                        <w:sdtContent>
                          <w:r>
                            <w:rPr>
                              <w:szCs w:val="24"/>
                            </w:rPr>
                            <w:t>39</w:t>
                          </w:r>
                        </w:sdtContent>
                      </w:sdt>
                      <w:r>
                        <w:rPr>
                          <w:szCs w:val="24"/>
                        </w:rPr>
                        <w:t xml:space="preserve">. Galutinės PSO </w:t>
                      </w:r>
                      <w:r>
                        <w:rPr>
                          <w:i/>
                          <w:szCs w:val="24"/>
                        </w:rPr>
                        <w:t xml:space="preserve">t </w:t>
                      </w:r>
                      <w:r>
                        <w:rPr>
                          <w:szCs w:val="24"/>
                        </w:rPr>
                        <w:t>metų leidžiamos pajamos apskaičiuojamos pagal formulę:</w:t>
                      </w:r>
                    </w:p>
                    <w:p>
                      <w:pPr>
                        <w:tabs>
                          <w:tab w:val="left" w:pos="993"/>
                        </w:tabs>
                        <w:jc w:val="both"/>
                        <w:rPr>
                          <w:szCs w:val="24"/>
                        </w:rPr>
                      </w:pPr>
                    </w:p>
                    <w:p>
                      <w:pPr>
                        <w:tabs>
                          <w:tab w:val="left" w:pos="9214"/>
                        </w:tabs>
                        <w:jc w:val="both"/>
                        <w:rPr>
                          <w:i/>
                          <w:iCs/>
                          <w:szCs w:val="24"/>
                          <w:vertAlign w:val="subscript"/>
                        </w:rPr>
                      </w:pPr>
                      <w:r>
                        <w:rPr>
                          <w:i/>
                          <w:iCs/>
                          <w:szCs w:val="24"/>
                        </w:rPr>
                        <w:t>P</w:t>
                      </w:r>
                      <w:r>
                        <w:rPr>
                          <w:szCs w:val="24"/>
                          <w:vertAlign w:val="subscript"/>
                        </w:rPr>
                        <w:t xml:space="preserve">110, </w:t>
                      </w:r>
                      <w:r>
                        <w:rPr>
                          <w:i/>
                          <w:iCs/>
                          <w:szCs w:val="24"/>
                          <w:vertAlign w:val="subscript"/>
                        </w:rPr>
                        <w:t>t</w:t>
                      </w:r>
                      <w:r>
                        <w:rPr>
                          <w:szCs w:val="24"/>
                        </w:rPr>
                        <w:t>=</w:t>
                      </w:r>
                      <w:r>
                        <w:rPr>
                          <w:i/>
                          <w:iCs/>
                          <w:szCs w:val="24"/>
                        </w:rPr>
                        <w:t>LRAIC</w:t>
                      </w:r>
                      <w:r>
                        <w:rPr>
                          <w:szCs w:val="24"/>
                          <w:vertAlign w:val="subscript"/>
                        </w:rPr>
                        <w:t xml:space="preserve">110, </w:t>
                      </w:r>
                      <w:r>
                        <w:rPr>
                          <w:i/>
                          <w:iCs/>
                          <w:szCs w:val="24"/>
                          <w:vertAlign w:val="subscript"/>
                        </w:rPr>
                        <w:t>t</w:t>
                      </w:r>
                      <w:r>
                        <w:rPr>
                          <w:szCs w:val="24"/>
                        </w:rPr>
                        <w:t>+NI</w:t>
                      </w:r>
                      <w:r>
                        <w:rPr>
                          <w:szCs w:val="24"/>
                          <w:vertAlign w:val="subscript"/>
                        </w:rPr>
                        <w:t>110, t</w:t>
                      </w:r>
                      <w:r>
                        <w:rPr>
                          <w:szCs w:val="24"/>
                        </w:rPr>
                        <w:sym w:font="Symbol" w:char="F02D"/>
                        <w:t>NT</w:t>
                      </w:r>
                      <w:r>
                        <w:rPr>
                          <w:szCs w:val="24"/>
                          <w:vertAlign w:val="subscript"/>
                        </w:rPr>
                        <w:t>110, t</w:t>
                      </w:r>
                      <w:r>
                        <w:rPr>
                          <w:szCs w:val="24"/>
                        </w:rPr>
                        <w:t>+</w:t>
                      </w:r>
                      <w:r>
                        <w:rPr>
                          <w:i/>
                          <w:iCs/>
                          <w:szCs w:val="24"/>
                        </w:rPr>
                        <w:t>BC</w:t>
                      </w:r>
                      <w:r>
                        <w:rPr>
                          <w:i/>
                          <w:iCs/>
                          <w:szCs w:val="24"/>
                          <w:vertAlign w:val="subscript"/>
                        </w:rPr>
                        <w:t>TSO</w:t>
                      </w:r>
                      <w:r>
                        <w:rPr>
                          <w:szCs w:val="24"/>
                          <w:vertAlign w:val="subscript"/>
                        </w:rPr>
                        <w:t xml:space="preserve">110, </w:t>
                      </w:r>
                      <w:r>
                        <w:rPr>
                          <w:i/>
                          <w:iCs/>
                          <w:szCs w:val="24"/>
                          <w:vertAlign w:val="subscript"/>
                        </w:rPr>
                        <w:t>t</w:t>
                      </w:r>
                      <w:r>
                        <w:rPr>
                          <w:szCs w:val="24"/>
                        </w:rPr>
                        <w:t>−</w:t>
                      </w:r>
                      <w:r>
                        <w:rPr>
                          <w:i/>
                          <w:iCs/>
                          <w:szCs w:val="24"/>
                        </w:rPr>
                        <w:t>ITC</w:t>
                      </w:r>
                      <w:r>
                        <w:rPr>
                          <w:szCs w:val="24"/>
                          <w:vertAlign w:val="subscript"/>
                        </w:rPr>
                        <w:t xml:space="preserve">110, </w:t>
                      </w:r>
                      <w:r>
                        <w:rPr>
                          <w:i/>
                          <w:iCs/>
                          <w:szCs w:val="24"/>
                          <w:vertAlign w:val="subscript"/>
                        </w:rPr>
                        <w:t>t</w:t>
                      </w:r>
                      <w:r>
                        <w:rPr>
                          <w:i/>
                          <w:iCs/>
                          <w:szCs w:val="24"/>
                        </w:rPr>
                        <w:sym w:font="Symbol" w:char="F02D"/>
                        <w:t>NJL</w:t>
                      </w:r>
                      <w:r>
                        <w:rPr>
                          <w:i/>
                          <w:iCs/>
                          <w:szCs w:val="24"/>
                          <w:vertAlign w:val="subscript"/>
                        </w:rPr>
                        <w:t>110, t-2</w:t>
                      </w:r>
                      <w:r>
                        <w:rPr>
                          <w:szCs w:val="24"/>
                        </w:rPr>
                        <w:t>+</w:t>
                      </w:r>
                      <w:r>
                        <w:rPr>
                          <w:i/>
                          <w:iCs/>
                          <w:szCs w:val="24"/>
                        </w:rPr>
                        <w:t>S</w:t>
                      </w:r>
                      <w:r>
                        <w:rPr>
                          <w:i/>
                          <w:iCs/>
                          <w:szCs w:val="24"/>
                          <w:vertAlign w:val="subscript"/>
                        </w:rPr>
                        <w:t>sr</w:t>
                      </w:r>
                      <w:r>
                        <w:rPr>
                          <w:szCs w:val="24"/>
                          <w:vertAlign w:val="subscript"/>
                        </w:rPr>
                        <w:t xml:space="preserve">110, </w:t>
                      </w:r>
                      <w:r>
                        <w:rPr>
                          <w:i/>
                          <w:iCs/>
                          <w:szCs w:val="24"/>
                          <w:vertAlign w:val="subscript"/>
                        </w:rPr>
                        <w:t>t</w:t>
                      </w:r>
                      <w:r>
                        <w:rPr>
                          <w:szCs w:val="24"/>
                        </w:rPr>
                        <w:t>+</w:t>
                      </w:r>
                      <w:r>
                        <w:rPr>
                          <w:i/>
                          <w:iCs/>
                          <w:szCs w:val="24"/>
                        </w:rPr>
                        <w:t>S</w:t>
                      </w:r>
                      <w:r>
                        <w:rPr>
                          <w:i/>
                          <w:iCs/>
                          <w:szCs w:val="24"/>
                          <w:vertAlign w:val="subscript"/>
                        </w:rPr>
                        <w:t>n</w:t>
                      </w:r>
                      <w:r>
                        <w:rPr>
                          <w:szCs w:val="24"/>
                          <w:vertAlign w:val="subscript"/>
                        </w:rPr>
                        <w:t xml:space="preserve">110, </w:t>
                      </w:r>
                      <w:r>
                        <w:rPr>
                          <w:i/>
                          <w:iCs/>
                          <w:szCs w:val="24"/>
                          <w:vertAlign w:val="subscript"/>
                        </w:rPr>
                        <w:t>t</w:t>
                      </w:r>
                      <w:r>
                        <w:rPr>
                          <w:i/>
                          <w:iCs/>
                          <w:szCs w:val="24"/>
                        </w:rPr>
                        <w:sym w:font="Symbol" w:char="F02D"/>
                        <w:t>FI</w:t>
                      </w:r>
                      <w:r>
                        <w:rPr>
                          <w:i/>
                          <w:iCs/>
                          <w:szCs w:val="24"/>
                          <w:vertAlign w:val="subscript"/>
                        </w:rPr>
                        <w:t>110, t</w:t>
                      </w:r>
                    </w:p>
                    <w:p>
                      <w:pPr>
                        <w:tabs>
                          <w:tab w:val="left" w:pos="9214"/>
                        </w:tabs>
                        <w:jc w:val="both"/>
                        <w:rPr>
                          <w:szCs w:val="24"/>
                        </w:rPr>
                      </w:pPr>
                      <w:r>
                        <w:rPr>
                          <w:i/>
                          <w:iCs/>
                          <w:szCs w:val="24"/>
                        </w:rPr>
                        <w:sym w:font="Symbol" w:char="F02D"/>
                        <w:t xml:space="preserve"> OI</w:t>
                      </w:r>
                      <w:r>
                        <w:rPr>
                          <w:i/>
                          <w:iCs/>
                          <w:szCs w:val="24"/>
                          <w:vertAlign w:val="subscript"/>
                        </w:rPr>
                        <w:t>110, t</w:t>
                      </w:r>
                      <w:r>
                        <w:rPr>
                          <w:i/>
                          <w:iCs/>
                          <w:szCs w:val="24"/>
                        </w:rPr>
                        <w:sym w:font="Symbol" w:char="F02D"/>
                        <w:t>PE</w:t>
                      </w:r>
                      <w:r>
                        <w:rPr>
                          <w:i/>
                          <w:iCs/>
                          <w:szCs w:val="24"/>
                          <w:vertAlign w:val="subscript"/>
                        </w:rPr>
                        <w:t>110, t</w:t>
                      </w:r>
                      <w:r>
                        <w:rPr>
                          <w:szCs w:val="24"/>
                        </w:rPr>
                        <w:t>+ NMS</w:t>
                      </w:r>
                      <w:r>
                        <w:rPr>
                          <w:szCs w:val="24"/>
                          <w:vertAlign w:val="subscript"/>
                        </w:rPr>
                        <w:t>TSO,t</w:t>
                      </w:r>
                      <w:r>
                        <w:rPr>
                          <w:i/>
                          <w:iCs/>
                          <w:szCs w:val="24"/>
                          <w:vertAlign w:val="subscript"/>
                        </w:rPr>
                        <w:t xml:space="preserve">  </w:t>
                      </w:r>
                      <w:r>
                        <w:rPr>
                          <w:i/>
                          <w:iCs/>
                          <w:szCs w:val="24"/>
                        </w:rPr>
                        <w:tab/>
                      </w:r>
                      <w:r>
                        <w:rPr>
                          <w:szCs w:val="24"/>
                        </w:rPr>
                        <w:t>(15)</w:t>
                      </w:r>
                    </w:p>
                    <w:p>
                      <w:pPr>
                        <w:tabs>
                          <w:tab w:val="left" w:pos="993"/>
                          <w:tab w:val="left" w:pos="9214"/>
                        </w:tabs>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110, t</w:t>
                      </w:r>
                      <w:r>
                        <w:rPr>
                          <w:szCs w:val="24"/>
                        </w:rPr>
                        <w:t xml:space="preserve"> – galutinės </w:t>
                      </w:r>
                      <w:r>
                        <w:rPr>
                          <w:i/>
                          <w:iCs/>
                          <w:szCs w:val="24"/>
                        </w:rPr>
                        <w:t xml:space="preserve">t </w:t>
                      </w:r>
                      <w:r>
                        <w:rPr>
                          <w:szCs w:val="24"/>
                        </w:rPr>
                        <w:t>metų PSO leidžiamos pajamos;</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vidaus poreikiams;</w:t>
                      </w:r>
                    </w:p>
                    <w:p>
                      <w:pPr>
                        <w:tabs>
                          <w:tab w:val="left" w:pos="993"/>
                        </w:tabs>
                        <w:jc w:val="both"/>
                        <w:rPr>
                          <w:szCs w:val="24"/>
                        </w:rPr>
                      </w:pPr>
                      <w:r>
                        <w:rPr>
                          <w:szCs w:val="24"/>
                        </w:rPr>
                        <w:t>NI</w:t>
                      </w:r>
                      <w:r>
                        <w:rPr>
                          <w:szCs w:val="24"/>
                          <w:vertAlign w:val="subscript"/>
                        </w:rPr>
                        <w:t>110,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PSO </w:t>
                      </w:r>
                      <w:r>
                        <w:rPr>
                          <w:i/>
                          <w:iCs/>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NT</w:t>
                      </w:r>
                      <w:r>
                        <w:rPr>
                          <w:szCs w:val="24"/>
                          <w:vertAlign w:val="subscript"/>
                        </w:rPr>
                        <w:t>110, t</w:t>
                      </w:r>
                      <w:r>
                        <w:rPr>
                          <w:szCs w:val="24"/>
                        </w:rPr>
                        <w:t xml:space="preserve"> – nurašomo, perleidžiamo, išimamo iš eksploatacijos, bet į Modelį įtraukto neoptimizuotino turto, </w:t>
                      </w:r>
                      <w:r>
                        <w:rPr>
                          <w:i/>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TSO110, t</w:t>
                      </w:r>
                      <w:r>
                        <w:rPr>
                          <w:szCs w:val="24"/>
                        </w:rPr>
                        <w:t xml:space="preserve"> – PSO </w:t>
                      </w:r>
                      <w:r>
                        <w:rPr>
                          <w:i/>
                          <w:iCs/>
                          <w:szCs w:val="24"/>
                        </w:rPr>
                        <w:t xml:space="preserve">t </w:t>
                      </w:r>
                      <w:r>
                        <w:rPr>
                          <w:szCs w:val="24"/>
                        </w:rPr>
                        <w:t>metų planuojami perdavimo paslaugos, šalies poreikiui, mokesčių kaštai, EUR;</w:t>
                      </w:r>
                    </w:p>
                    <w:p>
                      <w:pPr>
                        <w:tabs>
                          <w:tab w:val="left" w:pos="993"/>
                        </w:tabs>
                        <w:jc w:val="both"/>
                        <w:rPr>
                          <w:szCs w:val="24"/>
                        </w:rPr>
                      </w:pPr>
                      <w:r>
                        <w:rPr>
                          <w:szCs w:val="24"/>
                        </w:rPr>
                        <w:t>ITC</w:t>
                      </w:r>
                      <w:r>
                        <w:rPr>
                          <w:szCs w:val="24"/>
                          <w:vertAlign w:val="subscript"/>
                        </w:rPr>
                        <w:t>110, t</w:t>
                      </w:r>
                      <w:r>
                        <w:rPr>
                          <w:szCs w:val="24"/>
                        </w:rPr>
                        <w:t xml:space="preserve"> – skirtumas tarp gautų pajamų ir patiriamų kaštų pagal kompensavimo tarp perdavimo sistemos operatorių (angl. </w:t>
                      </w:r>
                      <w:r>
                        <w:rPr>
                          <w:i/>
                          <w:iCs/>
                          <w:szCs w:val="24"/>
                        </w:rPr>
                        <w:t>Inter-TSO Compensation (ITC)</w:t>
                      </w:r>
                      <w:r>
                        <w:rPr>
                          <w:szCs w:val="24"/>
                        </w:rPr>
                        <w:t xml:space="preserve"> mechanizmą, </w:t>
                      </w:r>
                      <w:r>
                        <w:rPr>
                          <w:i/>
                          <w:iCs/>
                          <w:szCs w:val="24"/>
                        </w:rPr>
                        <w:t xml:space="preserve">t </w:t>
                      </w:r>
                      <w:r>
                        <w:rPr>
                          <w:szCs w:val="24"/>
                        </w:rPr>
                        <w:t>metais, EUR;</w:t>
                      </w:r>
                    </w:p>
                    <w:p>
                      <w:pPr>
                        <w:tabs>
                          <w:tab w:val="left" w:pos="993"/>
                        </w:tabs>
                        <w:jc w:val="both"/>
                        <w:rPr>
                          <w:szCs w:val="24"/>
                        </w:rPr>
                      </w:pPr>
                      <w:r>
                        <w:rPr>
                          <w:szCs w:val="24"/>
                        </w:rPr>
                        <w:t>NJL</w:t>
                      </w:r>
                      <w:r>
                        <w:rPr>
                          <w:szCs w:val="24"/>
                          <w:vertAlign w:val="subscript"/>
                        </w:rPr>
                        <w:t>110, t</w:t>
                      </w:r>
                      <w:r>
                        <w:rPr>
                          <w:szCs w:val="24"/>
                        </w:rPr>
                        <w:t xml:space="preserve"> – pajamos gautos už naudojimosi jungiamosiomis linijomis paslaugą </w:t>
                      </w:r>
                      <w:r>
                        <w:rPr>
                          <w:i/>
                          <w:szCs w:val="24"/>
                        </w:rPr>
                        <w:t xml:space="preserve">t-2 </w:t>
                      </w:r>
                      <w:r>
                        <w:rPr>
                          <w:szCs w:val="24"/>
                        </w:rPr>
                        <w:t>metais, EUR;</w:t>
                      </w:r>
                    </w:p>
                    <w:p>
                      <w:pPr>
                        <w:tabs>
                          <w:tab w:val="left" w:pos="993"/>
                        </w:tabs>
                        <w:jc w:val="both"/>
                        <w:rPr>
                          <w:szCs w:val="24"/>
                        </w:rPr>
                      </w:pPr>
                      <w:r>
                        <w:rPr>
                          <w:szCs w:val="24"/>
                        </w:rPr>
                        <w:t>S</w:t>
                      </w:r>
                      <w:r>
                        <w:rPr>
                          <w:szCs w:val="24"/>
                          <w:vertAlign w:val="subscript"/>
                        </w:rPr>
                        <w:t>sr110, t</w:t>
                      </w:r>
                      <w:r>
                        <w:rPr>
                          <w:szCs w:val="24"/>
                        </w:rPr>
                        <w:t xml:space="preserve"> – planuojami </w:t>
                      </w:r>
                      <w:r>
                        <w:rPr>
                          <w:i/>
                          <w:iCs/>
                          <w:szCs w:val="24"/>
                        </w:rPr>
                        <w:t xml:space="preserve">t </w:t>
                      </w:r>
                      <w:r>
                        <w:rPr>
                          <w:szCs w:val="24"/>
                        </w:rPr>
                        <w:t>metų PSO elektros energijos pirkimo kaštai savoms reikmėms padengti;</w:t>
                      </w:r>
                    </w:p>
                    <w:p>
                      <w:pPr>
                        <w:tabs>
                          <w:tab w:val="left" w:pos="993"/>
                        </w:tabs>
                        <w:jc w:val="both"/>
                        <w:rPr>
                          <w:szCs w:val="24"/>
                        </w:rPr>
                      </w:pPr>
                      <w:r>
                        <w:rPr>
                          <w:szCs w:val="24"/>
                        </w:rPr>
                        <w:t>S</w:t>
                      </w:r>
                      <w:r>
                        <w:rPr>
                          <w:szCs w:val="24"/>
                          <w:vertAlign w:val="subscript"/>
                        </w:rPr>
                        <w:t>n110, t</w:t>
                      </w:r>
                      <w:r>
                        <w:rPr>
                          <w:szCs w:val="24"/>
                        </w:rPr>
                        <w:t xml:space="preserve"> – planuojami </w:t>
                      </w:r>
                      <w:r>
                        <w:rPr>
                          <w:i/>
                          <w:iCs/>
                          <w:szCs w:val="24"/>
                        </w:rPr>
                        <w:t xml:space="preserve">t </w:t>
                      </w:r>
                      <w:r>
                        <w:rPr>
                          <w:szCs w:val="24"/>
                        </w:rPr>
                        <w:t>metų PSO elektros energijos pirkimo kaštai elektros energijos sąnaudoms technologiniuose įrenginiuose padengti;</w:t>
                      </w:r>
                    </w:p>
                    <w:p>
                      <w:pPr>
                        <w:tabs>
                          <w:tab w:val="left" w:pos="993"/>
                        </w:tabs>
                        <w:jc w:val="both"/>
                        <w:rPr>
                          <w:szCs w:val="24"/>
                        </w:rPr>
                      </w:pPr>
                      <w:r>
                        <w:rPr>
                          <w:szCs w:val="24"/>
                        </w:rPr>
                        <w:t>FI</w:t>
                      </w:r>
                      <w:r>
                        <w:rPr>
                          <w:szCs w:val="24"/>
                          <w:vertAlign w:val="subscript"/>
                        </w:rPr>
                        <w:t>110,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110, t</w:t>
                      </w:r>
                      <w:r>
                        <w:rPr>
                          <w:szCs w:val="24"/>
                        </w:rPr>
                        <w:t xml:space="preserve"> – kitos Įmonės gautos pajamos susijusios su reguliuojamų perdavimo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110, t</w:t>
                      </w:r>
                      <w:r>
                        <w:rPr>
                          <w:szCs w:val="24"/>
                        </w:rPr>
                        <w:t xml:space="preserve"> – Komisijos apskaičiuotas leistinos protingumo kriterijų atitinkančios investicijų grąžos viršijimas, EUR.“</w:t>
                      </w:r>
                    </w:p>
                    <w:p>
                      <w:pPr>
                        <w:tabs>
                          <w:tab w:val="left" w:pos="1134"/>
                          <w:tab w:val="left" w:pos="1843"/>
                          <w:tab w:val="left" w:pos="2268"/>
                        </w:tabs>
                        <w:jc w:val="both"/>
                        <w:rPr>
                          <w:szCs w:val="24"/>
                        </w:rPr>
                      </w:pPr>
                      <w:r>
                        <w:rPr>
                          <w:iCs/>
                          <w:szCs w:val="24"/>
                          <w:lang w:eastAsia="lt-LT"/>
                        </w:rPr>
                        <w:t>NMS</w:t>
                      </w:r>
                      <w:r>
                        <w:rPr>
                          <w:iCs/>
                          <w:szCs w:val="24"/>
                          <w:vertAlign w:val="subscript"/>
                          <w:lang w:eastAsia="lt-LT"/>
                        </w:rPr>
                        <w:t>TSO,t</w:t>
                      </w:r>
                      <w:r>
                        <w:rPr>
                          <w:i/>
                          <w:iCs/>
                          <w:szCs w:val="24"/>
                          <w:vertAlign w:val="subscript"/>
                          <w:lang w:eastAsia="lt-LT"/>
                        </w:rPr>
                        <w:t xml:space="preserve">  </w:t>
                      </w:r>
                      <w:r>
                        <w:rPr>
                          <w:szCs w:val="24"/>
                          <w:lang w:eastAsia="lt-LT"/>
                        </w:rPr>
                        <w:t>– prognozuojamas PSO nacionalinės balansavimo funkcijos veiklos rezultatas t metais,</w:t>
                      </w:r>
                      <w:r>
                        <w:rPr>
                          <w:szCs w:val="24"/>
                        </w:rPr>
                        <w:t xml:space="preserve"> </w:t>
                      </w:r>
                      <w:r>
                        <w:rPr>
                          <w:szCs w:val="24"/>
                          <w:lang w:eastAsia="lt-LT"/>
                        </w:rPr>
                        <w:t>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0 p."/>
                    <w:tag w:val="part_142c3f154506430f9caabbfa68641510"/>
                    <w:lock w:val="sdtLocked"/>
                    <w:richText/>
                  </w:sdtPr>
                  <w:sdtContent>
                    <w:p>
                      <w:pPr>
                        <w:tabs>
                          <w:tab w:val="left" w:pos="1080"/>
                          <w:tab w:val="left" w:pos="1843"/>
                          <w:tab w:val="left" w:pos="2268"/>
                        </w:tabs>
                        <w:ind w:firstLine="720"/>
                        <w:jc w:val="both"/>
                        <w:rPr>
                          <w:szCs w:val="24"/>
                        </w:rPr>
                      </w:pPr>
                      <w:sdt>
                        <w:sdtPr>
                          <w:alias w:val="Numeris"/>
                          <w:tag w:val="nr_142c3f154506430f9caabbfa68641510"/>
                          <w:lock w:val="sdtLocked"/>
                          <w:richText/>
                        </w:sdtPr>
                        <w:sdtContent>
                          <w:r>
                            <w:t>40</w:t>
                          </w:r>
                        </w:sdtContent>
                      </w:sdt>
                      <w:r>
                        <w:rPr>
                          <w:szCs w:val="24"/>
                        </w:rPr>
                        <w:t>. Planuojami elektros energijos pirkimo savoms reikmėms padengti kaštai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110,</m:t>
                            </m:r>
                            <m:r>
                              <w:rPr>
                                <w:rFonts w:ascii="Cambria Math" w:hAnsi="Cambria Math"/>
                              </w:rPr>
                              <m:t>t</m:t>
                            </m:r>
                          </m:sub>
                        </m:sSub>
                      </m:oMath>
                      <w:r>
                        <w:tab/>
                      </w:r>
                      <w:r>
                        <w:rPr>
                          <w:szCs w:val="24"/>
                        </w:rPr>
                        <w:t>(16)</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sr110,t</w:t>
                      </w:r>
                      <w:r>
                        <w:rPr>
                          <w:szCs w:val="24"/>
                        </w:rPr>
                        <w:t xml:space="preserve"> – </w:t>
                      </w:r>
                      <w:r>
                        <w:rPr>
                          <w:i/>
                          <w:szCs w:val="24"/>
                        </w:rPr>
                        <w:t>t</w:t>
                      </w:r>
                      <w:r>
                        <w:rPr>
                          <w:szCs w:val="24"/>
                        </w:rPr>
                        <w:t xml:space="preserve"> metų planuojami elektros energijos įsigijimo savoms PSO reikmėms kaštai, EUR;</w:t>
                      </w:r>
                    </w:p>
                    <w:p>
                      <w:pPr>
                        <w:tabs>
                          <w:tab w:val="left" w:pos="1134"/>
                          <w:tab w:val="left" w:pos="1843"/>
                          <w:tab w:val="left" w:pos="2268"/>
                        </w:tabs>
                        <w:jc w:val="both"/>
                        <w:rPr>
                          <w:szCs w:val="24"/>
                        </w:rPr>
                      </w:pPr>
                      <w:r>
                        <w:rPr>
                          <w:szCs w:val="24"/>
                        </w:rPr>
                        <w:t>E</w:t>
                      </w:r>
                      <w:r>
                        <w:rPr>
                          <w:szCs w:val="24"/>
                          <w:vertAlign w:val="subscript"/>
                        </w:rPr>
                        <w:t>sr110,t</w:t>
                      </w:r>
                      <w:r>
                        <w:rPr>
                          <w:szCs w:val="24"/>
                        </w:rPr>
                        <w:t xml:space="preserve"> – </w:t>
                      </w:r>
                      <w:r>
                        <w:rPr>
                          <w:i/>
                          <w:szCs w:val="24"/>
                        </w:rPr>
                        <w:t>t</w:t>
                      </w:r>
                      <w:r>
                        <w:rPr>
                          <w:szCs w:val="24"/>
                        </w:rPr>
                        <w:t xml:space="preserve"> metų elektros energija suvartota savoms PSO reikmėms,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EUR/kWh.</w:t>
                      </w:r>
                    </w:p>
                  </w:sdtContent>
                </w:sdt>
                <w:sdt>
                  <w:sdtPr>
                    <w:alias w:val="41 p."/>
                    <w:tag w:val="part_5e3b86abc47f4766b3d905b52db6ea0d"/>
                    <w:lock w:val="sdtLocked"/>
                    <w:richText/>
                  </w:sdtPr>
                  <w:sdtContent>
                    <w:p>
                      <w:pPr>
                        <w:tabs>
                          <w:tab w:val="left" w:pos="1080"/>
                          <w:tab w:val="left" w:pos="1843"/>
                          <w:tab w:val="left" w:pos="2268"/>
                        </w:tabs>
                        <w:ind w:firstLine="720"/>
                        <w:jc w:val="both"/>
                        <w:rPr>
                          <w:szCs w:val="24"/>
                        </w:rPr>
                      </w:pPr>
                      <w:sdt>
                        <w:sdtPr>
                          <w:alias w:val="Numeris"/>
                          <w:tag w:val="nr_5e3b86abc47f4766b3d905b52db6ea0d"/>
                          <w:lock w:val="sdtLocked"/>
                          <w:richText/>
                        </w:sdtPr>
                        <w:sdtContent>
                          <w:r>
                            <w:rPr>
                              <w:szCs w:val="24"/>
                            </w:rPr>
                            <w:t>41</w:t>
                          </w:r>
                        </w:sdtContent>
                      </w:sdt>
                      <w:r>
                        <w:rPr>
                          <w:szCs w:val="24"/>
                        </w:rPr>
                        <w:t>. Planuojami elektros energijos pirkimo kaštai technologinėms sąnaudoms įrenginiuose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110</m:t>
                            </m:r>
                            <m:r>
                              <w:rPr>
                                <w:rFonts w:ascii="Cambria Math" w:hAnsi="Cambria Math"/>
                              </w:rPr>
                              <m:t>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110,</m:t>
                            </m:r>
                            <m:r>
                              <w:rPr>
                                <w:rFonts w:ascii="Cambria Math" w:hAnsi="Cambria Math"/>
                              </w:rPr>
                              <m:t>t</m:t>
                            </m:r>
                          </m:sub>
                        </m:sSub>
                      </m:oMath>
                      <w:r>
                        <w:tab/>
                      </w:r>
                      <w:r>
                        <w:rPr>
                          <w:szCs w:val="24"/>
                        </w:rPr>
                        <w:t>(17)</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n110,t</w:t>
                      </w:r>
                      <w:r>
                        <w:rPr>
                          <w:szCs w:val="24"/>
                        </w:rPr>
                        <w:t xml:space="preserve"> – </w:t>
                      </w:r>
                      <w:r>
                        <w:rPr>
                          <w:i/>
                          <w:szCs w:val="24"/>
                        </w:rPr>
                        <w:t>t</w:t>
                      </w:r>
                      <w:r>
                        <w:rPr>
                          <w:szCs w:val="24"/>
                        </w:rPr>
                        <w:t xml:space="preserve"> metų planuojami elektros energijos įsigijimo kaštai technologinėms sąnaudoms įrenginiuose padengti;</w:t>
                      </w:r>
                    </w:p>
                    <w:p>
                      <w:pPr>
                        <w:tabs>
                          <w:tab w:val="left" w:pos="1134"/>
                          <w:tab w:val="left" w:pos="1843"/>
                          <w:tab w:val="left" w:pos="2268"/>
                        </w:tabs>
                        <w:jc w:val="both"/>
                        <w:rPr>
                          <w:szCs w:val="24"/>
                        </w:rPr>
                      </w:pPr>
                      <w:r>
                        <w:rPr>
                          <w:szCs w:val="24"/>
                        </w:rPr>
                        <w:t>E</w:t>
                      </w:r>
                      <w:r>
                        <w:rPr>
                          <w:szCs w:val="24"/>
                          <w:vertAlign w:val="subscript"/>
                        </w:rPr>
                        <w:t>n110v,t</w:t>
                      </w:r>
                      <w:r>
                        <w:rPr>
                          <w:szCs w:val="24"/>
                        </w:rPr>
                        <w:t xml:space="preserve"> – elektros energijos suvartojimas technologiniuose įrenginiuose perduodant elektros energiją šalies poreikiams,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perdavimo tinkle, EUR/kWh.</w:t>
                      </w:r>
                    </w:p>
                    <w:p>
                      <w:pPr>
                        <w:tabs>
                          <w:tab w:val="left" w:pos="1134"/>
                          <w:tab w:val="left" w:pos="1843"/>
                          <w:tab w:val="left" w:pos="2268"/>
                        </w:tabs>
                        <w:jc w:val="both"/>
                        <w:rPr>
                          <w:szCs w:val="24"/>
                        </w:rPr>
                      </w:pPr>
                    </w:p>
                    <w:p>
                      <w:pPr>
                        <w:tabs>
                          <w:tab w:val="left" w:pos="1134"/>
                          <w:tab w:val="left" w:pos="1843"/>
                          <w:tab w:val="left" w:pos="2268"/>
                        </w:tabs>
                        <w:jc w:val="both"/>
                        <w:rPr>
                          <w:szCs w:val="24"/>
                        </w:rPr>
                      </w:pPr>
                    </w:p>
                  </w:sdtContent>
                </w:sdt>
                <w:sdt>
                  <w:sdtPr>
                    <w:alias w:val="41-1 p."/>
                    <w:tag w:val="part_3cb1c8ff98d74d1ba3eedc9d488e639a"/>
                    <w:lock w:val="sdtLocked"/>
                    <w:richText/>
                  </w:sdtPr>
                  <w:sdtContent>
                    <w:p>
                      <w:pPr>
                        <w:tabs>
                          <w:tab w:val="right" w:pos="9639"/>
                        </w:tabs>
                        <w:ind w:firstLine="709"/>
                        <w:jc w:val="both"/>
                        <w:rPr>
                          <w:szCs w:val="22"/>
                        </w:rPr>
                      </w:pPr>
                      <w:sdt>
                        <w:sdtPr>
                          <w:alias w:val="Numeris"/>
                          <w:tag w:val="nr_3cb1c8ff98d74d1ba3eedc9d488e639a"/>
                          <w:lock w:val="sdtLocked"/>
                          <w:richText/>
                        </w:sdtPr>
                        <w:sdtContent>
                          <w:r>
                            <w:rPr>
                              <w:szCs w:val="22"/>
                            </w:rPr>
                            <w:t>41</w:t>
                          </w:r>
                          <w:r>
                            <w:rPr>
                              <w:szCs w:val="22"/>
                              <w:vertAlign w:val="superscript"/>
                            </w:rPr>
                            <w:t>1</w:t>
                          </w:r>
                        </w:sdtContent>
                      </w:sdt>
                      <w:r>
                        <w:rPr>
                          <w:szCs w:val="22"/>
                        </w:rPr>
                        <w:t>. Pajamos, gautos už naudojimosi jungiamosiomis linijomis paslaugas t metais apskaičiuojamos pagal formulę:</w:t>
                      </w:r>
                    </w:p>
                    <w:p>
                      <w:pPr>
                        <w:tabs>
                          <w:tab w:val="right" w:pos="9639"/>
                        </w:tabs>
                        <w:ind w:firstLine="709"/>
                        <w:jc w:val="both"/>
                        <w:rPr>
                          <w:szCs w:val="22"/>
                        </w:rPr>
                      </w:pP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NJL</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EE</m:t>
                            </m:r>
                          </m:e>
                          <m:sub>
                            <m:r>
                              <w:rPr>
                                <w:rFonts w:ascii="Cambria Math" w:hAnsi="Cambria Math"/>
                                <w:vertAlign w:val="subscript"/>
                              </w:rPr>
                              <m:t>NJL</m:t>
                            </m:r>
                            <m:r>
                              <w:rPr>
                                <w:rFonts w:ascii="Cambria Math" w:hAnsi="Cambria Math"/>
                                <w:vertAlign w:val="subscript"/>
                              </w:rPr>
                              <m:t>110,</m:t>
                            </m:r>
                            <m:r>
                              <w:rPr>
                                <w:rFonts w:ascii="Cambria Math" w:hAnsi="Cambria Math"/>
                                <w:vertAlign w:val="subscript"/>
                              </w:rPr>
                              <m:t>t</m:t>
                            </m:r>
                            <m:r>
                              <w:rPr>
                                <w:rFonts w:ascii="Cambria Math" w:hAnsi="Cambria Math"/>
                              </w:rPr>
                              <m:t xml:space="preserve"> </m:t>
                            </m:r>
                          </m:sub>
                        </m:sSub>
                      </m:oMath>
                      <w:r>
                        <w:rPr>
                          <w:szCs w:val="22"/>
                        </w:rPr>
                        <w:t>(17</w:t>
                      </w:r>
                      <w:r>
                        <w:rPr>
                          <w:szCs w:val="22"/>
                          <w:vertAlign w:val="superscript"/>
                        </w:rPr>
                        <w:t>1</w:t>
                      </w:r>
                      <w:r>
                        <w:rPr>
                          <w:szCs w:val="22"/>
                        </w:rPr>
                        <w:t>)</w:t>
                      </w:r>
                    </w:p>
                    <w:p>
                      <w:pPr>
                        <w:tabs>
                          <w:tab w:val="right" w:pos="9639"/>
                        </w:tabs>
                        <w:ind w:firstLine="709"/>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P</w:t>
                      </w:r>
                      <w:r>
                        <w:rPr>
                          <w:i/>
                          <w:szCs w:val="22"/>
                          <w:vertAlign w:val="subscript"/>
                        </w:rPr>
                        <w:t>NJL110</w:t>
                      </w:r>
                      <w:r>
                        <w:rPr>
                          <w:szCs w:val="22"/>
                          <w:vertAlign w:val="subscript"/>
                        </w:rPr>
                        <w:t>,</w:t>
                      </w:r>
                      <w:r>
                        <w:rPr>
                          <w:i/>
                          <w:szCs w:val="22"/>
                          <w:vertAlign w:val="subscript"/>
                        </w:rPr>
                        <w:t>t</w:t>
                      </w:r>
                      <w:r>
                        <w:rPr>
                          <w:szCs w:val="22"/>
                        </w:rPr>
                        <w:t xml:space="preserve"> – naudojimosi jungiamosiomis linijomis paslaugų kaina t metais, Eur/MWh;</w:t>
                      </w:r>
                    </w:p>
                    <w:p>
                      <w:pPr>
                        <w:tabs>
                          <w:tab w:val="right" w:pos="9639"/>
                        </w:tabs>
                        <w:ind w:firstLine="709"/>
                        <w:jc w:val="both"/>
                      </w:pPr>
                      <w:r>
                        <w:rPr>
                          <w:szCs w:val="22"/>
                        </w:rPr>
                        <w:t>EE</w:t>
                      </w:r>
                      <w:r>
                        <w:rPr>
                          <w:i/>
                          <w:szCs w:val="22"/>
                          <w:vertAlign w:val="subscript"/>
                        </w:rPr>
                        <w:t>NJL110,t</w:t>
                      </w:r>
                      <w:r>
                        <w:rPr>
                          <w:szCs w:val="22"/>
                          <w:vertAlign w:val="subscript"/>
                        </w:rPr>
                        <w:t xml:space="preserve"> </w:t>
                      </w:r>
                      <w:r>
                        <w:rPr>
                          <w:szCs w:val="22"/>
                        </w:rPr>
                        <w:t>– naudojimosi jungiamųjų linijų paslaugomis (elektros energijos eksporto į trečiąsias šalis) apimtis t metais, MWh.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
                  <w:sdtPr>
                    <w:alias w:val="41-2 p."/>
                    <w:tag w:val="part_c55ad94f7c904412bb20f9b3b4934a10"/>
                    <w:lock w:val="sdtLocked"/>
                    <w:richText/>
                  </w:sdtPr>
                  <w:sdtContent>
                    <w:p>
                      <w:pPr>
                        <w:tabs>
                          <w:tab w:val="right" w:pos="9639"/>
                        </w:tabs>
                        <w:ind w:firstLine="709"/>
                        <w:jc w:val="both"/>
                        <w:rPr>
                          <w:szCs w:val="22"/>
                        </w:rPr>
                      </w:pPr>
                      <w:sdt>
                        <w:sdtPr>
                          <w:alias w:val="Numeris"/>
                          <w:tag w:val="nr_c55ad94f7c904412bb20f9b3b4934a10"/>
                          <w:lock w:val="sdtLocked"/>
                          <w:richText/>
                        </w:sdtPr>
                        <w:sdtContent>
                          <w:r>
                            <w:rPr>
                              <w:szCs w:val="22"/>
                            </w:rPr>
                            <w:t>41</w:t>
                          </w:r>
                          <w:r>
                            <w:rPr>
                              <w:szCs w:val="22"/>
                              <w:vertAlign w:val="superscript"/>
                            </w:rPr>
                            <w:t>2</w:t>
                          </w:r>
                        </w:sdtContent>
                      </w:sdt>
                      <w:r>
                        <w:rPr>
                          <w:szCs w:val="22"/>
                        </w:rPr>
                        <w:t>. Naudojimosi jungiamosiomis linijomis paslaugų kaina t metais apskaičiuojama pagal formulę:</w:t>
                      </w: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NJL</m:t>
                            </m:r>
                          </m:e>
                          <m:sub>
                            <m:r>
                              <w:rPr>
                                <w:rFonts w:ascii="Cambria Math" w:hAnsi="Cambria Math"/>
                              </w:rPr>
                              <m:t>s</m:t>
                            </m:r>
                            <m:r>
                              <w:rPr>
                                <w:rFonts w:ascii="Cambria Math" w:hAnsi="Cambria Math"/>
                              </w:rPr>
                              <m:t>110,</m:t>
                            </m:r>
                            <m:r>
                              <w:rPr>
                                <w:rFonts w:ascii="Cambria Math" w:hAnsi="Cambria Math"/>
                              </w:rPr>
                              <m:t>t</m:t>
                            </m:r>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EE</m:t>
                            </m:r>
                          </m:e>
                          <m:sub>
                            <m:r>
                              <m:rPr>
                                <m:sty m:val="p"/>
                              </m:rPr>
                              <w:rPr>
                                <w:rFonts w:ascii="Cambria Math" w:hAnsi="Cambria Math"/>
                                <w:vertAlign w:val="subscript"/>
                              </w:rPr>
                              <m:t>NJL11</m:t>
                            </m:r>
                            <m:r>
                              <m:rPr>
                                <m:sty m:val="p"/>
                              </m:rPr>
                              <w:rPr>
                                <w:rFonts w:ascii="Cambria Math" w:hAnsi="Cambria Math"/>
                                <w:vertAlign w:val="subscript"/>
                              </w:rPr>
                              <m:t>0,t-2</m:t>
                            </m:r>
                            <m:r>
                              <m:rPr>
                                <m:sty m:val="p"/>
                              </m:rPr>
                              <w:rPr>
                                <w:rFonts w:ascii="Cambria Math" w:hAnsi="Cambria Math"/>
                              </w:rPr>
                              <m:t xml:space="preserve"> </m:t>
                            </m:r>
                          </m:sub>
                        </m:sSub>
                      </m:oMath>
                      <w:r>
                        <w:rPr>
                          <w:szCs w:val="22"/>
                        </w:rPr>
                        <w:t>(17</w:t>
                      </w:r>
                      <w:r>
                        <w:rPr>
                          <w:szCs w:val="22"/>
                          <w:vertAlign w:val="superscript"/>
                        </w:rPr>
                        <w:t>2</w:t>
                      </w:r>
                      <w:r>
                        <w:rPr>
                          <w:szCs w:val="22"/>
                        </w:rPr>
                        <w:t>)</w:t>
                      </w:r>
                    </w:p>
                    <w:p>
                      <w:pPr>
                        <w:tabs>
                          <w:tab w:val="right" w:pos="9639"/>
                        </w:tabs>
                        <w:ind w:firstLine="709"/>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NJL</w:t>
                      </w:r>
                      <w:r>
                        <w:rPr>
                          <w:szCs w:val="22"/>
                          <w:vertAlign w:val="subscript"/>
                        </w:rPr>
                        <w:t>s</w:t>
                      </w:r>
                      <w:r>
                        <w:rPr>
                          <w:i/>
                          <w:szCs w:val="22"/>
                          <w:vertAlign w:val="subscript"/>
                        </w:rPr>
                        <w:t>110</w:t>
                      </w:r>
                      <w:r>
                        <w:rPr>
                          <w:szCs w:val="22"/>
                          <w:vertAlign w:val="subscript"/>
                        </w:rPr>
                        <w:t>,</w:t>
                      </w:r>
                      <w:r>
                        <w:rPr>
                          <w:i/>
                          <w:szCs w:val="22"/>
                          <w:vertAlign w:val="subscript"/>
                        </w:rPr>
                        <w:t>t</w:t>
                      </w:r>
                      <w:r>
                        <w:rPr>
                          <w:szCs w:val="22"/>
                        </w:rPr>
                        <w:t xml:space="preserve"> – naudojimosi jungiamųjų linijų paslaugomis sąnaudos t-2 metais, Eur.</w:t>
                      </w:r>
                    </w:p>
                    <w:p>
                      <w:pPr>
                        <w:tabs>
                          <w:tab w:val="right" w:pos="9639"/>
                        </w:tabs>
                        <w:ind w:firstLine="709"/>
                        <w:jc w:val="both"/>
                        <w:rPr>
                          <w:szCs w:val="22"/>
                        </w:rPr>
                      </w:pPr>
                    </w:p>
                    <w:p>
                      <w:pPr>
                        <w:tabs>
                          <w:tab w:val="right" w:pos="9639"/>
                        </w:tabs>
                        <w:ind w:firstLine="709"/>
                        <w:jc w:val="both"/>
                        <w:rPr>
                          <w:szCs w:val="24"/>
                        </w:rPr>
                      </w:pPr>
                      <w:r>
                        <w:rPr>
                          <w:szCs w:val="22"/>
                        </w:rPr>
                        <w:t>Naudojimosi jungiamųjų linijų paslaugomis sąnaudos t-2 metais apskaičiuojamos vadovaujantis Aprašu pagal PSO pateiktus t-2 metų duomenis.</w:t>
                      </w:r>
                    </w:p>
                    <w:p>
                      <w:pPr>
                        <w:tabs>
                          <w:tab w:val="right" w:pos="9639"/>
                        </w:tabs>
                        <w:ind w:firstLine="709"/>
                        <w:jc w:val="both"/>
                      </w:pPr>
                      <w:r>
                        <w:rPr>
                          <w:szCs w:val="24"/>
                        </w:rPr>
                        <w:t xml:space="preserve">Į naudojimosi jungiamųjų linijų paslaugomis sąnaudas neįtraukiami patiriami kaštai pagal </w:t>
                      </w:r>
                      <w:r>
                        <w:rPr>
                          <w:iCs/>
                          <w:szCs w:val="24"/>
                        </w:rPr>
                        <w:t>ITC</w:t>
                      </w:r>
                      <w:r>
                        <w:rPr>
                          <w:szCs w:val="24"/>
                        </w:rPr>
                        <w:t xml:space="preserve"> mechanizmą.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
                  <w:sdtPr>
                    <w:alias w:val="41-3 p."/>
                    <w:tag w:val="part_4d42bbd1c40c4668b120f9cb6e7d9c41"/>
                    <w:lock w:val="sdtLocked"/>
                    <w:richText/>
                  </w:sdtPr>
                  <w:sdtContent>
                    <w:p>
                      <w:pPr>
                        <w:tabs>
                          <w:tab w:val="right" w:pos="9639"/>
                        </w:tabs>
                        <w:ind w:firstLine="709"/>
                        <w:jc w:val="both"/>
                        <w:rPr>
                          <w:szCs w:val="24"/>
                        </w:rPr>
                      </w:pPr>
                      <w:sdt>
                        <w:sdtPr>
                          <w:alias w:val="Numeris"/>
                          <w:tag w:val="nr_4d42bbd1c40c4668b120f9cb6e7d9c41"/>
                          <w:lock w:val="sdtLocked"/>
                          <w:richText/>
                        </w:sdtPr>
                        <w:sdtContent>
                          <w:r>
                            <w:rPr>
                              <w:szCs w:val="24"/>
                            </w:rPr>
                            <w:t>41</w:t>
                          </w:r>
                          <w:r>
                            <w:rPr>
                              <w:szCs w:val="24"/>
                              <w:vertAlign w:val="superscript"/>
                            </w:rPr>
                            <w:t>3</w:t>
                          </w:r>
                        </w:sdtContent>
                      </w:sdt>
                      <w:r>
                        <w:rPr>
                          <w:szCs w:val="24"/>
                        </w:rPr>
                        <w:t>. Pirmais dvejais naudojimosi jungiamosiomis linijomis paslaugų kainos nustatymo metais nustatoma naudojimosi jungiamosiomis linijomis paslaugų kaina apskaičiuojama pagal formulę:</w:t>
                      </w: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)/1000</m:t>
                            </m:r>
                          </m:num>
                          <m:den>
                            <m:sSub>
                              <m:sSubPr>
                                <m:ctrlPr>
                                  <w:rPr>
                                    <w:rFonts w:ascii="Cambria Math" w:hAnsi="Cambria Math"/>
                                    <w:i/>
                                  </w:rPr>
                                </m:ctrlPr>
                              </m:sSubPr>
                              <m:e>
                                <m:r>
                                  <w:rPr>
                                    <w:rFonts w:ascii="Cambria Math" w:hAnsi="Cambria Math"/>
                                  </w:rPr>
                                  <m:t>EE</m:t>
                                </m:r>
                              </m:e>
                              <m:sub>
                                <m:r>
                                  <w:rPr>
                                    <w:rFonts w:ascii="Cambria Math" w:hAnsi="Cambria Math"/>
                                  </w:rPr>
                                  <m:t>110,</m:t>
                                </m:r>
                                <m:r>
                                  <w:rPr>
                                    <w:rFonts w:ascii="Cambria Math" w:hAnsi="Cambria Math"/>
                                  </w:rPr>
                                  <m:t>t</m:t>
                                </m:r>
                              </m:sub>
                            </m:sSub>
                          </m:den>
                        </m:f>
                        <m:r>
                          <w:rPr>
                            <w:rFonts w:ascii="Cambria Math" w:hAnsi="Cambria Math"/>
                          </w:rPr>
                          <m:t>*</m:t>
                        </m:r>
                        <m:sSub>
                          <m:sSubPr>
                            <m:ctrlPr>
                              <w:rPr>
                                <w:rFonts w:ascii="Cambria Math" w:hAnsi="Cambria Math"/>
                                <w:i/>
                              </w:rPr>
                            </m:ctrlPr>
                          </m:sSubPr>
                          <m:e>
                            <m:r>
                              <w:rPr>
                                <w:rFonts w:ascii="Cambria Math" w:hAnsi="Cambria Math"/>
                              </w:rPr>
                              <m:t>P</m:t>
                            </m:r>
                          </m:e>
                          <m:sub>
                            <m:r>
                              <m:rPr>
                                <m:sty m:val="p"/>
                              </m:rPr>
                              <w:rPr>
                                <w:rFonts w:ascii="Cambria Math" w:hAnsi="Cambria Math"/>
                                <w:vertAlign w:val="subscript"/>
                              </w:rPr>
                              <m:t>R,t</m:t>
                            </m:r>
                            <m:r>
                              <m:rPr>
                                <m:sty m:val="p"/>
                              </m:rPr>
                              <w:rPr>
                                <w:rFonts w:ascii="Cambria Math" w:hAnsi="Cambria Math"/>
                              </w:rPr>
                              <m:t xml:space="preserve"> </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FC</m:t>
                                </m:r>
                              </m:e>
                              <m:sub>
                                <m:r>
                                  <w:rPr>
                                    <w:rFonts w:ascii="Cambria Math" w:hAnsi="Cambria Math"/>
                                  </w:rPr>
                                  <m:t>NJL</m:t>
                                </m:r>
                                <m:r>
                                  <w:rPr>
                                    <w:rFonts w:ascii="Cambria Math" w:hAnsi="Cambria Math"/>
                                  </w:rPr>
                                  <m:t xml:space="preserve"> 110,</m:t>
                                </m:r>
                                <m:r>
                                  <w:rPr>
                                    <w:rFonts w:ascii="Cambria Math" w:hAnsi="Cambria Math"/>
                                  </w:rPr>
                                  <m:t>t</m:t>
                                </m:r>
                              </m:sub>
                            </m:sSub>
                          </m:num>
                          <m:den>
                            <m:sSub>
                              <m:sSubPr>
                                <m:ctrlPr>
                                  <w:rPr>
                                    <w:rFonts w:ascii="Cambria Math" w:hAnsi="Cambria Math"/>
                                    <w:i/>
                                  </w:rPr>
                                </m:ctrlPr>
                              </m:sSubPr>
                              <m:e>
                                <m:r>
                                  <w:rPr>
                                    <w:rFonts w:ascii="Cambria Math" w:hAnsi="Cambria Math"/>
                                  </w:rPr>
                                  <m:t>EE</m:t>
                                </m:r>
                              </m:e>
                              <m:sub>
                                <m:r>
                                  <w:rPr>
                                    <w:rFonts w:ascii="Cambria Math" w:hAnsi="Cambria Math"/>
                                  </w:rPr>
                                  <m:t>NJL</m:t>
                                </m:r>
                                <m:r>
                                  <w:rPr>
                                    <w:rFonts w:ascii="Cambria Math" w:hAnsi="Cambria Math"/>
                                  </w:rPr>
                                  <m:t>110,</m:t>
                                </m:r>
                                <m:r>
                                  <w:rPr>
                                    <w:rFonts w:ascii="Cambria Math" w:hAnsi="Cambria Math"/>
                                  </w:rPr>
                                  <m:t>t</m:t>
                                </m:r>
                              </m:sub>
                            </m:sSub>
                          </m:den>
                        </m:f>
                      </m:oMath>
                      <w:r>
                        <w:rPr>
                          <w:szCs w:val="22"/>
                        </w:rPr>
                        <w:t>(17</w:t>
                      </w:r>
                      <w:r>
                        <w:rPr>
                          <w:szCs w:val="22"/>
                          <w:vertAlign w:val="superscript"/>
                        </w:rPr>
                        <w:t>3</w:t>
                      </w:r>
                      <w:r>
                        <w:rPr>
                          <w:szCs w:val="22"/>
                        </w:rPr>
                        <w:t>)</w:t>
                      </w:r>
                    </w:p>
                    <w:p>
                      <w:pPr>
                        <w:tabs>
                          <w:tab w:val="right" w:pos="9639"/>
                        </w:tabs>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EE</w:t>
                      </w:r>
                      <w:r>
                        <w:rPr>
                          <w:i/>
                          <w:szCs w:val="22"/>
                          <w:vertAlign w:val="subscript"/>
                        </w:rPr>
                        <w:t>110,t</w:t>
                      </w:r>
                      <w:r>
                        <w:rPr>
                          <w:szCs w:val="22"/>
                        </w:rPr>
                        <w:t xml:space="preserve"> – planuojama naudojimosi perdavimo sistema apimtis t metais, iš viso, MWh;</w:t>
                      </w:r>
                    </w:p>
                    <w:p>
                      <w:pPr>
                        <w:ind w:firstLine="709"/>
                        <w:jc w:val="both"/>
                        <w:rPr>
                          <w:color w:val="000000"/>
                          <w:szCs w:val="24"/>
                        </w:rPr>
                      </w:pPr>
                      <w:r>
                        <w:rPr>
                          <w:color w:val="000000"/>
                          <w:szCs w:val="24"/>
                        </w:rPr>
                        <w:t>FC</w:t>
                      </w:r>
                      <w:r>
                        <w:rPr>
                          <w:i/>
                          <w:color w:val="000000"/>
                          <w:szCs w:val="24"/>
                          <w:vertAlign w:val="subscript"/>
                        </w:rPr>
                        <w:t>NJL110,t</w:t>
                      </w:r>
                      <w:r>
                        <w:rPr>
                          <w:color w:val="000000"/>
                          <w:szCs w:val="24"/>
                        </w:rPr>
                        <w:t xml:space="preserve"> – planuojama pastoviųjų sąnaudų, tenkanti naudojimosi jungiamųjų linijų paslaugoms t metais, dalis, Eur. Pastoviosios sąnaudos nustatomos vadovaujantis Aprašu.</w:t>
                      </w:r>
                    </w:p>
                    <w:p>
                      <w:pPr>
                        <w:tabs>
                          <w:tab w:val="right" w:pos="9639"/>
                        </w:tabs>
                        <w:ind w:firstLine="709"/>
                        <w:jc w:val="both"/>
                        <w:rPr>
                          <w:szCs w:val="22"/>
                        </w:rPr>
                      </w:pPr>
                      <w:r>
                        <w:rPr>
                          <w:szCs w:val="24"/>
                        </w:rPr>
                        <w:t>P</w:t>
                      </w:r>
                      <w:r>
                        <w:rPr>
                          <w:i/>
                          <w:szCs w:val="24"/>
                          <w:vertAlign w:val="subscript"/>
                        </w:rPr>
                        <w:t>R,t</w:t>
                      </w:r>
                      <w:r>
                        <w:rPr>
                          <w:szCs w:val="24"/>
                        </w:rPr>
                        <w:t xml:space="preserve"> </w:t>
                      </w:r>
                      <w:r>
                        <w:rPr>
                          <w:szCs w:val="22"/>
                        </w:rPr>
                        <w:t>–</w:t>
                      </w:r>
                      <w:r>
                        <w:rPr>
                          <w:szCs w:val="24"/>
                        </w:rPr>
                        <w:t xml:space="preserve"> rinkos kaina t metais nustatoma, vadovaujantis Elektros energijos rinkos kainos nustatymo metodika, patvirtinta Komisijos 2011 m. liepos 8 d. nutarimu Nr. O3-175 „Dėl Elektros energijos rinkos kainos nustatymo metodikos patvirtinimo“, Eur/MWh</w:t>
                      </w:r>
                      <w:r>
                        <w:rPr>
                          <w:szCs w:val="22"/>
                        </w:rPr>
                        <w:t>.</w:t>
                      </w:r>
                    </w:p>
                    <w:p>
                      <w:pPr>
                        <w:tabs>
                          <w:tab w:val="right" w:pos="9639"/>
                        </w:tabs>
                        <w:ind w:firstLine="709"/>
                        <w:jc w:val="both"/>
                        <w:rPr>
                          <w:szCs w:val="24"/>
                        </w:rPr>
                      </w:pPr>
                      <w:r>
                        <w:rPr>
                          <w:szCs w:val="24"/>
                        </w:rPr>
                        <w:t>Į pastoviąsias sąnaudas, tenkančias naudojimosi jungiamųjų linijų paslaugoms, neįtraukiami patiriami kaštai pagal ITC mechanizmą.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Content>
            </w:sdt>
            <w:sdt>
              <w:sdtPr>
                <w:alias w:val="skirsnis"/>
                <w:tag w:val="part_876a24b65d6c47c188df368e2e822039"/>
                <w:lock w:val="sdtLocked"/>
                <w:richText/>
              </w:sdtPr>
              <w:sdtContent>
                <w:p>
                  <w:pPr>
                    <w:keepNext/>
                    <w:keepLines/>
                    <w:tabs>
                      <w:tab w:val="left" w:pos="1134"/>
                      <w:tab w:val="left" w:pos="1843"/>
                      <w:tab w:val="left" w:pos="2268"/>
                    </w:tabs>
                    <w:jc w:val="center"/>
                    <w:outlineLvl w:val="1"/>
                    <w:rPr>
                      <w:b/>
                      <w:bCs/>
                      <w:szCs w:val="24"/>
                    </w:rPr>
                  </w:pPr>
                  <w:sdt>
                    <w:sdtPr>
                      <w:alias w:val="Numeris"/>
                      <w:tag w:val="nr_876a24b65d6c47c188df368e2e822039"/>
                      <w:lock w:val="sdtLocked"/>
                      <w:richText/>
                    </w:sdtPr>
                    <w:sdtContent>
                      <w:r>
                        <w:rPr>
                          <w:b/>
                          <w:bCs/>
                          <w:szCs w:val="24"/>
                        </w:rPr>
                        <w:t>TREČIASIS</w:t>
                      </w:r>
                    </w:sdtContent>
                  </w:sdt>
                  <w:r>
                    <w:rPr>
                      <w:b/>
                      <w:bCs/>
                      <w:szCs w:val="24"/>
                    </w:rPr>
                    <w:t xml:space="preserve"> SKIRSNIS</w:t>
                  </w:r>
                </w:p>
                <w:p>
                  <w:pPr>
                    <w:keepNext/>
                    <w:keepLines/>
                    <w:tabs>
                      <w:tab w:val="left" w:pos="1134"/>
                      <w:tab w:val="left" w:pos="1843"/>
                      <w:tab w:val="left" w:pos="2268"/>
                    </w:tabs>
                    <w:jc w:val="center"/>
                    <w:outlineLvl w:val="1"/>
                    <w:rPr>
                      <w:b/>
                      <w:bCs/>
                      <w:szCs w:val="24"/>
                    </w:rPr>
                  </w:pPr>
                  <w:sdt>
                    <w:sdtPr>
                      <w:alias w:val="Pavadinimas"/>
                      <w:tag w:val="title_876a24b65d6c47c188df368e2e822039"/>
                      <w:lock w:val="sdtLocked"/>
                      <w:richText/>
                    </w:sdtPr>
                    <w:sdtContent>
                      <w:r>
                        <w:rPr>
                          <w:b/>
                          <w:bCs/>
                          <w:szCs w:val="24"/>
                        </w:rPr>
                        <w:t>PERDAVIMO PASLAUGOS AUKŠTOS ĮTAMPOS TINKLAIS KAINOS VIRŠUTINĖS RIBOS NUSTATYMAS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42 p."/>
                    <w:tag w:val="part_8856d7c770a748478da9c29d295af0e2"/>
                    <w:lock w:val="sdtLocked"/>
                    <w:richText/>
                  </w:sdtPr>
                  <w:sdtContent>
                    <w:p>
                      <w:pPr>
                        <w:tabs>
                          <w:tab w:val="left" w:pos="1134"/>
                        </w:tabs>
                        <w:ind w:firstLine="709"/>
                        <w:jc w:val="both"/>
                        <w:rPr>
                          <w:szCs w:val="24"/>
                        </w:rPr>
                      </w:pPr>
                      <w:sdt>
                        <w:sdtPr>
                          <w:alias w:val="Numeris"/>
                          <w:tag w:val="nr_8856d7c770a748478da9c29d295af0e2"/>
                          <w:lock w:val="sdtLocked"/>
                          <w:richText/>
                        </w:sdtPr>
                        <w:sdtContent>
                          <w:r>
                            <w:rPr>
                              <w:szCs w:val="24"/>
                            </w:rPr>
                            <w:t>42</w:t>
                          </w:r>
                        </w:sdtContent>
                      </w:sdt>
                      <w:r>
                        <w:rPr>
                          <w:szCs w:val="24"/>
                        </w:rPr>
                        <w:t xml:space="preserve">. Elektros energijos perdavimo aukštos įtampos tinklais paslaugos kainos viršutinė riba visam reguliavimo periodui apskaičiuojama galutines pirmiems reguliavimo periodo metams PSO leidžiamas pajamas padalijus iš planuojamo perduoti elektros energijos kiekio šalies poreikiams. Paslaugos kainos  viršutinė riba per reguliavimo periodą koreguojama indeksacijos, kiekio poveikio ir korekcijos  koeficientais bei Metodikos 33 punkte nurodytomis korekcijomis.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3 p."/>
                    <w:tag w:val="part_7a6915c175de4855afb970d9ede41f68"/>
                    <w:lock w:val="sdtLocked"/>
                    <w:richText/>
                  </w:sdtPr>
                  <w:sdtContent>
                    <w:p>
                      <w:pPr>
                        <w:tabs>
                          <w:tab w:val="left" w:pos="1134"/>
                        </w:tabs>
                        <w:ind w:firstLine="709"/>
                        <w:jc w:val="both"/>
                        <w:rPr>
                          <w:szCs w:val="24"/>
                        </w:rPr>
                      </w:pPr>
                      <w:sdt>
                        <w:sdtPr>
                          <w:alias w:val="Numeris"/>
                          <w:tag w:val="nr_7a6915c175de4855afb970d9ede41f68"/>
                          <w:lock w:val="sdtLocked"/>
                          <w:richText/>
                        </w:sdtPr>
                        <w:sdtContent>
                          <w:r>
                            <w:rPr>
                              <w:szCs w:val="24"/>
                            </w:rPr>
                            <w:t>43</w:t>
                          </w:r>
                        </w:sdtContent>
                      </w:sdt>
                      <w:r>
                        <w:rPr>
                          <w:szCs w:val="24"/>
                        </w:rPr>
                        <w:t xml:space="preserve">. Viršutinė kainos riba koreguojama dėl faktinės ir Modeliu planuotos infliacijos neatitikties, faktiškai perduoto ir prognozuoto kiekio neatitikties, Metodikos 33 punkte numatytų koregavimų bei faktinių PSO gautų pajamų bei pajamų, kurias buvo leista PSO gauti perduodant elektros energiją šalies poreikiams. Faktiniai dydžiai įvertinami </w:t>
                      </w:r>
                      <w:r>
                        <w:rPr>
                          <w:i/>
                          <w:iCs/>
                          <w:szCs w:val="24"/>
                        </w:rPr>
                        <w:t xml:space="preserve">t </w:t>
                      </w:r>
                      <w:r>
                        <w:rPr>
                          <w:szCs w:val="24"/>
                        </w:rPr>
                        <w:t xml:space="preserve">metais už </w:t>
                      </w:r>
                      <w:r>
                        <w:rPr>
                          <w:i/>
                          <w:iCs/>
                          <w:szCs w:val="24"/>
                        </w:rPr>
                        <w:t xml:space="preserve">t-2 </w:t>
                      </w:r>
                      <w:r>
                        <w:rPr>
                          <w:szCs w:val="24"/>
                        </w:rPr>
                        <w:t>periodą.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4 p."/>
                    <w:tag w:val="part_d5bf40d9de194e2d9baac6430d39ba48"/>
                    <w:lock w:val="sdtLocked"/>
                    <w:richText/>
                  </w:sdtPr>
                  <w:sdtContent>
                    <w:p>
                      <w:pPr>
                        <w:tabs>
                          <w:tab w:val="left" w:pos="1080"/>
                          <w:tab w:val="left" w:pos="1843"/>
                          <w:tab w:val="left" w:pos="2268"/>
                        </w:tabs>
                        <w:ind w:firstLine="720"/>
                        <w:jc w:val="both"/>
                        <w:rPr>
                          <w:szCs w:val="24"/>
                        </w:rPr>
                      </w:pPr>
                      <w:sdt>
                        <w:sdtPr>
                          <w:alias w:val="Numeris"/>
                          <w:tag w:val="nr_d5bf40d9de194e2d9baac6430d39ba48"/>
                          <w:lock w:val="sdtLocked"/>
                          <w:richText/>
                        </w:sdtPr>
                        <w:sdtContent>
                          <w:r>
                            <w:rPr>
                              <w:szCs w:val="24"/>
                            </w:rPr>
                            <w:t>44</w:t>
                          </w:r>
                        </w:sdtContent>
                      </w:sdt>
                      <w:r>
                        <w:rPr>
                          <w:szCs w:val="24"/>
                        </w:rPr>
                        <w:t xml:space="preserve">. Bazinė perdavimo aukštos įtampos tinklais kainos viršutinė riba apskaičiuojama </w:t>
                      </w:r>
                      <w:r>
                        <w:rPr>
                          <w:i/>
                          <w:szCs w:val="24"/>
                        </w:rPr>
                        <w:t>t</w:t>
                      </w:r>
                      <w:r>
                        <w:rPr>
                          <w:szCs w:val="24"/>
                        </w:rPr>
                        <w:t xml:space="preserve"> metų leidžiamas PSO pajamas padalijant iš planuojamo perduoti elektros energijos kiekio šalies poreikiams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T</m:t>
                            </m:r>
                          </m:e>
                          <m:sub>
                            <m:r>
                              <w:rPr>
                                <w:rFonts w:ascii="Cambria Math" w:hAnsi="Cambria Math"/>
                              </w:rPr>
                              <m:t>110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110,</m:t>
                                </m:r>
                                <m:r>
                                  <w:rPr>
                                    <w:rFonts w:ascii="Cambria Math" w:hAnsi="Cambria Math"/>
                                  </w:rPr>
                                  <m:t>t</m:t>
                                </m:r>
                              </m:sub>
                            </m:sSub>
                          </m:den>
                        </m:f>
                      </m:oMath>
                      <w:r>
                        <w:tab/>
                      </w:r>
                      <w:r>
                        <w:rPr>
                          <w:szCs w:val="24"/>
                        </w:rPr>
                        <w:t>(18)</w:t>
                      </w:r>
                    </w:p>
                    <w:p>
                      <w:pPr>
                        <w:tabs>
                          <w:tab w:val="left" w:pos="1134"/>
                          <w:tab w:val="left" w:pos="1843"/>
                          <w:tab w:val="left" w:pos="2268"/>
                        </w:tabs>
                        <w:jc w:val="both"/>
                        <w:rPr>
                          <w:i/>
                          <w:szCs w:val="24"/>
                        </w:rPr>
                      </w:pPr>
                    </w:p>
                    <w:p>
                      <w:pPr>
                        <w:tabs>
                          <w:tab w:val="left" w:pos="1134"/>
                          <w:tab w:val="left" w:pos="1843"/>
                          <w:tab w:val="left" w:pos="2268"/>
                        </w:tabs>
                        <w:jc w:val="both"/>
                        <w:rPr>
                          <w:i/>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110</w:t>
                      </w:r>
                      <w:r>
                        <w:rPr>
                          <w:szCs w:val="24"/>
                        </w:rPr>
                        <w:t xml:space="preserve"> – bazinė elektros energijos perdavimo kainos viršutinė riba, EUR/kWh;</w:t>
                      </w:r>
                    </w:p>
                    <w:p>
                      <w:pPr>
                        <w:tabs>
                          <w:tab w:val="left" w:pos="1134"/>
                          <w:tab w:val="left" w:pos="1843"/>
                          <w:tab w:val="left" w:pos="2268"/>
                        </w:tabs>
                        <w:jc w:val="both"/>
                        <w:rPr>
                          <w:szCs w:val="24"/>
                        </w:rPr>
                      </w:pPr>
                      <w:r>
                        <w:rPr>
                          <w:szCs w:val="24"/>
                        </w:rPr>
                        <w:t>P</w:t>
                      </w:r>
                      <w:r>
                        <w:rPr>
                          <w:szCs w:val="24"/>
                          <w:vertAlign w:val="subscript"/>
                        </w:rPr>
                        <w:t>110,t</w:t>
                      </w:r>
                      <w:r>
                        <w:rPr>
                          <w:szCs w:val="24"/>
                        </w:rPr>
                        <w:t xml:space="preserve"> – galutinės PSO </w:t>
                      </w:r>
                      <w:r>
                        <w:rPr>
                          <w:i/>
                          <w:szCs w:val="24"/>
                        </w:rPr>
                        <w:t>t</w:t>
                      </w:r>
                      <w:r>
                        <w:rPr>
                          <w:szCs w:val="24"/>
                        </w:rPr>
                        <w:t xml:space="preserve"> metams leidžiamos pajamos, EUR;</w:t>
                      </w:r>
                    </w:p>
                    <w:p>
                      <w:pPr>
                        <w:tabs>
                          <w:tab w:val="left" w:pos="1134"/>
                          <w:tab w:val="left" w:pos="1843"/>
                          <w:tab w:val="left" w:pos="2268"/>
                        </w:tabs>
                        <w:jc w:val="both"/>
                        <w:rPr>
                          <w:szCs w:val="24"/>
                        </w:rPr>
                      </w:pPr>
                      <w:r>
                        <w:rPr>
                          <w:szCs w:val="24"/>
                        </w:rPr>
                        <w:t>E</w:t>
                      </w:r>
                      <w:r>
                        <w:rPr>
                          <w:szCs w:val="24"/>
                          <w:vertAlign w:val="subscript"/>
                        </w:rPr>
                        <w:t xml:space="preserve">110,t </w:t>
                      </w:r>
                      <w:r>
                        <w:rPr>
                          <w:szCs w:val="24"/>
                        </w:rPr>
                        <w:t xml:space="preserve">– PSO planuojamas perduoti elektros energijos kiekis AĮ tinklais šalies poreikiams </w:t>
                      </w:r>
                      <w:r>
                        <w:rPr>
                          <w:i/>
                          <w:szCs w:val="24"/>
                        </w:rPr>
                        <w:t xml:space="preserve">t </w:t>
                      </w:r>
                      <w:r>
                        <w:rPr>
                          <w:szCs w:val="24"/>
                        </w:rPr>
                        <w:t>metams, kWh.</w:t>
                      </w:r>
                    </w:p>
                  </w:sdtContent>
                </w:sdt>
                <w:sdt>
                  <w:sdtPr>
                    <w:alias w:val="45 p."/>
                    <w:tag w:val="part_d14bfb778fca4062a61cefadbad5af90"/>
                    <w:lock w:val="sdtLocked"/>
                    <w:richText/>
                  </w:sdtPr>
                  <w:sdtContent>
                    <w:p>
                      <w:pPr>
                        <w:tabs>
                          <w:tab w:val="left" w:pos="1134"/>
                        </w:tabs>
                        <w:ind w:firstLine="709"/>
                        <w:jc w:val="both"/>
                        <w:rPr>
                          <w:szCs w:val="24"/>
                        </w:rPr>
                      </w:pPr>
                      <w:sdt>
                        <w:sdtPr>
                          <w:alias w:val="Numeris"/>
                          <w:tag w:val="nr_d14bfb778fca4062a61cefadbad5af90"/>
                          <w:lock w:val="sdtLocked"/>
                          <w:richText/>
                        </w:sdtPr>
                        <w:sdtContent>
                          <w:r>
                            <w:rPr>
                              <w:szCs w:val="24"/>
                            </w:rPr>
                            <w:t>45</w:t>
                          </w:r>
                        </w:sdtContent>
                      </w:sdt>
                      <w:r>
                        <w:rPr>
                          <w:szCs w:val="24"/>
                        </w:rPr>
                        <w:t>. Perdavimo paslaugos kainos viršutinės ribos indeksavimo koeficientas apskaičiuojamas lyginant t-2 reguliavimo metams planuotą ir t-2 metų faktinę infliaciją OPEX (išskyrus darbo užmokesčio kaštus) kaštų atveju bei vidutinį darbo užmokesčio pokytį – darbo užmokesčio atveju. Šios korekcijos tikslas − leisti kainos viršutines ribas koreguoti dėl faktinio infliacijos bei vidutinio darbo užmokesčio pokyčio lygio pasikeitimo.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6 p."/>
                    <w:tag w:val="part_6d71b818d05d435d842387a0ed7aa415"/>
                    <w:lock w:val="sdtLocked"/>
                    <w:richText/>
                  </w:sdtPr>
                  <w:sdtContent>
                    <w:p>
                      <w:pPr>
                        <w:tabs>
                          <w:tab w:val="left" w:pos="1134"/>
                        </w:tabs>
                        <w:ind w:firstLine="709"/>
                        <w:jc w:val="both"/>
                        <w:rPr>
                          <w:szCs w:val="24"/>
                        </w:rPr>
                      </w:pPr>
                      <w:sdt>
                        <w:sdtPr>
                          <w:alias w:val="Numeris"/>
                          <w:tag w:val="nr_6d71b818d05d435d842387a0ed7aa415"/>
                          <w:lock w:val="sdtLocked"/>
                          <w:richText/>
                        </w:sdtPr>
                        <w:sdtContent>
                          <w:r>
                            <w:rPr>
                              <w:szCs w:val="24"/>
                            </w:rPr>
                            <w:t>46</w:t>
                          </w:r>
                        </w:sdtContent>
                      </w:sdt>
                      <w:r>
                        <w:rPr>
                          <w:szCs w:val="24"/>
                        </w:rPr>
                        <w:t xml:space="preserve">. Infliacija arba vidutinis darbo užmokesčio pokytis  taikomas tik OPEX, kai žinoma t-2 metų faktinė infliacija arba vidutinio darbo užmokesčio pokytis.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7 p."/>
                    <w:tag w:val="part_bd22e1cf391542c08dcfcef224fb5dae"/>
                    <w:lock w:val="sdtLocked"/>
                    <w:richText/>
                  </w:sdtPr>
                  <w:sdtContent>
                    <w:p>
                      <w:pPr>
                        <w:tabs>
                          <w:tab w:val="left" w:pos="1080"/>
                          <w:tab w:val="left" w:pos="1843"/>
                          <w:tab w:val="left" w:pos="2268"/>
                        </w:tabs>
                        <w:ind w:firstLine="720"/>
                        <w:jc w:val="both"/>
                        <w:rPr>
                          <w:szCs w:val="24"/>
                        </w:rPr>
                      </w:pPr>
                      <w:sdt>
                        <w:sdtPr>
                          <w:alias w:val="Numeris"/>
                          <w:tag w:val="nr_bd22e1cf391542c08dcfcef224fb5dae"/>
                          <w:lock w:val="sdtLocked"/>
                          <w:richText/>
                        </w:sdtPr>
                        <w:sdtContent>
                          <w:r>
                            <w:rPr>
                              <w:szCs w:val="24"/>
                            </w:rPr>
                            <w:t>47</w:t>
                          </w:r>
                        </w:sdtContent>
                      </w:sdt>
                      <w:r>
                        <w:rPr>
                          <w:szCs w:val="24"/>
                        </w:rPr>
                        <w:t>. Indeksavimo koeficientas apskaičiuojamas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IK</m:t>
                            </m:r>
                          </m:e>
                          <m:sub>
                            <m:r>
                              <w:rPr>
                                <w:rFonts w:ascii="Cambria Math" w:hAnsi="Cambria Math"/>
                              </w:rPr>
                              <m:t>110,</m:t>
                            </m:r>
                            <m:r>
                              <w:rPr>
                                <w:rFonts w:ascii="Cambria Math" w:hAnsi="Cambria Math"/>
                              </w:rPr>
                              <m:t>t</m:t>
                            </m:r>
                          </m:sub>
                        </m:sSub>
                        <m:r>
                          <w:rPr>
                            <w:rFonts w:ascii="Cambria Math" w:hAnsi="Cambria Math"/>
                          </w:rPr>
                          <m:t>=1+(</m:t>
                        </m:r>
                        <m:d>
                          <m:dPr>
                            <m:ctrlPr>
                              <w:rPr>
                                <w:rFonts w:ascii="Cambria Math" w:hAnsi="Cambria Math"/>
                                <w:i/>
                              </w:rPr>
                            </m:ctrlPr>
                          </m:dPr>
                          <m:e>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pl</m:t>
                                </m:r>
                              </m:sup>
                            </m:sSubSup>
                          </m:e>
                        </m:d>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m:t>
                            </m:r>
                            <m:r>
                              <w:rPr>
                                <w:rFonts w:ascii="Cambria Math" w:hAnsi="Cambria Math"/>
                              </w:rPr>
                              <m:t>110</m:t>
                            </m:r>
                          </m:sub>
                        </m:sSub>
                        <m:r>
                          <w:rPr>
                            <w:rFonts w:ascii="Cambria Math" w:hAnsi="Cambria Math"/>
                          </w:rPr>
                          <m:t>)</m:t>
                        </m:r>
                      </m:oMath>
                      <w:r>
                        <w:tab/>
                      </w:r>
                      <w:r>
                        <w:rPr>
                          <w:szCs w:val="24"/>
                        </w:rPr>
                        <w:t>(19)</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IK</w:t>
                      </w:r>
                      <w:r>
                        <w:rPr>
                          <w:szCs w:val="24"/>
                          <w:vertAlign w:val="subscript"/>
                        </w:rPr>
                        <w:t>110,t</w:t>
                      </w:r>
                      <w:r>
                        <w:rPr>
                          <w:szCs w:val="24"/>
                        </w:rPr>
                        <w:t xml:space="preserve"> – </w:t>
                      </w:r>
                      <w:r>
                        <w:rPr>
                          <w:i/>
                          <w:szCs w:val="24"/>
                        </w:rPr>
                        <w:t>t</w:t>
                      </w:r>
                      <w:r>
                        <w:rPr>
                          <w:szCs w:val="24"/>
                        </w:rPr>
                        <w:t xml:space="preserve"> metų indeksavimo koeficientas perdavimo AĮ tinklais kainos viršutinei ribai;</w:t>
                      </w:r>
                    </w:p>
                    <w:p>
                      <w:pPr>
                        <w:tabs>
                          <w:tab w:val="left" w:pos="1134"/>
                          <w:tab w:val="left" w:pos="1843"/>
                          <w:tab w:val="left" w:pos="2268"/>
                        </w:tabs>
                        <w:jc w:val="both"/>
                        <w:rPr>
                          <w:szCs w:val="24"/>
                        </w:rPr>
                      </w:pPr>
                      <w:r>
                        <w:rPr>
                          <w:i/>
                          <w:szCs w:val="24"/>
                        </w:rPr>
                        <w:t>i</w:t>
                      </w:r>
                      <w:r>
                        <w:rPr>
                          <w:i/>
                          <w:szCs w:val="24"/>
                          <w:vertAlign w:val="superscript"/>
                        </w:rPr>
                        <w:t>f</w:t>
                      </w:r>
                      <w:r>
                        <w:rPr>
                          <w:i/>
                          <w:szCs w:val="24"/>
                          <w:vertAlign w:val="subscript"/>
                        </w:rPr>
                        <w:t>t-2</w:t>
                      </w:r>
                      <w:r>
                        <w:rPr>
                          <w:szCs w:val="24"/>
                        </w:rPr>
                        <w:t xml:space="preserve"> – faktinės vidutinės </w:t>
                      </w:r>
                      <w:r>
                        <w:rPr>
                          <w:i/>
                          <w:szCs w:val="24"/>
                        </w:rPr>
                        <w:t>t-2</w:t>
                      </w:r>
                      <w:r>
                        <w:rPr>
                          <w:szCs w:val="24"/>
                        </w:rPr>
                        <w:t xml:space="preserve"> reguliavimo metų infliacijos koeficientas;</w:t>
                      </w:r>
                    </w:p>
                    <w:p>
                      <w:pPr>
                        <w:tabs>
                          <w:tab w:val="left" w:pos="1134"/>
                          <w:tab w:val="left" w:pos="1843"/>
                          <w:tab w:val="left" w:pos="2268"/>
                        </w:tabs>
                        <w:jc w:val="both"/>
                        <w:rPr>
                          <w:szCs w:val="24"/>
                        </w:rPr>
                      </w:pPr>
                      <w:r>
                        <w:rPr>
                          <w:i/>
                          <w:szCs w:val="24"/>
                        </w:rPr>
                        <w:t>i</w:t>
                      </w:r>
                      <w:r>
                        <w:rPr>
                          <w:i/>
                          <w:szCs w:val="24"/>
                          <w:vertAlign w:val="superscript"/>
                        </w:rPr>
                        <w:t>pl</w:t>
                      </w:r>
                      <w:r>
                        <w:rPr>
                          <w:i/>
                          <w:szCs w:val="24"/>
                          <w:vertAlign w:val="subscript"/>
                        </w:rPr>
                        <w:t>t-2</w:t>
                      </w:r>
                      <w:r>
                        <w:rPr>
                          <w:szCs w:val="24"/>
                        </w:rPr>
                        <w:t xml:space="preserve"> – planuotas </w:t>
                      </w:r>
                      <w:r>
                        <w:rPr>
                          <w:i/>
                          <w:szCs w:val="24"/>
                        </w:rPr>
                        <w:t>t-2</w:t>
                      </w:r>
                      <w:r>
                        <w:rPr>
                          <w:szCs w:val="24"/>
                        </w:rPr>
                        <w:t xml:space="preserve"> reguliavimo metų infliacijos koeficientas;</w:t>
                      </w:r>
                    </w:p>
                    <w:p>
                      <w:pPr>
                        <w:tabs>
                          <w:tab w:val="left" w:pos="1134"/>
                          <w:tab w:val="left" w:pos="1843"/>
                          <w:tab w:val="left" w:pos="2268"/>
                        </w:tabs>
                        <w:jc w:val="both"/>
                        <w:rPr>
                          <w:szCs w:val="24"/>
                        </w:rPr>
                      </w:pPr>
                      <w:r>
                        <w:rPr>
                          <w:szCs w:val="24"/>
                        </w:rPr>
                        <w:t>L</w:t>
                      </w:r>
                      <w:r>
                        <w:rPr>
                          <w:szCs w:val="24"/>
                          <w:vertAlign w:val="subscript"/>
                        </w:rPr>
                        <w:t>k110</w:t>
                      </w:r>
                      <w:r>
                        <w:rPr>
                          <w:szCs w:val="24"/>
                        </w:rPr>
                        <w:t xml:space="preserve"> – OPEX proporcija, palyginti su visomis PSO leidžiamomis pajamomis. Šią proporciją apskaičiuoja Modelis.</w:t>
                      </w:r>
                    </w:p>
                  </w:sdtContent>
                </w:sdt>
                <w:sdt>
                  <w:sdtPr>
                    <w:alias w:val="47-1 p."/>
                    <w:tag w:val="part_4facbff3b5184deabbdce783a7ab6051"/>
                    <w:lock w:val="sdtLocked"/>
                    <w:richText/>
                  </w:sdtPr>
                  <w:sdtContent>
                    <w:p>
                      <w:pPr>
                        <w:tabs>
                          <w:tab w:val="left" w:pos="1134"/>
                        </w:tabs>
                        <w:ind w:firstLine="709"/>
                        <w:jc w:val="both"/>
                        <w:rPr>
                          <w:szCs w:val="24"/>
                        </w:rPr>
                      </w:pPr>
                      <w:sdt>
                        <w:sdtPr>
                          <w:alias w:val="Numeris"/>
                          <w:tag w:val="nr_4facbff3b5184deabbdce783a7ab6051"/>
                          <w:lock w:val="sdtLocked"/>
                          <w:richText/>
                        </w:sdtPr>
                        <w:sdtContent>
                          <w:r>
                            <w:rPr>
                              <w:szCs w:val="24"/>
                            </w:rPr>
                            <w:t>47</w:t>
                          </w:r>
                          <w:r>
                            <w:rPr>
                              <w:szCs w:val="24"/>
                              <w:vertAlign w:val="superscript"/>
                            </w:rPr>
                            <w:t>1</w:t>
                          </w:r>
                        </w:sdtContent>
                      </w:sdt>
                      <w:r>
                        <w:rPr>
                          <w:szCs w:val="24"/>
                        </w:rPr>
                        <w:t xml:space="preserve">. Elektros energijos kiekio poveikio koeficientas </w:t>
                      </w:r>
                      <w:r>
                        <w:rPr>
                          <w:i/>
                          <w:szCs w:val="24"/>
                        </w:rPr>
                        <w:t>t</w:t>
                      </w:r>
                      <w:r>
                        <w:rPr>
                          <w:szCs w:val="24"/>
                        </w:rPr>
                        <w:t xml:space="preserve"> metais apskaičiuojamas pagal formulę:</w:t>
                      </w:r>
                    </w:p>
                    <w:p>
                      <w:pPr>
                        <w:tabs>
                          <w:tab w:val="left" w:pos="1134"/>
                        </w:tabs>
                        <w:ind w:firstLine="709"/>
                        <w:jc w:val="both"/>
                        <w:rPr>
                          <w:szCs w:val="24"/>
                        </w:rPr>
                      </w:pPr>
                    </w:p>
                    <w:p>
                      <w:pPr>
                        <w:tabs>
                          <w:tab w:val="left" w:pos="1134"/>
                          <w:tab w:val="left" w:pos="9072"/>
                        </w:tabs>
                        <w:ind w:firstLine="1134"/>
                        <w:jc w:val="both"/>
                        <w:rPr>
                          <w:szCs w:val="24"/>
                        </w:rPr>
                      </w:pPr>
                      <m:oMath>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110, </m:t>
                            </m:r>
                            <m:r>
                              <w:rPr>
                                <w:rFonts w:ascii="Cambria Math" w:hAnsi="Cambria Math"/>
                                <w:szCs w:val="24"/>
                              </w:rPr>
                              <m:t>t</m:t>
                            </m:r>
                          </m:sub>
                        </m:sSub>
                        <m:r>
                          <w:rPr>
                            <w:rFonts w:ascii="Cambria Math" w:hAnsi="Cambria Math"/>
                            <w:szCs w:val="24"/>
                          </w:rPr>
                          <m:t>=0,5×(</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110, </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11</m:t>
                                </m:r>
                                <m:r>
                                  <w:rPr>
                                    <w:rFonts w:ascii="Cambria Math" w:hAnsi="Cambria Math"/>
                                    <w:szCs w:val="24"/>
                                  </w:rPr>
                                  <m:t xml:space="preserve">0, </m:t>
                                </m:r>
                                <m:r>
                                  <w:rPr>
                                    <w:rFonts w:ascii="Cambria Math" w:hAnsi="Cambria Math"/>
                                    <w:szCs w:val="24"/>
                                  </w:rPr>
                                  <m:t>t</m:t>
                                </m:r>
                                <m:r>
                                  <w:rPr>
                                    <w:rFonts w:ascii="Cambria Math" w:hAnsi="Cambria Math"/>
                                    <w:szCs w:val="24"/>
                                  </w:rPr>
                                  <m:t>-2</m:t>
                                </m:r>
                              </m:sub>
                            </m:sSub>
                          </m:den>
                        </m:f>
                        <m:r>
                          <w:rPr>
                            <w:rFonts w:ascii="Cambria Math" w:hAnsi="Cambria Math"/>
                            <w:szCs w:val="24"/>
                          </w:rPr>
                          <m:t>+1)×</m:t>
                        </m:r>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110, </m:t>
                            </m:r>
                            <m:r>
                              <w:rPr>
                                <w:rFonts w:ascii="Cambria Math" w:hAnsi="Cambria Math"/>
                                <w:szCs w:val="24"/>
                              </w:rPr>
                              <m:t>t</m:t>
                            </m:r>
                            <m:r>
                              <w:rPr>
                                <w:rFonts w:ascii="Cambria Math" w:hAnsi="Cambria Math"/>
                                <w:szCs w:val="24"/>
                              </w:rPr>
                              <m:t>-2</m:t>
                            </m:r>
                          </m:sub>
                        </m:sSub>
                      </m:oMath>
                      <w:r>
                        <w:rPr>
                          <w:szCs w:val="24"/>
                        </w:rPr>
                        <w:t>(19</w:t>
                      </w:r>
                      <w:r>
                        <w:rPr>
                          <w:szCs w:val="24"/>
                          <w:vertAlign w:val="superscript"/>
                        </w:rPr>
                        <w:t>1</w:t>
                      </w:r>
                      <w:r>
                        <w:rPr>
                          <w:szCs w:val="24"/>
                        </w:rPr>
                        <w:t>)</w:t>
                      </w:r>
                    </w:p>
                    <w:p>
                      <w:pPr>
                        <w:tabs>
                          <w:tab w:val="left" w:pos="1134"/>
                          <w:tab w:val="left" w:pos="9214"/>
                        </w:tabs>
                        <w:jc w:val="both"/>
                        <w:rPr>
                          <w:szCs w:val="24"/>
                        </w:rPr>
                      </w:pPr>
                    </w:p>
                    <w:p>
                      <w:pPr>
                        <w:tabs>
                          <w:tab w:val="left" w:pos="1134"/>
                          <w:tab w:val="left" w:pos="9214"/>
                        </w:tabs>
                        <w:jc w:val="both"/>
                        <w:rPr>
                          <w:i/>
                          <w:iCs/>
                          <w:szCs w:val="24"/>
                        </w:rPr>
                      </w:pPr>
                      <w:r>
                        <w:rPr>
                          <w:i/>
                          <w:iCs/>
                          <w:szCs w:val="24"/>
                        </w:rPr>
                        <w:t>čia:</w:t>
                      </w:r>
                    </w:p>
                    <w:p>
                      <w:pPr>
                        <w:tabs>
                          <w:tab w:val="left" w:pos="1134"/>
                          <w:tab w:val="left" w:pos="9214"/>
                        </w:tabs>
                        <w:jc w:val="both"/>
                        <w:rPr>
                          <w:szCs w:val="24"/>
                        </w:rPr>
                      </w:pPr>
                      <w:r>
                        <w:rPr>
                          <w:szCs w:val="24"/>
                        </w:rPr>
                        <w:t>EK</w:t>
                      </w:r>
                      <w:r>
                        <w:rPr>
                          <w:szCs w:val="24"/>
                          <w:vertAlign w:val="subscript"/>
                        </w:rPr>
                        <w:t>110, t</w:t>
                      </w:r>
                      <w:r>
                        <w:rPr>
                          <w:szCs w:val="24"/>
                        </w:rPr>
                        <w:t xml:space="preserve"> - elektros energijos kiekio poveikio koeficientas </w:t>
                      </w:r>
                      <w:r>
                        <w:rPr>
                          <w:i/>
                          <w:iCs/>
                          <w:szCs w:val="24"/>
                        </w:rPr>
                        <w:t xml:space="preserve">t </w:t>
                      </w:r>
                      <w:r>
                        <w:rPr>
                          <w:szCs w:val="24"/>
                        </w:rPr>
                        <w:t>metais;</w:t>
                      </w:r>
                    </w:p>
                    <w:p>
                      <w:pPr>
                        <w:tabs>
                          <w:tab w:val="left" w:pos="1134"/>
                          <w:tab w:val="left" w:pos="9214"/>
                        </w:tabs>
                        <w:jc w:val="both"/>
                        <w:rPr>
                          <w:szCs w:val="24"/>
                        </w:rPr>
                      </w:pPr>
                      <w:r>
                        <w:rPr>
                          <w:szCs w:val="24"/>
                        </w:rPr>
                        <w:t>EK</w:t>
                      </w:r>
                      <w:r>
                        <w:rPr>
                          <w:szCs w:val="24"/>
                          <w:vertAlign w:val="subscript"/>
                        </w:rPr>
                        <w:t>110, t-2</w:t>
                      </w:r>
                      <w:r>
                        <w:rPr>
                          <w:szCs w:val="24"/>
                        </w:rPr>
                        <w:t xml:space="preserve"> - elektros energijos kiekio poveikio koeficientas </w:t>
                      </w:r>
                      <w:r>
                        <w:rPr>
                          <w:i/>
                          <w:iCs/>
                          <w:szCs w:val="24"/>
                        </w:rPr>
                        <w:t xml:space="preserve">t-2 </w:t>
                      </w:r>
                      <w:r>
                        <w:rPr>
                          <w:szCs w:val="24"/>
                        </w:rPr>
                        <w:t>metais;</w:t>
                      </w:r>
                    </w:p>
                    <w:p>
                      <w:pPr>
                        <w:tabs>
                          <w:tab w:val="left" w:pos="1134"/>
                          <w:tab w:val="left" w:pos="9214"/>
                        </w:tabs>
                        <w:jc w:val="both"/>
                        <w:rPr>
                          <w:szCs w:val="24"/>
                        </w:rPr>
                      </w:pPr>
                      <w:r>
                        <w:rPr>
                          <w:szCs w:val="24"/>
                        </w:rPr>
                        <w:t>E</w:t>
                      </w:r>
                      <w:r>
                        <w:rPr>
                          <w:szCs w:val="24"/>
                          <w:vertAlign w:val="subscript"/>
                        </w:rPr>
                        <w:t>110, t-2</w:t>
                      </w:r>
                      <w:r>
                        <w:rPr>
                          <w:szCs w:val="24"/>
                        </w:rPr>
                        <w:t xml:space="preserve"> – faktiškai t-2 paskirstytas energijos kiekis;</w:t>
                      </w:r>
                    </w:p>
                    <w:p>
                      <w:pPr>
                        <w:tabs>
                          <w:tab w:val="left" w:pos="1134"/>
                          <w:tab w:val="left" w:pos="9214"/>
                        </w:tabs>
                        <w:jc w:val="both"/>
                        <w:rPr>
                          <w:szCs w:val="24"/>
                        </w:rPr>
                      </w:pPr>
                      <w:r>
                        <w:rPr>
                          <w:szCs w:val="24"/>
                        </w:rPr>
                        <w:t>E</w:t>
                      </w:r>
                      <w:r>
                        <w:rPr>
                          <w:szCs w:val="24"/>
                          <w:vertAlign w:val="subscript"/>
                        </w:rPr>
                        <w:t>110, t</w:t>
                      </w:r>
                      <w:r>
                        <w:rPr>
                          <w:szCs w:val="24"/>
                        </w:rPr>
                        <w:t xml:space="preserve"> – planuojamas paskirstyti energijos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8 p."/>
                    <w:tag w:val="part_d6868eb89e02429286a98729bc6c8d36"/>
                    <w:lock w:val="sdtLocked"/>
                    <w:richText/>
                  </w:sdtPr>
                  <w:sdtContent>
                    <w:p>
                      <w:pPr>
                        <w:tabs>
                          <w:tab w:val="left" w:pos="1134"/>
                        </w:tabs>
                        <w:ind w:firstLine="709"/>
                        <w:jc w:val="both"/>
                        <w:rPr>
                          <w:szCs w:val="24"/>
                        </w:rPr>
                      </w:pPr>
                      <w:sdt>
                        <w:sdtPr>
                          <w:alias w:val="Numeris"/>
                          <w:tag w:val="nr_d6868eb89e02429286a98729bc6c8d36"/>
                          <w:lock w:val="sdtLocked"/>
                          <w:richText/>
                        </w:sdtPr>
                        <w:sdtContent>
                          <w:r>
                            <w:rPr>
                              <w:szCs w:val="24"/>
                            </w:rPr>
                            <w:t>48</w:t>
                          </w:r>
                        </w:sdtContent>
                      </w:sdt>
                      <w:r>
                        <w:rPr>
                          <w:szCs w:val="24"/>
                        </w:rPr>
                        <w:t xml:space="preserve">. Perdavimo  paslaugos aukštos įtampos tinklais kainos viršutinė riba, taikant indeksavimo ir kiekio poveikio koeficientus , apskaičiuojama pagal formulę:</w:t>
                      </w:r>
                    </w:p>
                    <w:p>
                      <w:pPr>
                        <w:tabs>
                          <w:tab w:val="left" w:pos="1134"/>
                        </w:tabs>
                        <w:ind w:firstLine="709"/>
                        <w:jc w:val="both"/>
                        <w:rPr>
                          <w:szCs w:val="24"/>
                        </w:rPr>
                      </w:pPr>
                    </w:p>
                    <w:p>
                      <w:pPr>
                        <w:tabs>
                          <w:tab w:val="left" w:pos="1134"/>
                          <w:tab w:val="left" w:pos="9214"/>
                        </w:tabs>
                        <w:jc w:val="both"/>
                        <w:rPr>
                          <w:szCs w:val="24"/>
                        </w:rPr>
                      </w:pPr>
                      <w:r>
                        <w:rPr>
                          <w:i/>
                          <w:iCs/>
                          <w:szCs w:val="24"/>
                        </w:rPr>
                        <w:t>T</w:t>
                      </w:r>
                      <w:r>
                        <w:rPr>
                          <w:szCs w:val="24"/>
                          <w:vertAlign w:val="subscript"/>
                        </w:rPr>
                        <w:t xml:space="preserve">110, </w:t>
                      </w:r>
                      <w:r>
                        <w:rPr>
                          <w:i/>
                          <w:iCs/>
                          <w:szCs w:val="24"/>
                          <w:vertAlign w:val="subscript"/>
                        </w:rPr>
                        <w:t>t</w:t>
                      </w:r>
                      <w:r>
                        <w:rPr>
                          <w:szCs w:val="24"/>
                        </w:rPr>
                        <w:t>=(</w:t>
                      </w:r>
                      <w:r>
                        <w:rPr>
                          <w:i/>
                          <w:iCs/>
                          <w:szCs w:val="24"/>
                        </w:rPr>
                        <w:t>P</w:t>
                      </w:r>
                      <w:r>
                        <w:rPr>
                          <w:szCs w:val="24"/>
                          <w:vertAlign w:val="subscript"/>
                        </w:rPr>
                        <w:t xml:space="preserve">110, </w:t>
                      </w:r>
                      <w:r>
                        <w:rPr>
                          <w:i/>
                          <w:iCs/>
                          <w:szCs w:val="24"/>
                          <w:vertAlign w:val="subscript"/>
                        </w:rPr>
                        <w:t>t</w:t>
                      </w:r>
                      <w:r>
                        <w:rPr>
                          <w:i/>
                          <w:iCs/>
                          <w:szCs w:val="24"/>
                        </w:rPr>
                        <w:t>×IK</w:t>
                      </w:r>
                      <w:r>
                        <w:rPr>
                          <w:szCs w:val="24"/>
                          <w:vertAlign w:val="subscript"/>
                        </w:rPr>
                        <w:t>110,</w:t>
                      </w:r>
                      <w:r>
                        <w:rPr>
                          <w:i/>
                          <w:iCs/>
                          <w:szCs w:val="24"/>
                          <w:vertAlign w:val="subscript"/>
                        </w:rPr>
                        <w:t>t</w:t>
                      </w:r>
                      <w:r>
                        <w:rPr>
                          <w:i/>
                          <w:iCs/>
                          <w:szCs w:val="24"/>
                        </w:rPr>
                        <w:t>×EK</w:t>
                      </w:r>
                      <w:r>
                        <w:rPr>
                          <w:i/>
                          <w:iCs/>
                          <w:szCs w:val="24"/>
                          <w:vertAlign w:val="subscript"/>
                        </w:rPr>
                        <w:t>110, t</w:t>
                      </w:r>
                      <w:r>
                        <w:rPr>
                          <w:szCs w:val="24"/>
                        </w:rPr>
                        <w:t>)/</w:t>
                      </w:r>
                      <w:r>
                        <w:rPr>
                          <w:i/>
                          <w:iCs/>
                          <w:szCs w:val="24"/>
                        </w:rPr>
                        <w:t>E</w:t>
                      </w:r>
                      <w:r>
                        <w:rPr>
                          <w:szCs w:val="24"/>
                          <w:vertAlign w:val="subscript"/>
                        </w:rPr>
                        <w:t xml:space="preserve">110, </w:t>
                      </w:r>
                      <w:r>
                        <w:rPr>
                          <w:i/>
                          <w:iCs/>
                          <w:szCs w:val="24"/>
                          <w:vertAlign w:val="subscript"/>
                        </w:rPr>
                        <w:t>t</w:t>
                      </w:r>
                      <w:r>
                        <w:rPr>
                          <w:i/>
                          <w:iCs/>
                          <w:szCs w:val="24"/>
                        </w:rPr>
                        <w:tab/>
                      </w:r>
                      <w:r>
                        <w:rPr>
                          <w:szCs w:val="24"/>
                        </w:rPr>
                        <w:t>(20)</w:t>
                      </w:r>
                    </w:p>
                    <w:p>
                      <w:pPr>
                        <w:tabs>
                          <w:tab w:val="left" w:pos="1134"/>
                        </w:tabs>
                        <w:jc w:val="both"/>
                        <w:rPr>
                          <w:szCs w:val="24"/>
                        </w:rPr>
                      </w:pPr>
                    </w:p>
                    <w:p>
                      <w:pPr>
                        <w:tabs>
                          <w:tab w:val="left" w:pos="1134"/>
                        </w:tabs>
                        <w:jc w:val="both"/>
                        <w:rPr>
                          <w:i/>
                          <w:iCs/>
                          <w:szCs w:val="24"/>
                        </w:rPr>
                      </w:pPr>
                      <w:r>
                        <w:rPr>
                          <w:i/>
                          <w:iCs/>
                          <w:szCs w:val="24"/>
                        </w:rPr>
                        <w:t>čia:</w:t>
                      </w:r>
                    </w:p>
                    <w:p>
                      <w:pPr>
                        <w:tabs>
                          <w:tab w:val="left" w:pos="1134"/>
                        </w:tabs>
                        <w:jc w:val="both"/>
                        <w:rPr>
                          <w:szCs w:val="24"/>
                        </w:rPr>
                      </w:pPr>
                      <w:r>
                        <w:rPr>
                          <w:szCs w:val="24"/>
                        </w:rPr>
                        <w:t>T</w:t>
                      </w:r>
                      <w:r>
                        <w:rPr>
                          <w:szCs w:val="24"/>
                          <w:vertAlign w:val="subscript"/>
                        </w:rPr>
                        <w:t xml:space="preserve">110,t </w:t>
                      </w:r>
                      <w:r>
                        <w:rPr>
                          <w:szCs w:val="24"/>
                        </w:rPr>
                        <w:t xml:space="preserve">–  perdavimo paslaugos </w:t>
                      </w:r>
                      <w:r>
                        <w:rPr>
                          <w:i/>
                          <w:iCs/>
                          <w:szCs w:val="24"/>
                        </w:rPr>
                        <w:t xml:space="preserve">t </w:t>
                      </w:r>
                      <w:r>
                        <w:rPr>
                          <w:szCs w:val="24"/>
                        </w:rPr>
                        <w:t>metų kainos viršutinė riba, EUR/kWh;</w:t>
                      </w:r>
                    </w:p>
                    <w:p>
                      <w:pPr>
                        <w:tabs>
                          <w:tab w:val="left" w:pos="1134"/>
                        </w:tabs>
                        <w:jc w:val="both"/>
                        <w:rPr>
                          <w:szCs w:val="24"/>
                        </w:rPr>
                      </w:pPr>
                      <w:r>
                        <w:rPr>
                          <w:szCs w:val="24"/>
                        </w:rPr>
                        <w:t>P</w:t>
                      </w:r>
                      <w:r>
                        <w:rPr>
                          <w:szCs w:val="24"/>
                          <w:vertAlign w:val="subscript"/>
                        </w:rPr>
                        <w:t xml:space="preserve">110,t </w:t>
                      </w:r>
                      <w:r>
                        <w:rPr>
                          <w:szCs w:val="24"/>
                        </w:rPr>
                        <w:t xml:space="preserve">– galutinės </w:t>
                      </w:r>
                      <w:r>
                        <w:rPr>
                          <w:i/>
                          <w:iCs/>
                          <w:szCs w:val="24"/>
                        </w:rPr>
                        <w:t xml:space="preserve">t </w:t>
                      </w:r>
                      <w:r>
                        <w:rPr>
                          <w:szCs w:val="24"/>
                        </w:rPr>
                        <w:t>metų PSO leidžiamos pajamos, EUR;</w:t>
                      </w:r>
                    </w:p>
                    <w:p>
                      <w:pPr>
                        <w:tabs>
                          <w:tab w:val="left" w:pos="1134"/>
                        </w:tabs>
                        <w:jc w:val="both"/>
                        <w:rPr>
                          <w:szCs w:val="24"/>
                        </w:rPr>
                      </w:pPr>
                      <w:r>
                        <w:rPr>
                          <w:szCs w:val="24"/>
                        </w:rPr>
                        <w:t>IK</w:t>
                      </w:r>
                      <w:r>
                        <w:rPr>
                          <w:szCs w:val="24"/>
                          <w:vertAlign w:val="subscript"/>
                        </w:rPr>
                        <w:t xml:space="preserve">110,t </w:t>
                      </w:r>
                      <w:r>
                        <w:rPr>
                          <w:szCs w:val="24"/>
                        </w:rPr>
                        <w:t xml:space="preserve">– </w:t>
                      </w:r>
                      <w:r>
                        <w:rPr>
                          <w:i/>
                          <w:iCs/>
                          <w:szCs w:val="24"/>
                        </w:rPr>
                        <w:t xml:space="preserve">t </w:t>
                      </w:r>
                      <w:r>
                        <w:rPr>
                          <w:szCs w:val="24"/>
                        </w:rPr>
                        <w:t>metų indeksavimo koeficientas;</w:t>
                      </w:r>
                    </w:p>
                    <w:p>
                      <w:pPr>
                        <w:tabs>
                          <w:tab w:val="left" w:pos="1134"/>
                        </w:tabs>
                        <w:jc w:val="both"/>
                        <w:rPr>
                          <w:szCs w:val="24"/>
                        </w:rPr>
                      </w:pPr>
                      <w:r>
                        <w:rPr>
                          <w:szCs w:val="24"/>
                        </w:rPr>
                        <w:t>EK</w:t>
                      </w:r>
                      <w:r>
                        <w:rPr>
                          <w:szCs w:val="24"/>
                          <w:vertAlign w:val="subscript"/>
                        </w:rPr>
                        <w:t>110, t</w:t>
                      </w:r>
                      <w:r>
                        <w:rPr>
                          <w:szCs w:val="24"/>
                        </w:rPr>
                        <w:t xml:space="preserve"> – </w:t>
                      </w:r>
                      <w:r>
                        <w:rPr>
                          <w:i/>
                          <w:szCs w:val="24"/>
                        </w:rPr>
                        <w:t>t</w:t>
                      </w:r>
                      <w:r>
                        <w:rPr>
                          <w:szCs w:val="24"/>
                        </w:rPr>
                        <w:t xml:space="preserve"> metų kiekio poveikio koeficientas;</w:t>
                      </w:r>
                    </w:p>
                    <w:p>
                      <w:pPr>
                        <w:tabs>
                          <w:tab w:val="left" w:pos="1134"/>
                        </w:tabs>
                        <w:jc w:val="both"/>
                        <w:rPr>
                          <w:szCs w:val="24"/>
                        </w:rPr>
                      </w:pPr>
                      <w:r>
                        <w:rPr>
                          <w:szCs w:val="24"/>
                        </w:rPr>
                        <w:t>E</w:t>
                      </w:r>
                      <w:r>
                        <w:rPr>
                          <w:szCs w:val="24"/>
                          <w:vertAlign w:val="subscript"/>
                        </w:rPr>
                        <w:t xml:space="preserve">110,t </w:t>
                      </w:r>
                      <w:r>
                        <w:rPr>
                          <w:szCs w:val="24"/>
                        </w:rPr>
                        <w:t xml:space="preserve">– planuojamas </w:t>
                      </w:r>
                      <w:r>
                        <w:rPr>
                          <w:i/>
                          <w:iCs/>
                          <w:szCs w:val="24"/>
                        </w:rPr>
                        <w:t xml:space="preserve">t </w:t>
                      </w:r>
                      <w:r>
                        <w:rPr>
                          <w:szCs w:val="24"/>
                        </w:rPr>
                        <w:t>metais perduoti elektros energijos kiekis šalies poreikiams,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9 p."/>
                    <w:tag w:val="part_6a28f2f4de394eec9abe1d74be652740"/>
                    <w:lock w:val="sdtLocked"/>
                    <w:richText/>
                  </w:sdtPr>
                  <w:sdtContent>
                    <w:p>
                      <w:pPr>
                        <w:tabs>
                          <w:tab w:val="left" w:pos="1080"/>
                          <w:tab w:val="left" w:pos="1843"/>
                          <w:tab w:val="left" w:pos="2268"/>
                        </w:tabs>
                        <w:ind w:firstLine="720"/>
                        <w:jc w:val="both"/>
                        <w:rPr>
                          <w:szCs w:val="24"/>
                        </w:rPr>
                      </w:pPr>
                      <w:sdt>
                        <w:sdtPr>
                          <w:alias w:val="Numeris"/>
                          <w:tag w:val="nr_6a28f2f4de394eec9abe1d74be652740"/>
                          <w:lock w:val="sdtLocked"/>
                          <w:richText/>
                        </w:sdtPr>
                        <w:sdtContent>
                          <w:r>
                            <w:rPr>
                              <w:szCs w:val="24"/>
                            </w:rPr>
                            <w:t>49</w:t>
                          </w:r>
                        </w:sdtContent>
                      </w:sdt>
                      <w:r>
                        <w:rPr>
                          <w:szCs w:val="24"/>
                        </w:rPr>
                        <w:t xml:space="preserve">. Korekcijos koeficientas naudojamas </w:t>
                      </w:r>
                      <w:r>
                        <w:rPr>
                          <w:i/>
                          <w:szCs w:val="24"/>
                        </w:rPr>
                        <w:t>t</w:t>
                      </w:r>
                      <w:r>
                        <w:rPr>
                          <w:szCs w:val="24"/>
                        </w:rPr>
                        <w:t xml:space="preserve"> metų perdavimo paslaugos kainos viršutinei ribai koreguoti dėl faktiškai </w:t>
                      </w:r>
                      <w:r>
                        <w:rPr>
                          <w:i/>
                          <w:szCs w:val="24"/>
                        </w:rPr>
                        <w:t>t-2</w:t>
                      </w:r>
                      <w:r>
                        <w:rPr>
                          <w:szCs w:val="24"/>
                        </w:rPr>
                        <w:t xml:space="preserve"> metais PSO gautų pajamų ir planuotų PSO leidžiamų pajamų </w:t>
                        <w:br/>
                      </w:r>
                      <w:r>
                        <w:rPr>
                          <w:i/>
                          <w:szCs w:val="24"/>
                        </w:rPr>
                        <w:t>t-2</w:t>
                      </w:r>
                      <w:r>
                        <w:rPr>
                          <w:szCs w:val="24"/>
                        </w:rPr>
                        <w:t xml:space="preserve"> metais neatitikties už perdavimo paslaugą šalies poreikiams (susidaręs pajamų skirtumas dėl konkrečių kainų viršutinių ribų diferencijavimo ir (arba) prognozuoto perduoti bei faktiškai perduoto kiekio skirtumo).</w:t>
                      </w:r>
                    </w:p>
                  </w:sdtContent>
                </w:sdt>
                <w:sdt>
                  <w:sdtPr>
                    <w:alias w:val="50 p."/>
                    <w:tag w:val="part_1c068017743344c4a2e150b61077046c"/>
                    <w:lock w:val="sdtLocked"/>
                    <w:richText/>
                  </w:sdtPr>
                  <w:sdtContent>
                    <w:p>
                      <w:pPr>
                        <w:tabs>
                          <w:tab w:val="left" w:pos="1080"/>
                          <w:tab w:val="left" w:pos="1843"/>
                          <w:tab w:val="left" w:pos="2268"/>
                        </w:tabs>
                        <w:ind w:firstLine="720"/>
                        <w:jc w:val="both"/>
                        <w:rPr>
                          <w:szCs w:val="24"/>
                        </w:rPr>
                      </w:pPr>
                      <w:sdt>
                        <w:sdtPr>
                          <w:alias w:val="Numeris"/>
                          <w:tag w:val="nr_1c068017743344c4a2e150b61077046c"/>
                          <w:lock w:val="sdtLocked"/>
                          <w:richText/>
                        </w:sdtPr>
                        <w:sdtContent>
                          <w:r>
                            <w:rPr>
                              <w:szCs w:val="24"/>
                            </w:rPr>
                            <w:t>50</w:t>
                          </w:r>
                        </w:sdtContent>
                      </w:sdt>
                      <w:r>
                        <w:rPr>
                          <w:szCs w:val="24"/>
                        </w:rPr>
                        <w:t>. Korekcijos koeficientas apskaičiuojamas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K</m:t>
                            </m:r>
                          </m:e>
                          <m:sub>
                            <m:r>
                              <w:rPr>
                                <w:rFonts w:ascii="Cambria Math" w:hAnsi="Cambria Math"/>
                              </w:rPr>
                              <m:t>110,</m:t>
                            </m:r>
                            <m:r>
                              <w:rPr>
                                <w:rFonts w:ascii="Cambria Math" w:hAnsi="Cambria Math"/>
                              </w:rPr>
                              <m: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110,</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r>
                                      <w:rPr>
                                        <w:rFonts w:ascii="Cambria Math" w:hAnsi="Cambria Math"/>
                                      </w:rPr>
                                      <m:t>-2</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110,</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r>
                                  <w:rPr>
                                    <w:rFonts w:ascii="Cambria Math" w:hAnsi="Cambria Math"/>
                                  </w:rPr>
                                  <m:t>110,</m:t>
                                </m:r>
                                <m:r>
                                  <w:rPr>
                                    <w:rFonts w:ascii="Cambria Math" w:hAnsi="Cambria Math"/>
                                  </w:rPr>
                                  <m:t>t</m:t>
                                </m:r>
                              </m:sub>
                            </m:sSub>
                          </m:den>
                        </m:f>
                      </m:oMath>
                      <w:r>
                        <w:tab/>
                      </w:r>
                      <w:r>
                        <w:rPr>
                          <w:szCs w:val="24"/>
                        </w:rPr>
                        <w:t>(21)</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K</w:t>
                      </w:r>
                      <w:r>
                        <w:rPr>
                          <w:szCs w:val="24"/>
                          <w:vertAlign w:val="subscript"/>
                        </w:rPr>
                        <w:t>110,t</w:t>
                      </w:r>
                      <w:r>
                        <w:rPr>
                          <w:szCs w:val="24"/>
                        </w:rPr>
                        <w:t xml:space="preserve"> – </w:t>
                      </w:r>
                      <w:r>
                        <w:rPr>
                          <w:i/>
                          <w:szCs w:val="24"/>
                        </w:rPr>
                        <w:t>t</w:t>
                      </w:r>
                      <w:r>
                        <w:rPr>
                          <w:szCs w:val="24"/>
                        </w:rPr>
                        <w:t xml:space="preserve"> metų korekcijos koeficientas perdavimo paslaugos kainos viršutinei ribai, EUR/kWh;</w:t>
                      </w:r>
                    </w:p>
                    <w:p>
                      <w:pPr>
                        <w:tabs>
                          <w:tab w:val="left" w:pos="1134"/>
                          <w:tab w:val="left" w:pos="1843"/>
                          <w:tab w:val="left" w:pos="2268"/>
                        </w:tabs>
                        <w:jc w:val="both"/>
                        <w:rPr>
                          <w:szCs w:val="24"/>
                        </w:rPr>
                      </w:pPr>
                      <w:r>
                        <w:rPr>
                          <w:szCs w:val="24"/>
                        </w:rPr>
                        <w:t>P</w:t>
                      </w:r>
                      <w:r>
                        <w:rPr>
                          <w:szCs w:val="24"/>
                          <w:vertAlign w:val="superscript"/>
                        </w:rPr>
                        <w:t>f</w:t>
                      </w:r>
                      <w:r>
                        <w:rPr>
                          <w:szCs w:val="24"/>
                          <w:vertAlign w:val="subscript"/>
                        </w:rPr>
                        <w:t>110,t-2</w:t>
                      </w:r>
                      <w:r>
                        <w:rPr>
                          <w:szCs w:val="24"/>
                        </w:rPr>
                        <w:t xml:space="preserve"> – faktinės PSO pajamos iš perdavimo paslaugos </w:t>
                      </w:r>
                      <w:r>
                        <w:rPr>
                          <w:i/>
                          <w:szCs w:val="24"/>
                        </w:rPr>
                        <w:t>t-2</w:t>
                      </w:r>
                      <w:r>
                        <w:rPr>
                          <w:szCs w:val="24"/>
                        </w:rPr>
                        <w:t xml:space="preserve"> metais, EUR;</w:t>
                      </w:r>
                    </w:p>
                    <w:p>
                      <w:pPr>
                        <w:tabs>
                          <w:tab w:val="left" w:pos="1134"/>
                          <w:tab w:val="left" w:pos="1843"/>
                          <w:tab w:val="left" w:pos="2268"/>
                        </w:tabs>
                        <w:jc w:val="both"/>
                        <w:rPr>
                          <w:szCs w:val="24"/>
                        </w:rPr>
                      </w:pPr>
                      <w:r>
                        <w:rPr>
                          <w:szCs w:val="24"/>
                        </w:rPr>
                        <w:t>T’</w:t>
                      </w:r>
                      <w:r>
                        <w:rPr>
                          <w:szCs w:val="24"/>
                          <w:vertAlign w:val="subscript"/>
                        </w:rPr>
                        <w:t xml:space="preserve">110,t-2 </w:t>
                      </w:r>
                      <w:r>
                        <w:rPr>
                          <w:szCs w:val="24"/>
                        </w:rPr>
                        <w:t xml:space="preserve">– perdavimo paslaugos AĮ tinklais kainos viršutinė riba </w:t>
                      </w:r>
                      <w:r>
                        <w:rPr>
                          <w:i/>
                          <w:szCs w:val="24"/>
                        </w:rPr>
                        <w:t>t-2</w:t>
                      </w:r>
                      <w:r>
                        <w:rPr>
                          <w:szCs w:val="24"/>
                        </w:rPr>
                        <w:t>, EUR/kWh;</w:t>
                      </w:r>
                    </w:p>
                    <w:p>
                      <w:pPr>
                        <w:tabs>
                          <w:tab w:val="left" w:pos="1134"/>
                          <w:tab w:val="left" w:pos="1843"/>
                          <w:tab w:val="left" w:pos="2268"/>
                        </w:tabs>
                        <w:jc w:val="both"/>
                        <w:rPr>
                          <w:szCs w:val="24"/>
                        </w:rPr>
                      </w:pPr>
                      <w:r>
                        <w:rPr>
                          <w:szCs w:val="24"/>
                        </w:rPr>
                        <w:t>E</w:t>
                      </w:r>
                      <w:r>
                        <w:rPr>
                          <w:szCs w:val="24"/>
                          <w:vertAlign w:val="superscript"/>
                        </w:rPr>
                        <w:t>f</w:t>
                      </w:r>
                      <w:r>
                        <w:rPr>
                          <w:szCs w:val="24"/>
                          <w:vertAlign w:val="subscript"/>
                        </w:rPr>
                        <w:t xml:space="preserve">110,t-2 </w:t>
                      </w:r>
                      <w:r>
                        <w:rPr>
                          <w:szCs w:val="24"/>
                        </w:rPr>
                        <w:t xml:space="preserve">– faktinis PSO </w:t>
                      </w:r>
                      <w:r>
                        <w:rPr>
                          <w:i/>
                          <w:szCs w:val="24"/>
                        </w:rPr>
                        <w:t>t-2</w:t>
                      </w:r>
                      <w:r>
                        <w:rPr>
                          <w:szCs w:val="24"/>
                        </w:rPr>
                        <w:t xml:space="preserve"> metais perduotos elektros energijos kiekis šalies poreikiams, kWh;</w:t>
                      </w:r>
                    </w:p>
                    <w:p>
                      <w:pPr>
                        <w:tabs>
                          <w:tab w:val="left" w:pos="1134"/>
                          <w:tab w:val="left" w:pos="1843"/>
                          <w:tab w:val="left" w:pos="2268"/>
                        </w:tabs>
                        <w:jc w:val="both"/>
                        <w:rPr>
                          <w:szCs w:val="24"/>
                        </w:rPr>
                      </w:pPr>
                      <w:r>
                        <w:rPr>
                          <w:szCs w:val="24"/>
                        </w:rPr>
                        <w:t>E</w:t>
                      </w:r>
                      <w:r>
                        <w:rPr>
                          <w:szCs w:val="24"/>
                          <w:vertAlign w:val="subscript"/>
                        </w:rPr>
                        <w:t>110,t</w:t>
                      </w:r>
                      <w:r>
                        <w:rPr>
                          <w:szCs w:val="24"/>
                        </w:rPr>
                        <w:t xml:space="preserve"> – planuojamas PSO </w:t>
                      </w:r>
                      <w:r>
                        <w:rPr>
                          <w:i/>
                          <w:szCs w:val="24"/>
                        </w:rPr>
                        <w:t>t</w:t>
                      </w:r>
                      <w:r>
                        <w:rPr>
                          <w:szCs w:val="24"/>
                        </w:rPr>
                        <w:t xml:space="preserve"> metais perduoti elektros energijos kiekis, kWh.</w:t>
                      </w:r>
                    </w:p>
                  </w:sdtContent>
                </w:sdt>
                <w:sdt>
                  <w:sdtPr>
                    <w:alias w:val="51 p."/>
                    <w:tag w:val="part_c18ec82ba8de4a70b0ad5e803229b7f5"/>
                    <w:lock w:val="sdtLocked"/>
                    <w:richText/>
                  </w:sdtPr>
                  <w:sdtContent>
                    <w:p>
                      <w:pPr>
                        <w:tabs>
                          <w:tab w:val="left" w:pos="1080"/>
                          <w:tab w:val="left" w:pos="1843"/>
                          <w:tab w:val="left" w:pos="2268"/>
                        </w:tabs>
                        <w:ind w:firstLine="720"/>
                        <w:jc w:val="both"/>
                        <w:rPr>
                          <w:szCs w:val="24"/>
                        </w:rPr>
                      </w:pPr>
                      <w:sdt>
                        <w:sdtPr>
                          <w:alias w:val="Numeris"/>
                          <w:tag w:val="nr_c18ec82ba8de4a70b0ad5e803229b7f5"/>
                          <w:lock w:val="sdtLocked"/>
                          <w:richText/>
                        </w:sdtPr>
                        <w:sdtContent>
                          <w:r>
                            <w:rPr>
                              <w:szCs w:val="24"/>
                            </w:rPr>
                            <w:t>51</w:t>
                          </w:r>
                        </w:sdtContent>
                      </w:sdt>
                      <w:r>
                        <w:rPr>
                          <w:szCs w:val="24"/>
                        </w:rPr>
                        <w:t xml:space="preserve">. Perdavimo paslaugos kainos viršutinė riba </w:t>
                      </w:r>
                      <w:r>
                        <w:rPr>
                          <w:i/>
                          <w:szCs w:val="24"/>
                        </w:rPr>
                        <w:t>t</w:t>
                      </w:r>
                      <w:r>
                        <w:rPr>
                          <w:szCs w:val="24"/>
                        </w:rPr>
                        <w:t xml:space="preserve"> metais apskaičiuojama atimant kainos viršutinės ribos korekcijos koeficientą iš </w:t>
                      </w:r>
                      <w:r>
                        <w:rPr>
                          <w:i/>
                          <w:szCs w:val="24"/>
                        </w:rPr>
                        <w:t>t</w:t>
                      </w:r>
                      <w:r>
                        <w:rPr>
                          <w:szCs w:val="24"/>
                        </w:rPr>
                        <w:t xml:space="preserve"> metų indeksuotos elektros energijos perdavimo paslaugos kainos viršutinės ribos pagal formulę:</w:t>
                      </w:r>
                    </w:p>
                    <w:p>
                      <w:pPr>
                        <w:tabs>
                          <w:tab w:val="left" w:pos="993"/>
                          <w:tab w:val="left" w:pos="1843"/>
                          <w:tab w:val="left" w:pos="2268"/>
                        </w:tabs>
                        <w:jc w:val="both"/>
                        <w:rPr>
                          <w:szCs w:val="24"/>
                        </w:rPr>
                      </w:pPr>
                    </w:p>
                    <w:p>
                      <w:pPr>
                        <w:tabs>
                          <w:tab w:val="left" w:pos="9214"/>
                        </w:tabs>
                        <w:ind w:firstLine="9214"/>
                        <w:jc w:val="both"/>
                        <w:rPr>
                          <w:szCs w:val="24"/>
                        </w:rPr>
                      </w:pPr>
                      <w:r>
                        <w:t xml:space="preserve"> </w:t>
                      </w:r>
                      <m:oMath>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110,</m:t>
                            </m:r>
                            <m:r>
                              <w:rPr>
                                <w:rFonts w:ascii="Cambria Math" w:hAnsi="Cambria Math"/>
                              </w:rPr>
                              <m:t>t</m:t>
                            </m:r>
                          </m:sub>
                        </m:sSub>
                      </m:oMath>
                      <w:r>
                        <w:tab/>
                      </w:r>
                      <w:r>
                        <w:rPr>
                          <w:szCs w:val="24"/>
                        </w:rPr>
                        <w:t>(22)</w:t>
                      </w:r>
                    </w:p>
                    <w:p>
                      <w:pPr>
                        <w:tabs>
                          <w:tab w:val="left" w:pos="9214"/>
                        </w:tabs>
                        <w:jc w:val="both"/>
                        <w:rPr>
                          <w:szCs w:val="24"/>
                        </w:rPr>
                      </w:pP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perdavimo paslaugos kainos viršutinė riba,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indeksuota </w:t>
                      </w:r>
                      <w:r>
                        <w:rPr>
                          <w:i/>
                          <w:szCs w:val="24"/>
                        </w:rPr>
                        <w:t>t</w:t>
                      </w:r>
                      <w:r>
                        <w:rPr>
                          <w:szCs w:val="24"/>
                        </w:rPr>
                        <w:t xml:space="preserve"> metų perdavimo paslaugos kainos viršutinė riba, EUR/kWh;</w:t>
                      </w:r>
                    </w:p>
                    <w:p>
                      <w:pPr>
                        <w:tabs>
                          <w:tab w:val="left" w:pos="1134"/>
                          <w:tab w:val="left" w:pos="1843"/>
                          <w:tab w:val="left" w:pos="2268"/>
                        </w:tabs>
                        <w:jc w:val="both"/>
                        <w:rPr>
                          <w:szCs w:val="24"/>
                        </w:rPr>
                      </w:pPr>
                      <w:r>
                        <w:rPr>
                          <w:szCs w:val="24"/>
                        </w:rPr>
                        <w:t>K</w:t>
                      </w:r>
                      <w:r>
                        <w:rPr>
                          <w:szCs w:val="24"/>
                          <w:vertAlign w:val="subscript"/>
                        </w:rPr>
                        <w:t>110,t</w:t>
                      </w:r>
                      <w:r>
                        <w:rPr>
                          <w:szCs w:val="24"/>
                        </w:rPr>
                        <w:t xml:space="preserve"> – </w:t>
                      </w:r>
                      <w:r>
                        <w:rPr>
                          <w:i/>
                          <w:szCs w:val="24"/>
                        </w:rPr>
                        <w:t>t</w:t>
                      </w:r>
                      <w:r>
                        <w:rPr>
                          <w:szCs w:val="24"/>
                        </w:rPr>
                        <w:t xml:space="preserve"> metų korekcijos koeficientas, EUR/kWh.</w:t>
                      </w:r>
                    </w:p>
                  </w:sdtContent>
                </w:sdt>
                <w:sdt>
                  <w:sdtPr>
                    <w:alias w:val="52 p."/>
                    <w:tag w:val="part_cf612d596dfe49708bffc971bd113147"/>
                    <w:lock w:val="sdtLocked"/>
                    <w:richText/>
                  </w:sdtPr>
                  <w:sdtContent>
                    <w:p>
                      <w:pPr>
                        <w:tabs>
                          <w:tab w:val="left" w:pos="1134"/>
                        </w:tabs>
                        <w:ind w:firstLine="709"/>
                        <w:jc w:val="both"/>
                        <w:rPr>
                          <w:szCs w:val="24"/>
                        </w:rPr>
                      </w:pPr>
                      <w:sdt>
                        <w:sdtPr>
                          <w:alias w:val="Numeris"/>
                          <w:tag w:val="nr_cf612d596dfe49708bffc971bd113147"/>
                          <w:lock w:val="sdtLocked"/>
                          <w:richText/>
                        </w:sdtPr>
                        <w:sdtContent>
                          <w:r>
                            <w:rPr>
                              <w:szCs w:val="24"/>
                            </w:rPr>
                            <w:t>52</w:t>
                          </w:r>
                        </w:sdtContent>
                      </w:sdt>
                      <w:r>
                        <w:rPr>
                          <w:szCs w:val="24"/>
                        </w:rPr>
                        <w:t>. Pirmaisiais reguliavimo periodo metais indeksavimo ir kiekio poveikio koeficientai lygūs vienetui, o korekcijos koeficientai – nuliui. Kitiems reguliavimo periodo metams koregavimo koeficientai skaičiuojami pagal patikslintus (faktinius) esamųjų metų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skirsnis"/>
                <w:tag w:val="part_8ddc6e6e3226417fa60b63cbb82a157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skirsnis"/>
                <w:tag w:val="part_f88184b4e75f4a1aad1941e4c5a268c5"/>
                <w:lock w:val="sdtLocked"/>
                <w:richText/>
              </w:sdtPr>
              <w:sdtContent>
                <w:p>
                  <w:pPr>
                    <w:tabs>
                      <w:tab w:val="left" w:pos="1134"/>
                      <w:tab w:val="left" w:pos="1843"/>
                      <w:tab w:val="left" w:pos="2268"/>
                    </w:tabs>
                    <w:jc w:val="center"/>
                    <w:rPr>
                      <w:b/>
                      <w:szCs w:val="24"/>
                    </w:rPr>
                  </w:pPr>
                  <w:sdt>
                    <w:sdtPr>
                      <w:alias w:val="Numeris"/>
                      <w:tag w:val="nr_f88184b4e75f4a1aad1941e4c5a268c5"/>
                      <w:lock w:val="sdtLocked"/>
                      <w:richText/>
                    </w:sdtPr>
                    <w:sdtContent>
                      <w:r>
                        <w:rPr>
                          <w:b/>
                          <w:szCs w:val="24"/>
                        </w:rPr>
                        <w:t>PENKTASIS</w:t>
                      </w:r>
                    </w:sdtContent>
                  </w:sdt>
                  <w:r>
                    <w:rPr>
                      <w:b/>
                      <w:szCs w:val="24"/>
                    </w:rPr>
                    <w:t xml:space="preserve"> SKIRSNIS</w:t>
                  </w:r>
                </w:p>
                <w:p>
                  <w:pPr>
                    <w:tabs>
                      <w:tab w:val="left" w:pos="1134"/>
                      <w:tab w:val="left" w:pos="1843"/>
                      <w:tab w:val="left" w:pos="2268"/>
                    </w:tabs>
                    <w:jc w:val="center"/>
                    <w:rPr>
                      <w:b/>
                      <w:szCs w:val="24"/>
                    </w:rPr>
                  </w:pPr>
                  <w:sdt>
                    <w:sdtPr>
                      <w:alias w:val="Pavadinimas"/>
                      <w:tag w:val="title_f88184b4e75f4a1aad1941e4c5a268c5"/>
                      <w:lock w:val="sdtLocked"/>
                      <w:richText/>
                    </w:sdtPr>
                    <w:sdtContent>
                      <w:r>
                        <w:rPr>
                          <w:b/>
                          <w:szCs w:val="24"/>
                        </w:rPr>
                        <w:t>SKIRSTYMO PASLAUGOS VIDUTINĖS IR ŽEMOS ĮTAMPOS TINKLAIS KAINODARA</w:t>
                      </w:r>
                    </w:sdtContent>
                  </w:sdt>
                </w:p>
                <w:p>
                  <w:pPr>
                    <w:tabs>
                      <w:tab w:val="left" w:pos="1134"/>
                      <w:tab w:val="left" w:pos="1843"/>
                      <w:tab w:val="left" w:pos="2268"/>
                    </w:tabs>
                    <w:ind w:firstLine="567"/>
                    <w:jc w:val="both"/>
                    <w:rPr>
                      <w:b/>
                      <w:szCs w:val="24"/>
                    </w:rPr>
                  </w:pPr>
                </w:p>
                <w:p>
                  <w:pPr>
                    <w:tabs>
                      <w:tab w:val="left" w:pos="1134"/>
                      <w:tab w:val="left" w:pos="1843"/>
                      <w:tab w:val="left" w:pos="2268"/>
                    </w:tabs>
                    <w:ind w:firstLine="567"/>
                    <w:jc w:val="both"/>
                    <w:rPr>
                      <w:b/>
                      <w:szCs w:val="24"/>
                    </w:rPr>
                  </w:pPr>
                </w:p>
                <w:sdt>
                  <w:sdtPr>
                    <w:alias w:val="59 p."/>
                    <w:tag w:val="part_f88cb8284b3c493890cfa56a15d40959"/>
                    <w:lock w:val="sdtLocked"/>
                    <w:richText/>
                  </w:sdtPr>
                  <w:sdtContent>
                    <w:p>
                      <w:pPr>
                        <w:tabs>
                          <w:tab w:val="left" w:pos="1080"/>
                          <w:tab w:val="left" w:pos="1843"/>
                          <w:tab w:val="left" w:pos="2268"/>
                        </w:tabs>
                        <w:ind w:firstLine="720"/>
                        <w:jc w:val="both"/>
                        <w:rPr>
                          <w:szCs w:val="24"/>
                        </w:rPr>
                      </w:pPr>
                      <w:sdt>
                        <w:sdtPr>
                          <w:alias w:val="Numeris"/>
                          <w:tag w:val="nr_f88cb8284b3c493890cfa56a15d40959"/>
                          <w:lock w:val="sdtLocked"/>
                          <w:richText/>
                        </w:sdtPr>
                        <w:sdtContent>
                          <w:r>
                            <w:rPr>
                              <w:szCs w:val="24"/>
                            </w:rPr>
                            <w:t>59</w:t>
                          </w:r>
                        </w:sdtContent>
                      </w:sdt>
                      <w:r>
                        <w:rPr>
                          <w:szCs w:val="24"/>
                        </w:rPr>
                        <w:t xml:space="preserve">. Prieš apskaičiuojant skirstymo paslaugos žemos įtampos (toliau – ŽĮ) ir vidutinės įtampos (toliau – VĮ) tinklais viršutinę kainos ribą turi būti apskaičiuotos nekoreguotos leidžiamos pajamos, o po jų – galutinės STO leidžiamos pajamos, apskaičiuojamos naudojant Modelį, kuris sumodeliuoja tinklą, atsižvelgiant į būsimą elektros energijos paklausą bei įvertinus Metodikos </w:t>
                        <w:br/>
                        <w:t>33 punkte nustatytus leidžiamų pajamų padidinimo ar sumažinimo kriterijus.</w:t>
                      </w:r>
                    </w:p>
                  </w:sdtContent>
                </w:sdt>
                <w:sdt>
                  <w:sdtPr>
                    <w:alias w:val="60 p."/>
                    <w:tag w:val="part_926f0ee2b3a543dca6cd7554c8def79b"/>
                    <w:lock w:val="sdtLocked"/>
                    <w:richText/>
                  </w:sdtPr>
                  <w:sdtContent>
                    <w:p>
                      <w:pPr>
                        <w:tabs>
                          <w:tab w:val="left" w:pos="1080"/>
                          <w:tab w:val="left" w:pos="1843"/>
                          <w:tab w:val="left" w:pos="2268"/>
                        </w:tabs>
                        <w:ind w:firstLine="720"/>
                        <w:jc w:val="both"/>
                        <w:rPr>
                          <w:szCs w:val="24"/>
                        </w:rPr>
                      </w:pPr>
                      <w:sdt>
                        <w:sdtPr>
                          <w:alias w:val="Numeris"/>
                          <w:tag w:val="nr_926f0ee2b3a543dca6cd7554c8def79b"/>
                          <w:lock w:val="sdtLocked"/>
                          <w:richText/>
                        </w:sdtPr>
                        <w:sdtContent>
                          <w:r>
                            <w:rPr>
                              <w:szCs w:val="24"/>
                            </w:rPr>
                            <w:t>60</w:t>
                          </w:r>
                        </w:sdtContent>
                      </w:sdt>
                      <w:r>
                        <w:rPr>
                          <w:szCs w:val="24"/>
                        </w:rPr>
                        <w:t>. Modelis STO leidžiamas pajamas tiesiogiai priskiria pagrindiniams tinklo elementams tarp ŽĮ ir VĮ tinklų. Kitiems tinklo elementams ir kitam turtui priskiriamos leidžiamos pajamos padauginamos iš santykinio dydžio, kuris apskaičiuojamas pagal Metodikos 61 punkte įvertintą principą.</w:t>
                      </w:r>
                    </w:p>
                  </w:sdtContent>
                </w:sdt>
                <w:sdt>
                  <w:sdtPr>
                    <w:alias w:val="61 p."/>
                    <w:tag w:val="part_3454d2ab2f1b4580b9d15221e453e257"/>
                    <w:lock w:val="sdtLocked"/>
                    <w:richText/>
                  </w:sdtPr>
                  <w:sdtContent>
                    <w:p>
                      <w:pPr>
                        <w:tabs>
                          <w:tab w:val="left" w:pos="1080"/>
                          <w:tab w:val="left" w:pos="1843"/>
                          <w:tab w:val="left" w:pos="2268"/>
                        </w:tabs>
                        <w:ind w:firstLine="720"/>
                        <w:jc w:val="both"/>
                        <w:rPr>
                          <w:szCs w:val="24"/>
                        </w:rPr>
                      </w:pPr>
                      <w:sdt>
                        <w:sdtPr>
                          <w:alias w:val="Numeris"/>
                          <w:tag w:val="nr_3454d2ab2f1b4580b9d15221e453e257"/>
                          <w:lock w:val="sdtLocked"/>
                          <w:richText/>
                        </w:sdtPr>
                        <w:sdtContent>
                          <w:r>
                            <w:rPr>
                              <w:szCs w:val="24"/>
                            </w:rPr>
                            <w:t>61</w:t>
                          </w:r>
                        </w:sdtContent>
                      </w:sdt>
                      <w:r>
                        <w:rPr>
                          <w:szCs w:val="24"/>
                        </w:rPr>
                        <w:t>. Santykinis dydis, pagal kurį paskirstomos kitų tinklo elementų ir kito turto leidžiamos pajamos tarp įtampų lygių, nustatomas pagal Modelio apskaičiuotą kitų tinklo elementų Kapitalo kaštų proporciją tarp ŽĮ ir VĮ tinklo.</w:t>
                      </w:r>
                    </w:p>
                  </w:sdtContent>
                </w:sdt>
                <w:sdt>
                  <w:sdtPr>
                    <w:alias w:val="62 p."/>
                    <w:tag w:val="part_37cb00453d2745c5965afd20c20c6112"/>
                    <w:lock w:val="sdtLocked"/>
                    <w:richText/>
                  </w:sdtPr>
                  <w:sdtContent>
                    <w:p>
                      <w:pPr>
                        <w:tabs>
                          <w:tab w:val="left" w:pos="1080"/>
                          <w:tab w:val="left" w:pos="1843"/>
                          <w:tab w:val="left" w:pos="2268"/>
                        </w:tabs>
                        <w:ind w:firstLine="720"/>
                        <w:jc w:val="both"/>
                        <w:rPr>
                          <w:szCs w:val="24"/>
                        </w:rPr>
                      </w:pPr>
                      <w:sdt>
                        <w:sdtPr>
                          <w:alias w:val="Numeris"/>
                          <w:tag w:val="nr_37cb00453d2745c5965afd20c20c6112"/>
                          <w:lock w:val="sdtLocked"/>
                          <w:richText/>
                        </w:sdtPr>
                        <w:sdtContent>
                          <w:r>
                            <w:rPr>
                              <w:szCs w:val="24"/>
                            </w:rPr>
                            <w:t>62</w:t>
                          </w:r>
                        </w:sdtContent>
                      </w:sdt>
                      <w:r>
                        <w:rPr>
                          <w:szCs w:val="24"/>
                        </w:rPr>
                        <w:t>. Modelis apskaičiuoja santykinį dydį pagal formulę:</w:t>
                      </w:r>
                    </w:p>
                    <w:p>
                      <w:pPr>
                        <w:tabs>
                          <w:tab w:val="left" w:pos="1080"/>
                          <w:tab w:val="left" w:pos="1134"/>
                          <w:tab w:val="left" w:pos="1843"/>
                          <w:tab w:val="left" w:pos="2268"/>
                        </w:tabs>
                        <w:jc w:val="both"/>
                        <w:rPr>
                          <w:szCs w:val="24"/>
                        </w:rPr>
                      </w:pPr>
                    </w:p>
                    <w:p>
                      <w:pPr>
                        <w:tabs>
                          <w:tab w:val="left" w:pos="1080"/>
                          <w:tab w:val="left" w:pos="9214"/>
                        </w:tabs>
                        <w:ind w:firstLine="1080"/>
                        <w:jc w:val="both"/>
                        <w:rPr>
                          <w:szCs w:val="24"/>
                        </w:rPr>
                      </w:pPr>
                      <m:oMath>
                        <m:sSub>
                          <m:sSubPr>
                            <m:ctrlPr>
                              <w:rPr>
                                <w:rFonts w:ascii="Cambria Math" w:hAnsi="Cambria Math"/>
                                <w:i/>
                                <w:lang w:val="en-US"/>
                              </w:rPr>
                            </m:ctrlPr>
                          </m:sSubPr>
                          <m:e>
                            <m:r>
                              <w:rPr>
                                <w:rFonts w:ascii="Cambria Math" w:hAnsi="Cambria Math"/>
                              </w:rPr>
                              <m:t>C</m:t>
                            </m:r>
                          </m:e>
                          <m:sub>
                            <m:r>
                              <w:rPr>
                                <w:rFonts w:ascii="Cambria Math" w:hAnsi="Cambria Math"/>
                              </w:rPr>
                              <m:t>LVMV</m:t>
                            </m:r>
                          </m:sub>
                        </m:sSub>
                        <m:r>
                          <w:rPr>
                            <w:rFonts w:ascii="Cambria Math" w:hAnsi="Cambria Math"/>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 xml:space="preserve"> </m:t>
                            </m:r>
                            <m:r>
                              <w:rPr>
                                <w:rFonts w:ascii="Cambria Math" w:hAnsi="Cambria Math"/>
                              </w:rPr>
                              <m:t>arba</m:t>
                            </m:r>
                            <m:r>
                              <w:rPr>
                                <w:rFonts w:ascii="Cambria Math" w:hAnsi="Cambria Math"/>
                              </w:rPr>
                              <m:t xml:space="preserve"> </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r>
                              <w:rPr>
                                <w:rFonts w:ascii="Cambria Math" w:hAnsi="Cambria Math"/>
                              </w:rPr>
                              <m:t xml:space="preserve"> </m:t>
                            </m:r>
                          </m:num>
                          <m:den>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den>
                        </m:f>
                      </m:oMath>
                      <w:r>
                        <w:rPr>
                          <w:lang w:val="en-US"/>
                        </w:rPr>
                        <w:tab/>
                      </w:r>
                      <w:r>
                        <w:rPr>
                          <w:szCs w:val="24"/>
                        </w:rPr>
                        <w:t>(27)</w:t>
                      </w:r>
                    </w:p>
                    <w:p>
                      <w:pPr>
                        <w:tabs>
                          <w:tab w:val="left" w:pos="1080"/>
                          <w:tab w:val="left" w:pos="9214"/>
                        </w:tabs>
                        <w:jc w:val="both"/>
                        <w:rPr>
                          <w:szCs w:val="24"/>
                        </w:rPr>
                      </w:pPr>
                    </w:p>
                    <w:p>
                      <w:pPr>
                        <w:tabs>
                          <w:tab w:val="left" w:pos="1080"/>
                          <w:tab w:val="left" w:pos="1134"/>
                          <w:tab w:val="left" w:pos="1843"/>
                          <w:tab w:val="left" w:pos="2268"/>
                        </w:tabs>
                        <w:jc w:val="both"/>
                        <w:rPr>
                          <w:i/>
                          <w:szCs w:val="24"/>
                        </w:rPr>
                      </w:pPr>
                      <w:r>
                        <w:rPr>
                          <w:i/>
                          <w:szCs w:val="24"/>
                        </w:rPr>
                        <w:t>čia:</w:t>
                      </w:r>
                    </w:p>
                    <w:p>
                      <w:pPr>
                        <w:tabs>
                          <w:tab w:val="left" w:pos="1080"/>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pagal kurį paskirstomos kitų tinklo elementų ir kito turto leistinos pajamos pagal įtampas;</w:t>
                      </w:r>
                    </w:p>
                    <w:p>
                      <w:pPr>
                        <w:tabs>
                          <w:tab w:val="left" w:pos="1080"/>
                          <w:tab w:val="left" w:pos="1134"/>
                          <w:tab w:val="left" w:pos="1843"/>
                          <w:tab w:val="left" w:pos="2268"/>
                        </w:tabs>
                        <w:jc w:val="both"/>
                        <w:rPr>
                          <w:szCs w:val="24"/>
                        </w:rPr>
                      </w:pPr>
                      <w:r>
                        <w:rPr>
                          <w:szCs w:val="24"/>
                        </w:rPr>
                        <w:t>LRAIC</w:t>
                      </w:r>
                      <w:r>
                        <w:rPr>
                          <w:szCs w:val="24"/>
                          <w:vertAlign w:val="subscript"/>
                        </w:rPr>
                        <w:t>DSOLVONWCX</w:t>
                      </w:r>
                      <w:r>
                        <w:rPr>
                          <w:szCs w:val="24"/>
                        </w:rPr>
                        <w:t xml:space="preserve"> –Modelio sumodeliuoti Kapitalo kaštai ŽĮ kitiems tinklo elementams;</w:t>
                      </w:r>
                    </w:p>
                    <w:p>
                      <w:pPr>
                        <w:tabs>
                          <w:tab w:val="left" w:pos="1080"/>
                          <w:tab w:val="left" w:pos="1134"/>
                          <w:tab w:val="left" w:pos="1843"/>
                          <w:tab w:val="left" w:pos="2268"/>
                        </w:tabs>
                        <w:jc w:val="both"/>
                        <w:rPr>
                          <w:szCs w:val="24"/>
                        </w:rPr>
                      </w:pPr>
                      <w:r>
                        <w:rPr>
                          <w:szCs w:val="24"/>
                        </w:rPr>
                        <w:t>LRAIC</w:t>
                      </w:r>
                      <w:r>
                        <w:rPr>
                          <w:szCs w:val="24"/>
                          <w:vertAlign w:val="subscript"/>
                        </w:rPr>
                        <w:t>DSOMVONWCX</w:t>
                      </w:r>
                      <w:r>
                        <w:rPr>
                          <w:szCs w:val="24"/>
                        </w:rPr>
                        <w:t xml:space="preserve"> –Modelio sumodeliuoti Kapitalo kaštai VĮ kitiems tinklo elementams.</w:t>
                      </w:r>
                    </w:p>
                  </w:sdtContent>
                </w:sdt>
                <w:sdt>
                  <w:sdtPr>
                    <w:alias w:val="63 p."/>
                    <w:tag w:val="part_d7dae9dd67c147c5a381c51ec83318a6"/>
                    <w:lock w:val="sdtLocked"/>
                    <w:richText/>
                  </w:sdtPr>
                  <w:sdtContent>
                    <w:p>
                      <w:pPr>
                        <w:tabs>
                          <w:tab w:val="left" w:pos="1080"/>
                          <w:tab w:val="left" w:pos="1134"/>
                          <w:tab w:val="left" w:pos="1843"/>
                          <w:tab w:val="left" w:pos="2268"/>
                        </w:tabs>
                        <w:ind w:firstLine="720"/>
                        <w:jc w:val="both"/>
                        <w:rPr>
                          <w:szCs w:val="24"/>
                        </w:rPr>
                      </w:pPr>
                      <w:sdt>
                        <w:sdtPr>
                          <w:alias w:val="Numeris"/>
                          <w:tag w:val="nr_d7dae9dd67c147c5a381c51ec83318a6"/>
                          <w:lock w:val="sdtLocked"/>
                          <w:richText/>
                        </w:sdtPr>
                        <w:sdtContent>
                          <w:r>
                            <w:rPr>
                              <w:szCs w:val="24"/>
                            </w:rPr>
                            <w:t>63</w:t>
                          </w:r>
                        </w:sdtContent>
                      </w:sdt>
                      <w:r>
                        <w:rPr>
                          <w:szCs w:val="24"/>
                        </w:rPr>
                        <w:t>. ŽĮ ir VĮ kitų tinklo elementų ir kito turto sumodeliuotos leidžiamos pajamos apskaičiuojamos nuo bendrų STO kitų tinklo elementų ir kito turto sumodeliuotų leidžiamų pajamų, pritaikant nešiklį pagal formules:</w:t>
                      </w:r>
                    </w:p>
                    <w:sdt>
                      <w:sdtPr>
                        <w:alias w:val="63.1 p."/>
                        <w:tag w:val="part_b03bd65cd26f40b8b1715de59d9f6cd1"/>
                        <w:lock w:val="sdtLocked"/>
                        <w:richText/>
                      </w:sdtPr>
                      <w:sdtContent>
                        <w:p>
                          <w:pPr>
                            <w:tabs>
                              <w:tab w:val="left" w:pos="1260"/>
                              <w:tab w:val="left" w:pos="1843"/>
                              <w:tab w:val="left" w:pos="2268"/>
                            </w:tabs>
                            <w:ind w:firstLine="720"/>
                            <w:jc w:val="both"/>
                            <w:rPr>
                              <w:szCs w:val="24"/>
                            </w:rPr>
                          </w:pPr>
                          <w:sdt>
                            <w:sdtPr>
                              <w:alias w:val="Numeris"/>
                              <w:tag w:val="nr_b03bd65cd26f40b8b1715de59d9f6cd1"/>
                              <w:lock w:val="sdtLocked"/>
                              <w:richText/>
                            </w:sdtPr>
                            <w:sdtContent>
                              <w:r>
                                <w:rPr>
                                  <w:szCs w:val="24"/>
                                </w:rPr>
                                <w:t>63.1</w:t>
                              </w:r>
                            </w:sdtContent>
                          </w:sdt>
                          <w:r>
                            <w:rPr>
                              <w:szCs w:val="24"/>
                            </w:rPr>
                            <w:t>. ŽĮ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DSOLVONWAACX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(28)</w:t>
                          </w:r>
                        </w:p>
                        <w:p>
                          <w:pPr>
                            <w:tabs>
                              <w:tab w:val="left" w:pos="1260"/>
                              <w:tab w:val="left" w:pos="1843"/>
                              <w:tab w:val="left" w:pos="2268"/>
                            </w:tabs>
                            <w:jc w:val="both"/>
                            <w:rPr>
                              <w:szCs w:val="24"/>
                            </w:rPr>
                          </w:pPr>
                        </w:p>
                      </w:sdtContent>
                    </w:sdt>
                    <w:sdt>
                      <w:sdtPr>
                        <w:alias w:val="63.2 p."/>
                        <w:tag w:val="part_2b3e8a0bd5554d869bcfc66ee0b98a65"/>
                        <w:lock w:val="sdtLocked"/>
                        <w:richText/>
                      </w:sdtPr>
                      <w:sdtContent>
                        <w:p>
                          <w:pPr>
                            <w:tabs>
                              <w:tab w:val="left" w:pos="1260"/>
                              <w:tab w:val="left" w:pos="1843"/>
                              <w:tab w:val="left" w:pos="2268"/>
                            </w:tabs>
                            <w:ind w:firstLine="720"/>
                            <w:jc w:val="both"/>
                            <w:rPr>
                              <w:szCs w:val="24"/>
                            </w:rPr>
                          </w:pPr>
                          <w:sdt>
                            <w:sdtPr>
                              <w:alias w:val="Numeris"/>
                              <w:tag w:val="nr_2b3e8a0bd5554d869bcfc66ee0b98a65"/>
                              <w:lock w:val="sdtLocked"/>
                              <w:richText/>
                            </w:sdtPr>
                            <w:sdtContent>
                              <w:r>
                                <w:rPr>
                                  <w:szCs w:val="24"/>
                                </w:rPr>
                                <w:t>63.2</w:t>
                              </w:r>
                            </w:sdtContent>
                          </w:sdt>
                          <w:r>
                            <w:rPr>
                              <w:szCs w:val="24"/>
                            </w:rPr>
                            <w:t>. VĮ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(29)</w:t>
                          </w:r>
                        </w:p>
                        <w:p>
                          <w:pPr>
                            <w:tabs>
                              <w:tab w:val="left" w:pos="1260"/>
                              <w:tab w:val="left" w:pos="1843"/>
                              <w:tab w:val="left" w:pos="2268"/>
                            </w:tabs>
                            <w:jc w:val="both"/>
                            <w:rPr>
                              <w:szCs w:val="24"/>
                            </w:rPr>
                          </w:pPr>
                        </w:p>
                      </w:sdtContent>
                    </w:sdt>
                    <w:sdt>
                      <w:sdtPr>
                        <w:alias w:val="63.3 p."/>
                        <w:tag w:val="part_7b4fe49815774337a2fe0b64179f56c7"/>
                        <w:lock w:val="sdtLocked"/>
                        <w:richText/>
                      </w:sdtPr>
                      <w:sdtContent>
                        <w:p>
                          <w:pPr>
                            <w:tabs>
                              <w:tab w:val="left" w:pos="1260"/>
                              <w:tab w:val="left" w:pos="1843"/>
                              <w:tab w:val="left" w:pos="2268"/>
                            </w:tabs>
                            <w:ind w:firstLine="720"/>
                            <w:jc w:val="both"/>
                            <w:rPr>
                              <w:szCs w:val="24"/>
                            </w:rPr>
                          </w:pPr>
                          <w:sdt>
                            <w:sdtPr>
                              <w:alias w:val="Numeris"/>
                              <w:tag w:val="nr_7b4fe49815774337a2fe0b64179f56c7"/>
                              <w:lock w:val="sdtLocked"/>
                              <w:richText/>
                            </w:sdtPr>
                            <w:sdtContent>
                              <w:r>
                                <w:rPr>
                                  <w:szCs w:val="24"/>
                                </w:rPr>
                                <w:t>63.3</w:t>
                              </w:r>
                            </w:sdtContent>
                          </w:sdt>
                          <w:r>
                            <w:rPr>
                              <w:szCs w:val="24"/>
                            </w:rPr>
                            <w:t>. ŽĮ kitų tinklo elementų ir kito turto metinis OPEX:</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DSOLVONWAOX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(30)</w:t>
                          </w:r>
                        </w:p>
                        <w:p>
                          <w:pPr>
                            <w:tabs>
                              <w:tab w:val="left" w:pos="1134"/>
                              <w:tab w:val="left" w:pos="1843"/>
                              <w:tab w:val="left" w:pos="2268"/>
                            </w:tabs>
                            <w:jc w:val="both"/>
                            <w:rPr>
                              <w:szCs w:val="24"/>
                            </w:rPr>
                          </w:pPr>
                        </w:p>
                      </w:sdtContent>
                    </w:sdt>
                    <w:sdt>
                      <w:sdtPr>
                        <w:alias w:val="63.4 p."/>
                        <w:tag w:val="part_e6e0505db85a41bc84b1fcf4a29a9feb"/>
                        <w:lock w:val="sdtLocked"/>
                        <w:richText/>
                      </w:sdtPr>
                      <w:sdtContent>
                        <w:p>
                          <w:pPr>
                            <w:tabs>
                              <w:tab w:val="left" w:pos="1260"/>
                              <w:tab w:val="left" w:pos="1843"/>
                              <w:tab w:val="left" w:pos="2268"/>
                            </w:tabs>
                            <w:ind w:firstLine="720"/>
                            <w:jc w:val="both"/>
                            <w:rPr>
                              <w:szCs w:val="24"/>
                            </w:rPr>
                          </w:pPr>
                          <w:sdt>
                            <w:sdtPr>
                              <w:alias w:val="Numeris"/>
                              <w:tag w:val="nr_e6e0505db85a41bc84b1fcf4a29a9feb"/>
                              <w:lock w:val="sdtLocked"/>
                              <w:richText/>
                            </w:sdtPr>
                            <w:sdtContent>
                              <w:r>
                                <w:rPr>
                                  <w:szCs w:val="24"/>
                                </w:rPr>
                                <w:t>63.4</w:t>
                              </w:r>
                            </w:sdtContent>
                          </w:sdt>
                          <w:r>
                            <w:rPr>
                              <w:szCs w:val="24"/>
                            </w:rPr>
                            <w:t>. VĮ kitų tinklo elementų ir kito turto metinis OPEX:</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DSOMVONWAOX</m:t>
                                </m:r>
                              </m:sub>
                            </m:sSub>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(31)</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sumodeliuotas STO ŽĮ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sumodeliuotas STO VĮ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sumodeliuotas STO ŽĮ kitų tinklo elementų ir kito turto metinis OPEX;</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sumodeliuotas STO VĮ kitų tinklo elementų ir kito turto metinis OPEX;</w:t>
                          </w:r>
                        </w:p>
                        <w:p>
                          <w:pPr>
                            <w:tabs>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kitų tinklo elementų ir kito turto leidžiamoms pajamoms priskirti;</w:t>
                          </w:r>
                        </w:p>
                        <w:p>
                          <w:pPr>
                            <w:tabs>
                              <w:tab w:val="left" w:pos="1134"/>
                              <w:tab w:val="left" w:pos="1843"/>
                              <w:tab w:val="left" w:pos="2268"/>
                            </w:tabs>
                            <w:jc w:val="both"/>
                            <w:rPr>
                              <w:szCs w:val="24"/>
                            </w:rPr>
                          </w:pPr>
                          <w:r>
                            <w:rPr>
                              <w:szCs w:val="24"/>
                            </w:rPr>
                            <w:t>LRAIC</w:t>
                          </w:r>
                          <w:r>
                            <w:rPr>
                              <w:szCs w:val="24"/>
                              <w:vertAlign w:val="subscript"/>
                            </w:rPr>
                            <w:t>DSOONWAACX</w:t>
                          </w:r>
                          <w:r>
                            <w:rPr>
                              <w:szCs w:val="24"/>
                            </w:rPr>
                            <w:t xml:space="preserve"> – Modelio sumodeliuotas STO bendras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DSOONWAOX</w:t>
                          </w:r>
                          <w:r>
                            <w:rPr>
                              <w:szCs w:val="24"/>
                            </w:rPr>
                            <w:t xml:space="preserve"> – Modelio sumodeliuotas STO bendras kitų tinklo elementų ir kito turto metinis OPEX.</w:t>
                          </w:r>
                        </w:p>
                      </w:sdtContent>
                    </w:sdt>
                  </w:sdtContent>
                </w:sdt>
                <w:sdt>
                  <w:sdtPr>
                    <w:alias w:val="64 p."/>
                    <w:tag w:val="part_80b590c5a4454101beb0ce1c6c40ec99"/>
                    <w:lock w:val="sdtLocked"/>
                    <w:richText/>
                  </w:sdtPr>
                  <w:sdtContent>
                    <w:p>
                      <w:pPr>
                        <w:tabs>
                          <w:tab w:val="left" w:pos="1134"/>
                          <w:tab w:val="left" w:pos="1843"/>
                          <w:tab w:val="left" w:pos="2268"/>
                        </w:tabs>
                        <w:ind w:firstLine="720"/>
                        <w:jc w:val="both"/>
                        <w:rPr>
                          <w:szCs w:val="24"/>
                        </w:rPr>
                      </w:pPr>
                      <w:sdt>
                        <w:sdtPr>
                          <w:alias w:val="Numeris"/>
                          <w:tag w:val="nr_80b590c5a4454101beb0ce1c6c40ec99"/>
                          <w:lock w:val="sdtLocked"/>
                          <w:richText/>
                        </w:sdtPr>
                        <w:sdtContent>
                          <w:r>
                            <w:rPr>
                              <w:szCs w:val="24"/>
                            </w:rPr>
                            <w:t>64</w:t>
                          </w:r>
                        </w:sdtContent>
                      </w:sdt>
                      <w:r>
                        <w:rPr>
                          <w:szCs w:val="24"/>
                        </w:rPr>
                        <w:t>. Paskirsčius visus Modelio sumodeliuotus kaštus tarp ŽĮ ir VĮ tinklų, Modelis apskaičiuoja STO bendras ŽĮ ir VĮ leidžiamas pajamas tiksliniams metams pagal formules:</w:t>
                      </w:r>
                    </w:p>
                    <w:sdt>
                      <w:sdtPr>
                        <w:alias w:val="64.1 p."/>
                        <w:tag w:val="part_989778dc551f4d2ea8e24177b94264d8"/>
                        <w:lock w:val="sdtLocked"/>
                        <w:richText/>
                      </w:sdtPr>
                      <w:sdtContent>
                        <w:p>
                          <w:pPr>
                            <w:tabs>
                              <w:tab w:val="left" w:pos="1276"/>
                              <w:tab w:val="left" w:pos="1843"/>
                              <w:tab w:val="left" w:pos="2268"/>
                            </w:tabs>
                            <w:ind w:firstLine="709"/>
                            <w:jc w:val="both"/>
                            <w:rPr>
                              <w:szCs w:val="24"/>
                            </w:rPr>
                          </w:pPr>
                          <w:sdt>
                            <w:sdtPr>
                              <w:alias w:val="Numeris"/>
                              <w:tag w:val="nr_989778dc551f4d2ea8e24177b94264d8"/>
                              <w:lock w:val="sdtLocked"/>
                              <w:richText/>
                            </w:sdtPr>
                            <w:sdtContent>
                              <w:r>
                                <w:rPr>
                                  <w:szCs w:val="24"/>
                                </w:rPr>
                                <w:t>64.1</w:t>
                              </w:r>
                            </w:sdtContent>
                          </w:sdt>
                          <w:r>
                            <w:rPr>
                              <w:szCs w:val="24"/>
                            </w:rPr>
                            <w:t>. STO bendros ŽĮ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DSOLVONWAACX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DSOLVMEOX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DSOLVONWAOX</m:t>
                                </m:r>
                              </m:sub>
                            </m:sSub>
                          </m:oMath>
                          <w:r>
                            <w:tab/>
                          </w:r>
                          <w:r>
                            <w:rPr>
                              <w:szCs w:val="24"/>
                            </w:rPr>
                            <w:t>(32)</w:t>
                          </w:r>
                        </w:p>
                        <w:p>
                          <w:pPr>
                            <w:tabs>
                              <w:tab w:val="left" w:pos="1134"/>
                              <w:tab w:val="left" w:pos="9214"/>
                            </w:tabs>
                            <w:ind w:firstLine="567"/>
                            <w:jc w:val="both"/>
                            <w:rPr>
                              <w:szCs w:val="24"/>
                            </w:rPr>
                          </w:pPr>
                        </w:p>
                      </w:sdtContent>
                    </w:sdt>
                    <w:sdt>
                      <w:sdtPr>
                        <w:alias w:val="64.2 p."/>
                        <w:tag w:val="part_c011d18c72cf48319ab5151e0ad30724"/>
                        <w:lock w:val="sdtLocked"/>
                        <w:richText/>
                      </w:sdtPr>
                      <w:sdtContent>
                        <w:p>
                          <w:pPr>
                            <w:tabs>
                              <w:tab w:val="left" w:pos="1134"/>
                              <w:tab w:val="left" w:pos="1276"/>
                              <w:tab w:val="left" w:pos="9214"/>
                            </w:tabs>
                            <w:ind w:firstLine="709"/>
                            <w:jc w:val="both"/>
                            <w:rPr>
                              <w:szCs w:val="24"/>
                            </w:rPr>
                          </w:pPr>
                          <w:sdt>
                            <w:sdtPr>
                              <w:alias w:val="Numeris"/>
                              <w:tag w:val="nr_c011d18c72cf48319ab5151e0ad30724"/>
                              <w:lock w:val="sdtLocked"/>
                              <w:richText/>
                            </w:sdtPr>
                            <w:sdtContent>
                              <w:r>
                                <w:rPr>
                                  <w:szCs w:val="24"/>
                                </w:rPr>
                                <w:t>64.2</w:t>
                              </w:r>
                            </w:sdtContent>
                          </w:sdt>
                          <w:r>
                            <w:rPr>
                              <w:szCs w:val="24"/>
                            </w:rPr>
                            <w:t>. STO bendros VĮ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DSOMVMEOX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DSOMVONWAOX</m:t>
                                </m:r>
                              </m:sub>
                            </m:sSub>
                          </m:oMath>
                          <w:r>
                            <w:tab/>
                          </w:r>
                          <w:r>
                            <w:rPr>
                              <w:szCs w:val="24"/>
                            </w:rPr>
                            <w:t>(33)</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w:t>
                          </w:r>
                          <w:r>
                            <w:rPr>
                              <w:szCs w:val="24"/>
                            </w:rPr>
                            <w:t xml:space="preserve"> – Modelio apskaičiuotos bendros ŽĮ leidžiamos pajamos tiksliniams metams;</w:t>
                          </w:r>
                        </w:p>
                        <w:p>
                          <w:pPr>
                            <w:tabs>
                              <w:tab w:val="left" w:pos="1134"/>
                              <w:tab w:val="left" w:pos="1843"/>
                              <w:tab w:val="left" w:pos="2268"/>
                            </w:tabs>
                            <w:jc w:val="both"/>
                            <w:rPr>
                              <w:szCs w:val="24"/>
                            </w:rPr>
                          </w:pPr>
                          <w:r>
                            <w:rPr>
                              <w:szCs w:val="24"/>
                            </w:rPr>
                            <w:t>LRAIC</w:t>
                          </w:r>
                          <w:r>
                            <w:rPr>
                              <w:szCs w:val="24"/>
                              <w:vertAlign w:val="subscript"/>
                            </w:rPr>
                            <w:t>DSOMV</w:t>
                          </w:r>
                          <w:r>
                            <w:rPr>
                              <w:szCs w:val="24"/>
                            </w:rPr>
                            <w:t xml:space="preserve"> – Modelio apskaičiuotos bendros VĮ leidžiamos pajamos tiksliniams metams;</w:t>
                          </w:r>
                        </w:p>
                        <w:p>
                          <w:pPr>
                            <w:tabs>
                              <w:tab w:val="left" w:pos="1134"/>
                              <w:tab w:val="left" w:pos="1843"/>
                              <w:tab w:val="left" w:pos="2268"/>
                            </w:tabs>
                            <w:jc w:val="both"/>
                            <w:rPr>
                              <w:szCs w:val="24"/>
                            </w:rPr>
                          </w:pPr>
                          <w:r>
                            <w:rPr>
                              <w:szCs w:val="24"/>
                            </w:rPr>
                            <w:t>LRAIC</w:t>
                          </w:r>
                          <w:r>
                            <w:rPr>
                              <w:szCs w:val="24"/>
                              <w:vertAlign w:val="subscript"/>
                            </w:rPr>
                            <w:t>DSOLVMEACX</w:t>
                          </w:r>
                          <w:r>
                            <w:rPr>
                              <w:szCs w:val="24"/>
                            </w:rPr>
                            <w:t xml:space="preserve"> – Modelio apskaičiuotos ŽĮ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apskaičiuotos ŽĮ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DSOLVMEOX</w:t>
                          </w:r>
                          <w:r>
                            <w:rPr>
                              <w:szCs w:val="24"/>
                            </w:rPr>
                            <w:t xml:space="preserve"> – Modelio apskaičiuotos ŽĮ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apskaičiuotos ŽĮ tinklo kitų tinklo elementų ir kito turto metinės OPEX;</w:t>
                          </w:r>
                        </w:p>
                        <w:p>
                          <w:pPr>
                            <w:tabs>
                              <w:tab w:val="left" w:pos="1134"/>
                              <w:tab w:val="left" w:pos="1843"/>
                              <w:tab w:val="left" w:pos="2268"/>
                            </w:tabs>
                            <w:jc w:val="both"/>
                            <w:rPr>
                              <w:szCs w:val="24"/>
                            </w:rPr>
                          </w:pPr>
                          <w:r>
                            <w:rPr>
                              <w:szCs w:val="24"/>
                            </w:rPr>
                            <w:t>LRAIC</w:t>
                          </w:r>
                          <w:r>
                            <w:rPr>
                              <w:szCs w:val="24"/>
                              <w:vertAlign w:val="subscript"/>
                            </w:rPr>
                            <w:t>DSOMVMEACX</w:t>
                          </w:r>
                          <w:r>
                            <w:rPr>
                              <w:szCs w:val="24"/>
                            </w:rPr>
                            <w:t xml:space="preserve"> – Modelio apskaičiuotos VĮ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apskaičiuotos VĮ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DSOMVMEOX</w:t>
                          </w:r>
                          <w:r>
                            <w:rPr>
                              <w:szCs w:val="24"/>
                            </w:rPr>
                            <w:t xml:space="preserve"> – Modelio apskaičiuotos VĮ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apskaičiuotos VĮ tinklo kitų tinklo elementų ir kito turto metinės OPEX.</w:t>
                          </w:r>
                        </w:p>
                      </w:sdtContent>
                    </w:sdt>
                  </w:sdtContent>
                </w:sdt>
                <w:sdt>
                  <w:sdtPr>
                    <w:alias w:val="65 p."/>
                    <w:tag w:val="part_080115d895144184bf02ca11cdf9ca9f"/>
                    <w:lock w:val="sdtLocked"/>
                    <w:richText/>
                  </w:sdtPr>
                  <w:sdtContent>
                    <w:p>
                      <w:pPr>
                        <w:tabs>
                          <w:tab w:val="left" w:pos="1134"/>
                          <w:tab w:val="left" w:pos="1843"/>
                          <w:tab w:val="left" w:pos="2268"/>
                        </w:tabs>
                        <w:ind w:firstLine="720"/>
                        <w:jc w:val="both"/>
                        <w:rPr>
                          <w:szCs w:val="24"/>
                        </w:rPr>
                      </w:pPr>
                      <w:sdt>
                        <w:sdtPr>
                          <w:alias w:val="Numeris"/>
                          <w:tag w:val="nr_080115d895144184bf02ca11cdf9ca9f"/>
                          <w:lock w:val="sdtLocked"/>
                          <w:richText/>
                        </w:sdtPr>
                        <w:sdtContent>
                          <w:r>
                            <w:rPr>
                              <w:szCs w:val="24"/>
                            </w:rPr>
                            <w:t>65</w:t>
                          </w:r>
                        </w:sdtContent>
                      </w:sdt>
                      <w:r>
                        <w:rPr>
                          <w:szCs w:val="24"/>
                        </w:rPr>
                        <w:t>. STO bendros leidžiamos paskutinių nustatomo reguliavimo periodo metų pajamos, ŽĮ ir VĮ tinkle, susideda iš 2 dalių:</w:t>
                      </w:r>
                    </w:p>
                    <w:sdt>
                      <w:sdtPr>
                        <w:alias w:val="65.1 p."/>
                        <w:tag w:val="part_c175613a9a684efdb997ec666f94cdc0"/>
                        <w:lock w:val="sdtLocked"/>
                        <w:richText/>
                      </w:sdtPr>
                      <w:sdtContent>
                        <w:p>
                          <w:pPr>
                            <w:tabs>
                              <w:tab w:val="left" w:pos="1134"/>
                            </w:tabs>
                            <w:ind w:firstLine="709"/>
                            <w:jc w:val="both"/>
                            <w:rPr>
                              <w:szCs w:val="24"/>
                            </w:rPr>
                          </w:pPr>
                          <w:sdt>
                            <w:sdtPr>
                              <w:alias w:val="Numeris"/>
                              <w:tag w:val="nr_c175613a9a684efdb997ec666f94cdc0"/>
                              <w:lock w:val="sdtLocked"/>
                              <w:richText/>
                            </w:sdtPr>
                            <w:sdtContent>
                              <w:r>
                                <w:rPr>
                                  <w:szCs w:val="24"/>
                                </w:rPr>
                                <w:t>65.1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5.2 p."/>
                        <w:tag w:val="part_e4dd94d141d54170935d1682ea37110c"/>
                        <w:lock w:val="sdtLocked"/>
                        <w:richText/>
                      </w:sdtPr>
                      <w:sdtContent>
                        <w:p>
                          <w:pPr>
                            <w:tabs>
                              <w:tab w:val="left" w:pos="1260"/>
                              <w:tab w:val="left" w:pos="1843"/>
                              <w:tab w:val="left" w:pos="2268"/>
                            </w:tabs>
                            <w:ind w:firstLine="720"/>
                            <w:jc w:val="both"/>
                            <w:rPr>
                              <w:szCs w:val="24"/>
                            </w:rPr>
                          </w:pPr>
                          <w:sdt>
                            <w:sdtPr>
                              <w:alias w:val="Numeris"/>
                              <w:tag w:val="nr_e4dd94d141d54170935d1682ea37110c"/>
                              <w:lock w:val="sdtLocked"/>
                              <w:richText/>
                            </w:sdtPr>
                            <w:sdtContent>
                              <w:r>
                                <w:rPr>
                                  <w:szCs w:val="24"/>
                                </w:rPr>
                                <w:t>65.2</w:t>
                              </w:r>
                            </w:sdtContent>
                          </w:sdt>
                          <w:r>
                            <w:rPr>
                              <w:szCs w:val="24"/>
                            </w:rPr>
                            <w:t xml:space="preserve">. metinio OPEX, kuris apskaičiuojamas Metodikos 8 punkte nustatyta tvarka ir planinio infliacijos dydžio. </w:t>
                          </w:r>
                        </w:p>
                      </w:sdtContent>
                    </w:sdt>
                  </w:sdtContent>
                </w:sdt>
                <w:sdt>
                  <w:sdtPr>
                    <w:alias w:val="66 p."/>
                    <w:tag w:val="part_2cb133c582f749c2b0df7d4b1f9f75fd"/>
                    <w:lock w:val="sdtLocked"/>
                    <w:richText/>
                  </w:sdtPr>
                  <w:sdtContent>
                    <w:p>
                      <w:pPr>
                        <w:tabs>
                          <w:tab w:val="left" w:pos="1080"/>
                          <w:tab w:val="left" w:pos="1843"/>
                          <w:tab w:val="left" w:pos="2268"/>
                        </w:tabs>
                        <w:ind w:firstLine="720"/>
                        <w:jc w:val="both"/>
                        <w:rPr>
                          <w:szCs w:val="24"/>
                        </w:rPr>
                      </w:pPr>
                      <w:sdt>
                        <w:sdtPr>
                          <w:alias w:val="Numeris"/>
                          <w:tag w:val="nr_2cb133c582f749c2b0df7d4b1f9f75fd"/>
                          <w:lock w:val="sdtLocked"/>
                          <w:richText/>
                        </w:sdtPr>
                        <w:sdtContent>
                          <w:r>
                            <w:rPr>
                              <w:szCs w:val="24"/>
                            </w:rPr>
                            <w:t>66</w:t>
                          </w:r>
                        </w:sdtContent>
                      </w:sdt>
                      <w:r>
                        <w:rPr>
                          <w:szCs w:val="24"/>
                        </w:rPr>
                        <w:t xml:space="preserve">. Metinės </w:t>
                      </w:r>
                      <w:r>
                        <w:rPr>
                          <w:i/>
                          <w:szCs w:val="24"/>
                        </w:rPr>
                        <w:t>t</w:t>
                      </w:r>
                      <w:r>
                        <w:rPr>
                          <w:szCs w:val="24"/>
                        </w:rPr>
                        <w:t xml:space="preserve"> metų STO nekoreguotos leidžiamos pajamos VĮ ir ŽĮ tinkluose apskaičiuojamos pagal formules:</w:t>
                      </w:r>
                    </w:p>
                    <w:sdt>
                      <w:sdtPr>
                        <w:alias w:val="66.1 p."/>
                        <w:tag w:val="part_8c8185b0d0d3444c8e5c8f2e8cd17e05"/>
                        <w:lock w:val="sdtLocked"/>
                        <w:richText/>
                      </w:sdtPr>
                      <w:sdtContent>
                        <w:p>
                          <w:pPr>
                            <w:tabs>
                              <w:tab w:val="left" w:pos="1276"/>
                              <w:tab w:val="left" w:pos="1843"/>
                              <w:tab w:val="left" w:pos="2268"/>
                            </w:tabs>
                            <w:ind w:firstLine="709"/>
                            <w:jc w:val="both"/>
                            <w:rPr>
                              <w:szCs w:val="24"/>
                            </w:rPr>
                          </w:pPr>
                          <w:sdt>
                            <w:sdtPr>
                              <w:alias w:val="Numeris"/>
                              <w:tag w:val="nr_8c8185b0d0d3444c8e5c8f2e8cd17e05"/>
                              <w:lock w:val="sdtLocked"/>
                              <w:richText/>
                            </w:sdtPr>
                            <w:sdtContent>
                              <w:r>
                                <w:rPr>
                                  <w:szCs w:val="24"/>
                                </w:rPr>
                                <w:t>66.1</w:t>
                              </w:r>
                            </w:sdtContent>
                          </w:sdt>
                          <w:r>
                            <w:rPr>
                              <w:szCs w:val="24"/>
                            </w:rPr>
                            <w:t xml:space="preserve">. ŽĮ tinkle leidžiamos nekoreguotos </w:t>
                          </w:r>
                          <w:r>
                            <w:rPr>
                              <w:i/>
                              <w:szCs w:val="24"/>
                            </w:rPr>
                            <w:t>t</w:t>
                          </w:r>
                          <w:r>
                            <w:rPr>
                              <w:szCs w:val="24"/>
                            </w:rPr>
                            <w:t xml:space="preserve"> metų pajamos: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DSOLV</m:t>
                                </m:r>
                                <m:r>
                                  <w:rPr>
                                    <w:rFonts w:ascii="Cambria Math" w:hAnsi="Cambria Math"/>
                                  </w:rPr>
                                  <m:t>,0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DSOLV</m:t>
                                        </m:r>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t>
                                        </m:r>
                                        <m:r>
                                          <w:rPr>
                                            <w:rFonts w:ascii="Cambria Math" w:hAnsi="Cambria Math"/>
                                          </w:rPr>
                                          <m:t>,</m:t>
                                        </m:r>
                                        <m:r>
                                          <w:rPr>
                                            <w:rFonts w:ascii="Cambria Math" w:hAnsi="Cambria Math"/>
                                          </w:rPr>
                                          <m:t>m</m:t>
                                        </m:r>
                                      </m:sub>
                                    </m:sSub>
                                  </m:num>
                                  <m:den>
                                    <m:r>
                                      <w:rPr>
                                        <w:rFonts w:ascii="Cambria Math" w:hAnsi="Cambria Math"/>
                                      </w:rPr>
                                      <m:t>T</m:t>
                                    </m:r>
                                  </m:den>
                                </m:f>
                              </m:e>
                            </m:d>
                            <m:r>
                              <w:rPr>
                                <w:rFonts w:ascii="Cambria Math" w:hAnsi="Cambria Math"/>
                              </w:rPr>
                              <m:t>×</m:t>
                            </m:r>
                            <m:r>
                              <w:rPr>
                                <w:rFonts w:ascii="Cambria Math" w:hAnsi="Cambria Math"/>
                              </w:rPr>
                              <m:t>t</m:t>
                            </m:r>
                          </m:oMath>
                          <w:r>
                            <w:tab/>
                          </w:r>
                          <w:r>
                            <w:rPr>
                              <w:szCs w:val="24"/>
                            </w:rPr>
                            <w:t>(34)</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contextualSpacing/>
                            <w:jc w:val="both"/>
                            <w:rPr>
                              <w:szCs w:val="24"/>
                            </w:rPr>
                          </w:pPr>
                          <w:r>
                            <w:rPr>
                              <w:szCs w:val="24"/>
                            </w:rPr>
                            <w:t>LRAIC</w:t>
                          </w:r>
                          <w:r>
                            <w:rPr>
                              <w:szCs w:val="24"/>
                              <w:vertAlign w:val="subscript"/>
                            </w:rPr>
                            <w:t>DSOLV,t</w:t>
                          </w:r>
                          <w:r>
                            <w:rPr>
                              <w:szCs w:val="24"/>
                            </w:rPr>
                            <w:t xml:space="preserve"> – STO ŽĮ tinklo nekoreguotos </w:t>
                          </w:r>
                          <w:r>
                            <w:rPr>
                              <w:i/>
                              <w:szCs w:val="24"/>
                            </w:rPr>
                            <w:t>t</w:t>
                          </w:r>
                          <w:r>
                            <w:rPr>
                              <w:szCs w:val="24"/>
                            </w:rPr>
                            <w:t xml:space="preserve"> metų leidžiamos pajamos;</w:t>
                          </w:r>
                        </w:p>
                        <w:p>
                          <w:pPr>
                            <w:tabs>
                              <w:tab w:val="left" w:pos="1134"/>
                              <w:tab w:val="left" w:pos="1843"/>
                              <w:tab w:val="left" w:pos="2268"/>
                            </w:tabs>
                            <w:contextualSpacing/>
                            <w:jc w:val="both"/>
                            <w:rPr>
                              <w:szCs w:val="24"/>
                            </w:rPr>
                          </w:pPr>
                          <w:r>
                            <w:rPr>
                              <w:szCs w:val="24"/>
                            </w:rPr>
                            <w:t>P</w:t>
                          </w:r>
                          <w:r>
                            <w:rPr>
                              <w:szCs w:val="24"/>
                              <w:vertAlign w:val="subscript"/>
                            </w:rPr>
                            <w:t>DSOLV,0</w:t>
                          </w:r>
                          <w:r>
                            <w:rPr>
                              <w:szCs w:val="24"/>
                            </w:rPr>
                            <w:t xml:space="preserve"> – STO ŽĮ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DSOLV,m</w:t>
                          </w:r>
                          <w:r>
                            <w:rPr>
                              <w:szCs w:val="24"/>
                            </w:rPr>
                            <w:t xml:space="preserve"> –STO bendros leidžiamos paskutinių nustatomo reguliavimo periodo metų pajamos ŽĮ tinkle; </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
                      <w:sdtPr>
                        <w:alias w:val="66.2 p."/>
                        <w:tag w:val="part_ecd0c3aa004547daadd146d80bb3bdcd"/>
                        <w:lock w:val="sdtLocked"/>
                        <w:richText/>
                      </w:sdtPr>
                      <w:sdtContent>
                        <w:p>
                          <w:pPr>
                            <w:tabs>
                              <w:tab w:val="left" w:pos="1276"/>
                              <w:tab w:val="left" w:pos="1843"/>
                              <w:tab w:val="left" w:pos="2268"/>
                            </w:tabs>
                            <w:ind w:firstLine="709"/>
                            <w:contextualSpacing/>
                            <w:jc w:val="both"/>
                            <w:rPr>
                              <w:szCs w:val="24"/>
                            </w:rPr>
                          </w:pPr>
                          <w:sdt>
                            <w:sdtPr>
                              <w:alias w:val="Numeris"/>
                              <w:tag w:val="nr_ecd0c3aa004547daadd146d80bb3bdcd"/>
                              <w:lock w:val="sdtLocked"/>
                              <w:richText/>
                            </w:sdtPr>
                            <w:sdtContent>
                              <w:r>
                                <w:rPr>
                                  <w:szCs w:val="24"/>
                                </w:rPr>
                                <w:t>66.2</w:t>
                              </w:r>
                            </w:sdtContent>
                          </w:sdt>
                          <w:r>
                            <w:rPr>
                              <w:szCs w:val="24"/>
                            </w:rPr>
                            <w:t xml:space="preserve">. VĮ tinkle leidžiamos nekoreguotos </w:t>
                          </w:r>
                          <w:r>
                            <w:rPr>
                              <w:i/>
                              <w:szCs w:val="24"/>
                            </w:rPr>
                            <w:t xml:space="preserve">t </w:t>
                          </w:r>
                          <w:r>
                            <w:rPr>
                              <w:szCs w:val="24"/>
                            </w:rPr>
                            <w:t>metų pajamos:</w:t>
                          </w:r>
                        </w:p>
                        <w:p>
                          <w:pPr>
                            <w:tabs>
                              <w:tab w:val="left" w:pos="1276"/>
                              <w:tab w:val="left" w:pos="1843"/>
                              <w:tab w:val="left" w:pos="2268"/>
                            </w:tabs>
                            <w:contextualSpacing/>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DSOMV</m:t>
                                </m:r>
                                <m:r>
                                  <w:rPr>
                                    <w:rFonts w:ascii="Cambria Math" w:hAnsi="Cambria Math"/>
                                  </w:rPr>
                                  <m:t>,0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DSOMV</m:t>
                                        </m:r>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t>
                                        </m:r>
                                        <m:r>
                                          <w:rPr>
                                            <w:rFonts w:ascii="Cambria Math" w:hAnsi="Cambria Math"/>
                                          </w:rPr>
                                          <m:t>,</m:t>
                                        </m:r>
                                        <m:r>
                                          <w:rPr>
                                            <w:rFonts w:ascii="Cambria Math" w:hAnsi="Cambria Math"/>
                                          </w:rPr>
                                          <m:t>m</m:t>
                                        </m:r>
                                      </m:sub>
                                    </m:sSub>
                                  </m:num>
                                  <m:den>
                                    <m:r>
                                      <w:rPr>
                                        <w:rFonts w:ascii="Cambria Math" w:hAnsi="Cambria Math"/>
                                      </w:rPr>
                                      <m:t>T</m:t>
                                    </m:r>
                                  </m:den>
                                </m:f>
                              </m:e>
                            </m:d>
                            <m:r>
                              <w:rPr>
                                <w:rFonts w:ascii="Cambria Math" w:hAnsi="Cambria Math"/>
                              </w:rPr>
                              <m:t>×</m:t>
                            </m:r>
                            <m:r>
                              <w:rPr>
                                <w:rFonts w:ascii="Cambria Math" w:hAnsi="Cambria Math"/>
                              </w:rPr>
                              <m:t>t</m:t>
                            </m:r>
                          </m:oMath>
                          <w:r>
                            <w:tab/>
                          </w:r>
                          <w:r>
                            <w:rPr>
                              <w:szCs w:val="24"/>
                            </w:rPr>
                            <w:t>(35)</w:t>
                          </w:r>
                        </w:p>
                        <w:p>
                          <w:pPr>
                            <w:tabs>
                              <w:tab w:val="left" w:pos="1134"/>
                              <w:tab w:val="left" w:pos="1843"/>
                              <w:tab w:val="left" w:pos="2268"/>
                            </w:tabs>
                            <w:contextualSpacing/>
                            <w:jc w:val="both"/>
                            <w:rPr>
                              <w:szCs w:val="24"/>
                            </w:rPr>
                          </w:pPr>
                        </w:p>
                        <w:p>
                          <w:pPr>
                            <w:tabs>
                              <w:tab w:val="left" w:pos="1134"/>
                              <w:tab w:val="left" w:pos="1843"/>
                              <w:tab w:val="left" w:pos="2268"/>
                            </w:tabs>
                            <w:jc w:val="both"/>
                            <w:rPr>
                              <w:i/>
                              <w:szCs w:val="24"/>
                            </w:rPr>
                          </w:pPr>
                          <w:r>
                            <w:rPr>
                              <w:i/>
                              <w:szCs w:val="24"/>
                            </w:rPr>
                            <w:t>čia:</w:t>
                          </w:r>
                        </w:p>
                        <w:p>
                          <w:pPr>
                            <w:tabs>
                              <w:tab w:val="left" w:pos="0"/>
                              <w:tab w:val="left" w:pos="1134"/>
                              <w:tab w:val="left" w:pos="1843"/>
                              <w:tab w:val="left" w:pos="2268"/>
                            </w:tabs>
                            <w:contextualSpacing/>
                            <w:jc w:val="both"/>
                            <w:rPr>
                              <w:szCs w:val="24"/>
                            </w:rPr>
                          </w:pPr>
                          <w:r>
                            <w:rPr>
                              <w:szCs w:val="24"/>
                            </w:rPr>
                            <w:t>LRAIC</w:t>
                          </w:r>
                          <w:r>
                            <w:rPr>
                              <w:szCs w:val="24"/>
                              <w:vertAlign w:val="subscript"/>
                            </w:rPr>
                            <w:t xml:space="preserve">DSOMV,t </w:t>
                          </w:r>
                          <w:r>
                            <w:rPr>
                              <w:szCs w:val="24"/>
                            </w:rPr>
                            <w:t xml:space="preserve">– STO VĮ tinklo nekoreguotos </w:t>
                          </w:r>
                          <w:r>
                            <w:rPr>
                              <w:i/>
                              <w:szCs w:val="24"/>
                            </w:rPr>
                            <w:t>t</w:t>
                          </w:r>
                          <w:r>
                            <w:rPr>
                              <w:szCs w:val="24"/>
                            </w:rPr>
                            <w:t xml:space="preserve"> metų leidžiamos pajamos;</w:t>
                          </w:r>
                        </w:p>
                        <w:p>
                          <w:pPr>
                            <w:tabs>
                              <w:tab w:val="left" w:pos="0"/>
                              <w:tab w:val="left" w:pos="1134"/>
                              <w:tab w:val="left" w:pos="1843"/>
                              <w:tab w:val="left" w:pos="2268"/>
                            </w:tabs>
                            <w:contextualSpacing/>
                            <w:jc w:val="both"/>
                            <w:rPr>
                              <w:szCs w:val="24"/>
                            </w:rPr>
                          </w:pPr>
                          <w:r>
                            <w:rPr>
                              <w:szCs w:val="24"/>
                            </w:rPr>
                            <w:t>P</w:t>
                          </w:r>
                          <w:r>
                            <w:rPr>
                              <w:szCs w:val="24"/>
                              <w:vertAlign w:val="subscript"/>
                            </w:rPr>
                            <w:t>DSOMV,0</w:t>
                          </w:r>
                          <w:r>
                            <w:rPr>
                              <w:szCs w:val="24"/>
                            </w:rPr>
                            <w:t xml:space="preserve"> – STO VĮ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DSOMV,m</w:t>
                          </w:r>
                          <w:r>
                            <w:rPr>
                              <w:szCs w:val="24"/>
                            </w:rPr>
                            <w:t xml:space="preserve"> – STO bendros leidžiamos paskutinių nustatomo reguliavimo periodo metų pajamos VĮ tinkle;</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Content>
                </w:sdt>
                <w:sdt>
                  <w:sdtPr>
                    <w:alias w:val="67 p."/>
                    <w:tag w:val="part_9a1597f33d724eba9c4cc5c63f7fcb3c"/>
                    <w:lock w:val="sdtLocked"/>
                    <w:richText/>
                  </w:sdtPr>
                  <w:sdtContent>
                    <w:p>
                      <w:pPr>
                        <w:tabs>
                          <w:tab w:val="left" w:pos="1134"/>
                        </w:tabs>
                        <w:ind w:firstLine="709"/>
                        <w:jc w:val="both"/>
                        <w:rPr>
                          <w:szCs w:val="24"/>
                        </w:rPr>
                      </w:pPr>
                      <w:sdt>
                        <w:sdtPr>
                          <w:alias w:val="Numeris"/>
                          <w:tag w:val="nr_9a1597f33d724eba9c4cc5c63f7fcb3c"/>
                          <w:lock w:val="sdtLocked"/>
                          <w:richText/>
                        </w:sdtPr>
                        <w:sdtContent>
                          <w:r>
                            <w:rPr>
                              <w:szCs w:val="24"/>
                            </w:rPr>
                            <w:t>67</w:t>
                          </w:r>
                        </w:sdtContent>
                      </w:sdt>
                      <w:r>
                        <w:rPr>
                          <w:szCs w:val="24"/>
                        </w:rPr>
                        <w:t>. Galutinės STO leidžiamos pajamos ŽĮ ir VĮ tinkluose apskaičiuojamos:</w:t>
                      </w:r>
                    </w:p>
                    <w:sdt>
                      <w:sdtPr>
                        <w:alias w:val="67.1 p."/>
                        <w:tag w:val="part_ae7e15d86bbd4a7f927e6cbcb4971792"/>
                        <w:lock w:val="sdtLocked"/>
                        <w:richText/>
                      </w:sdtPr>
                      <w:sdtContent>
                        <w:p>
                          <w:pPr>
                            <w:ind w:firstLine="720"/>
                            <w:jc w:val="both"/>
                            <w:rPr>
                              <w:szCs w:val="24"/>
                            </w:rPr>
                          </w:pPr>
                          <w:sdt>
                            <w:sdtPr>
                              <w:alias w:val="Numeris"/>
                              <w:tag w:val="nr_ae7e15d86bbd4a7f927e6cbcb4971792"/>
                              <w:lock w:val="sdtLocked"/>
                              <w:richText/>
                            </w:sdtPr>
                            <w:sdtContent>
                              <w:r>
                                <w:rPr>
                                  <w:szCs w:val="24"/>
                                </w:rPr>
                                <w:t>67.1</w:t>
                              </w:r>
                            </w:sdtContent>
                          </w:sdt>
                          <w:r>
                            <w:rPr>
                              <w:szCs w:val="24"/>
                            </w:rPr>
                            <w:t>. ŽĮ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04, </w:t>
                          </w:r>
                          <w:r>
                            <w:rPr>
                              <w:i/>
                              <w:iCs/>
                              <w:szCs w:val="24"/>
                              <w:vertAlign w:val="subscript"/>
                            </w:rPr>
                            <w:t>t</w:t>
                          </w:r>
                          <w:r>
                            <w:rPr>
                              <w:szCs w:val="24"/>
                            </w:rPr>
                            <w:t xml:space="preserve">= </w:t>
                          </w:r>
                          <w:r>
                            <w:rPr>
                              <w:i/>
                              <w:iCs/>
                              <w:szCs w:val="24"/>
                            </w:rPr>
                            <w:t>LRAIC</w:t>
                          </w:r>
                          <w:r>
                            <w:rPr>
                              <w:szCs w:val="24"/>
                              <w:vertAlign w:val="subscript"/>
                            </w:rPr>
                            <w:t xml:space="preserve">04, </w:t>
                          </w:r>
                          <w:r>
                            <w:rPr>
                              <w:i/>
                              <w:iCs/>
                              <w:szCs w:val="24"/>
                              <w:vertAlign w:val="subscript"/>
                            </w:rPr>
                            <w:t>t</w:t>
                          </w:r>
                          <w:r>
                            <w:rPr>
                              <w:szCs w:val="24"/>
                            </w:rPr>
                            <w:t>+NI</w:t>
                          </w:r>
                          <w:r>
                            <w:rPr>
                              <w:szCs w:val="24"/>
                              <w:vertAlign w:val="subscript"/>
                            </w:rPr>
                            <w:t>04, t</w:t>
                          </w:r>
                          <w:r>
                            <w:rPr>
                              <w:szCs w:val="24"/>
                            </w:rPr>
                            <w:sym w:font="Symbol" w:char="F02D"/>
                            <w:t>NT</w:t>
                          </w:r>
                          <w:r>
                            <w:rPr>
                              <w:szCs w:val="24"/>
                              <w:vertAlign w:val="subscript"/>
                            </w:rPr>
                            <w:t>04, t</w:t>
                          </w:r>
                          <w:r>
                            <w:rPr>
                              <w:szCs w:val="24"/>
                            </w:rPr>
                            <w:t>+</w:t>
                          </w:r>
                          <w:r>
                            <w:rPr>
                              <w:i/>
                              <w:iCs/>
                              <w:szCs w:val="24"/>
                            </w:rPr>
                            <w:t>BC</w:t>
                          </w:r>
                          <w:r>
                            <w:rPr>
                              <w:i/>
                              <w:iCs/>
                              <w:szCs w:val="24"/>
                              <w:vertAlign w:val="subscript"/>
                            </w:rPr>
                            <w:t>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n04</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04, t</w:t>
                          </w:r>
                          <w:r>
                            <w:rPr>
                              <w:i/>
                              <w:iCs/>
                              <w:szCs w:val="24"/>
                            </w:rPr>
                            <w:sym w:font="Symbol" w:char="F02D"/>
                            <w:t>OI</w:t>
                          </w:r>
                          <w:r>
                            <w:rPr>
                              <w:i/>
                              <w:iCs/>
                              <w:szCs w:val="24"/>
                              <w:vertAlign w:val="subscript"/>
                            </w:rPr>
                            <w:t>04, t</w:t>
                          </w:r>
                          <w:r>
                            <w:rPr>
                              <w:i/>
                              <w:iCs/>
                              <w:szCs w:val="24"/>
                            </w:rPr>
                            <w:sym w:font="Symbol" w:char="F02D"/>
                            <w:t>PE</w:t>
                          </w:r>
                          <w:r>
                            <w:rPr>
                              <w:i/>
                              <w:iCs/>
                              <w:szCs w:val="24"/>
                              <w:vertAlign w:val="subscript"/>
                            </w:rPr>
                            <w:t>04, t</w:t>
                          </w:r>
                          <w:r>
                            <w:rPr>
                              <w:i/>
                              <w:iCs/>
                              <w:szCs w:val="24"/>
                            </w:rPr>
                            <w:tab/>
                          </w:r>
                          <w:r>
                            <w:rPr>
                              <w:szCs w:val="24"/>
                            </w:rPr>
                            <w:t>(36)</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04, t</w:t>
                          </w:r>
                          <w:r>
                            <w:rPr>
                              <w:szCs w:val="24"/>
                            </w:rPr>
                            <w:t xml:space="preserve"> – galutinės </w:t>
                          </w:r>
                          <w:r>
                            <w:rPr>
                              <w:i/>
                              <w:iCs/>
                              <w:szCs w:val="24"/>
                            </w:rPr>
                            <w:t xml:space="preserve">t </w:t>
                          </w:r>
                          <w:r>
                            <w:rPr>
                              <w:szCs w:val="24"/>
                            </w:rPr>
                            <w:t>metų STO leidžiamos pajamos ŽĮ tinkle;</w:t>
                          </w:r>
                        </w:p>
                        <w:p>
                          <w:pPr>
                            <w:tabs>
                              <w:tab w:val="left" w:pos="993"/>
                            </w:tabs>
                            <w:jc w:val="both"/>
                            <w:rPr>
                              <w:szCs w:val="24"/>
                            </w:rPr>
                          </w:pPr>
                          <w:r>
                            <w:rPr>
                              <w:szCs w:val="24"/>
                            </w:rPr>
                            <w:t>LRAIC</w:t>
                          </w:r>
                          <w:r>
                            <w:rPr>
                              <w:szCs w:val="24"/>
                              <w:vertAlign w:val="subscript"/>
                            </w:rPr>
                            <w:t>04, t</w:t>
                          </w:r>
                          <w:r>
                            <w:rPr>
                              <w:szCs w:val="24"/>
                            </w:rPr>
                            <w:t xml:space="preserve"> – nekoreguotos </w:t>
                          </w:r>
                          <w:r>
                            <w:rPr>
                              <w:i/>
                              <w:iCs/>
                              <w:szCs w:val="24"/>
                            </w:rPr>
                            <w:t xml:space="preserve">t </w:t>
                          </w:r>
                          <w:r>
                            <w:rPr>
                              <w:szCs w:val="24"/>
                            </w:rPr>
                            <w:t>metų STO leidžiamos pajamos ŽĮ tinkle už elektros energijos paskirstymą;</w:t>
                          </w:r>
                        </w:p>
                        <w:p>
                          <w:pPr>
                            <w:tabs>
                              <w:tab w:val="left" w:pos="993"/>
                            </w:tabs>
                            <w:jc w:val="both"/>
                            <w:rPr>
                              <w:szCs w:val="24"/>
                            </w:rPr>
                          </w:pPr>
                          <w:r>
                            <w:rPr>
                              <w:szCs w:val="24"/>
                            </w:rPr>
                            <w:t>NI</w:t>
                          </w:r>
                          <w:r>
                            <w:rPr>
                              <w:szCs w:val="24"/>
                              <w:vertAlign w:val="subscript"/>
                            </w:rPr>
                            <w:t>04,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ŽĮ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04, t</w:t>
                          </w:r>
                          <w:r>
                            <w:rPr>
                              <w:szCs w:val="24"/>
                            </w:rPr>
                            <w:t xml:space="preserve"> – nurašomo, perleidžiamo, išimamo iš eksploatacijos, bet į Modelį įtraukto neoptimizuotino turto, </w:t>
                          </w:r>
                          <w:r>
                            <w:rPr>
                              <w:i/>
                              <w:szCs w:val="24"/>
                            </w:rPr>
                            <w:t>t</w:t>
                          </w:r>
                          <w:r>
                            <w:rPr>
                              <w:szCs w:val="24"/>
                            </w:rPr>
                            <w:t xml:space="preserve"> metų kaštai ŽĮ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STO04, t</w:t>
                          </w:r>
                          <w:r>
                            <w:rPr>
                              <w:szCs w:val="24"/>
                            </w:rPr>
                            <w:t xml:space="preserve"> –  STO </w:t>
                          </w:r>
                          <w:r>
                            <w:rPr>
                              <w:i/>
                              <w:iCs/>
                              <w:szCs w:val="24"/>
                            </w:rPr>
                            <w:t xml:space="preserve">t </w:t>
                          </w:r>
                          <w:r>
                            <w:rPr>
                              <w:szCs w:val="24"/>
                            </w:rPr>
                            <w:t xml:space="preserve">metų planuojami  skirstymo ŽĮ tinkle paslaugos,  mokesčių kaštai, EUR;</w:t>
                          </w:r>
                        </w:p>
                        <w:p>
                          <w:pPr>
                            <w:tabs>
                              <w:tab w:val="left" w:pos="993"/>
                            </w:tabs>
                            <w:jc w:val="both"/>
                            <w:rPr>
                              <w:szCs w:val="24"/>
                            </w:rPr>
                          </w:pPr>
                          <w:r>
                            <w:rPr>
                              <w:szCs w:val="24"/>
                            </w:rPr>
                            <w:t>S</w:t>
                          </w:r>
                          <w:r>
                            <w:rPr>
                              <w:szCs w:val="24"/>
                              <w:vertAlign w:val="subscript"/>
                            </w:rPr>
                            <w:t>sr04, t</w:t>
                          </w:r>
                          <w:r>
                            <w:rPr>
                              <w:szCs w:val="24"/>
                            </w:rPr>
                            <w:t xml:space="preserve"> – planuojami </w:t>
                          </w:r>
                          <w:r>
                            <w:rPr>
                              <w:i/>
                              <w:iCs/>
                              <w:szCs w:val="24"/>
                            </w:rPr>
                            <w:t xml:space="preserve">t </w:t>
                          </w:r>
                          <w:r>
                            <w:rPr>
                              <w:szCs w:val="24"/>
                            </w:rPr>
                            <w:t>metų STO elektros energijos pirkimo kaštai savoms reikmėms ŽĮ tinkle ;</w:t>
                          </w:r>
                        </w:p>
                        <w:p>
                          <w:pPr>
                            <w:tabs>
                              <w:tab w:val="left" w:pos="993"/>
                            </w:tabs>
                            <w:jc w:val="both"/>
                            <w:rPr>
                              <w:szCs w:val="24"/>
                            </w:rPr>
                          </w:pPr>
                          <w:r>
                            <w:rPr>
                              <w:szCs w:val="24"/>
                            </w:rPr>
                            <w:t>S</w:t>
                          </w:r>
                          <w:r>
                            <w:rPr>
                              <w:szCs w:val="24"/>
                              <w:vertAlign w:val="subscript"/>
                            </w:rPr>
                            <w:t>n04, t</w:t>
                          </w:r>
                          <w:r>
                            <w:rPr>
                              <w:szCs w:val="24"/>
                            </w:rPr>
                            <w:t xml:space="preserve"> – planuojami </w:t>
                          </w:r>
                          <w:r>
                            <w:rPr>
                              <w:i/>
                              <w:iCs/>
                              <w:szCs w:val="24"/>
                            </w:rPr>
                            <w:t xml:space="preserve">t </w:t>
                          </w:r>
                          <w:r>
                            <w:rPr>
                              <w:szCs w:val="24"/>
                            </w:rPr>
                            <w:t>metų STO elektros energijos pirkimo kaštai elektros energijai, sunaudotai technologiniuose įrenginiuose ŽĮ tinkle ;</w:t>
                          </w:r>
                        </w:p>
                        <w:p>
                          <w:pPr>
                            <w:tabs>
                              <w:tab w:val="left" w:pos="993"/>
                            </w:tabs>
                            <w:jc w:val="both"/>
                            <w:rPr>
                              <w:szCs w:val="24"/>
                            </w:rPr>
                          </w:pPr>
                          <w:r>
                            <w:rPr>
                              <w:szCs w:val="24"/>
                            </w:rPr>
                            <w:t>FI</w:t>
                          </w:r>
                          <w:r>
                            <w:rPr>
                              <w:szCs w:val="24"/>
                              <w:vertAlign w:val="subscript"/>
                            </w:rPr>
                            <w:t>04,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ŽĮ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04,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04, t</w:t>
                          </w:r>
                          <w:r>
                            <w:rPr>
                              <w:szCs w:val="24"/>
                            </w:rPr>
                            <w:t xml:space="preserve"> – Komisijos apskaičiuotas leistinos protingumo kriterijų atitinkančios investicijų grąžos viršijimas, EUR.“</w:t>
                          </w:r>
                        </w:p>
                      </w:sdtContent>
                    </w:sdt>
                    <w:sdt>
                      <w:sdtPr>
                        <w:alias w:val="67.2 p."/>
                        <w:tag w:val="part_3db11e26b8964bf5b386845f56c57ec2"/>
                        <w:lock w:val="sdtLocked"/>
                        <w:richText/>
                      </w:sdtPr>
                      <w:sdtContent>
                        <w:p>
                          <w:pPr>
                            <w:ind w:firstLine="720"/>
                            <w:jc w:val="both"/>
                            <w:rPr>
                              <w:szCs w:val="24"/>
                            </w:rPr>
                          </w:pPr>
                          <w:sdt>
                            <w:sdtPr>
                              <w:alias w:val="Numeris"/>
                              <w:tag w:val="nr_3db11e26b8964bf5b386845f56c57ec2"/>
                              <w:lock w:val="sdtLocked"/>
                              <w:richText/>
                            </w:sdtPr>
                            <w:sdtContent>
                              <w:r>
                                <w:rPr>
                                  <w:szCs w:val="24"/>
                                </w:rPr>
                                <w:t>67.2</w:t>
                              </w:r>
                            </w:sdtContent>
                          </w:sdt>
                          <w:r>
                            <w:rPr>
                              <w:szCs w:val="24"/>
                            </w:rPr>
                            <w:t>. VĮ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10, </w:t>
                          </w:r>
                          <w:r>
                            <w:rPr>
                              <w:i/>
                              <w:iCs/>
                              <w:szCs w:val="24"/>
                              <w:vertAlign w:val="subscript"/>
                            </w:rPr>
                            <w:t>t</w:t>
                          </w:r>
                          <w:r>
                            <w:rPr>
                              <w:szCs w:val="24"/>
                            </w:rPr>
                            <w:t xml:space="preserve">= </w:t>
                          </w:r>
                          <w:r>
                            <w:rPr>
                              <w:i/>
                              <w:iCs/>
                              <w:szCs w:val="24"/>
                            </w:rPr>
                            <w:t>LRAIC</w:t>
                          </w:r>
                          <w:r>
                            <w:rPr>
                              <w:szCs w:val="24"/>
                              <w:vertAlign w:val="subscript"/>
                            </w:rPr>
                            <w:t xml:space="preserve">10, </w:t>
                          </w:r>
                          <w:r>
                            <w:rPr>
                              <w:i/>
                              <w:iCs/>
                              <w:szCs w:val="24"/>
                              <w:vertAlign w:val="subscript"/>
                            </w:rPr>
                            <w:t>t</w:t>
                          </w:r>
                          <w:r>
                            <w:rPr>
                              <w:szCs w:val="24"/>
                            </w:rPr>
                            <w:t>+NI</w:t>
                          </w:r>
                          <w:r>
                            <w:rPr>
                              <w:szCs w:val="24"/>
                              <w:vertAlign w:val="subscript"/>
                            </w:rPr>
                            <w:t>10, t</w:t>
                          </w:r>
                          <w:r>
                            <w:rPr>
                              <w:szCs w:val="24"/>
                            </w:rPr>
                            <w:sym w:font="Symbol" w:char="F02D"/>
                            <w:t>NT</w:t>
                          </w:r>
                          <w:r>
                            <w:rPr>
                              <w:szCs w:val="24"/>
                              <w:vertAlign w:val="subscript"/>
                            </w:rPr>
                            <w:t>10, t</w:t>
                          </w:r>
                          <w:r>
                            <w:rPr>
                              <w:szCs w:val="24"/>
                            </w:rPr>
                            <w:t>+</w:t>
                          </w:r>
                          <w:r>
                            <w:rPr>
                              <w:i/>
                              <w:iCs/>
                              <w:szCs w:val="24"/>
                            </w:rPr>
                            <w:t>BC</w:t>
                          </w:r>
                          <w:r>
                            <w:rPr>
                              <w:i/>
                              <w:iCs/>
                              <w:szCs w:val="24"/>
                              <w:vertAlign w:val="subscript"/>
                            </w:rPr>
                            <w:t>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n10</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10, t</w:t>
                          </w:r>
                          <w:r>
                            <w:rPr>
                              <w:i/>
                              <w:iCs/>
                              <w:szCs w:val="24"/>
                            </w:rPr>
                            <w:sym w:font="Symbol" w:char="F02D"/>
                            <w:t>OI</w:t>
                          </w:r>
                          <w:r>
                            <w:rPr>
                              <w:i/>
                              <w:iCs/>
                              <w:szCs w:val="24"/>
                              <w:vertAlign w:val="subscript"/>
                            </w:rPr>
                            <w:t>10, t</w:t>
                          </w:r>
                          <w:r>
                            <w:rPr>
                              <w:i/>
                              <w:iCs/>
                              <w:szCs w:val="24"/>
                            </w:rPr>
                            <w:sym w:font="Symbol" w:char="F02D"/>
                            <w:t>PE</w:t>
                          </w:r>
                          <w:r>
                            <w:rPr>
                              <w:i/>
                              <w:iCs/>
                              <w:szCs w:val="24"/>
                              <w:vertAlign w:val="subscript"/>
                            </w:rPr>
                            <w:t>10, t</w:t>
                          </w:r>
                          <w:r>
                            <w:rPr>
                              <w:i/>
                              <w:iCs/>
                              <w:szCs w:val="24"/>
                            </w:rPr>
                            <w:tab/>
                          </w:r>
                          <w:r>
                            <w:rPr>
                              <w:szCs w:val="24"/>
                            </w:rPr>
                            <w:t>(37)</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10, t</w:t>
                          </w:r>
                          <w:r>
                            <w:rPr>
                              <w:szCs w:val="24"/>
                            </w:rPr>
                            <w:t xml:space="preserve"> – galutinės </w:t>
                          </w:r>
                          <w:r>
                            <w:rPr>
                              <w:i/>
                              <w:iCs/>
                              <w:szCs w:val="24"/>
                            </w:rPr>
                            <w:t xml:space="preserve">t </w:t>
                          </w:r>
                          <w:r>
                            <w:rPr>
                              <w:szCs w:val="24"/>
                            </w:rPr>
                            <w:t>metų STO leidžiamos pajamos VĮ tinkle;</w:t>
                          </w:r>
                        </w:p>
                        <w:p>
                          <w:pPr>
                            <w:tabs>
                              <w:tab w:val="left" w:pos="993"/>
                            </w:tabs>
                            <w:jc w:val="both"/>
                            <w:rPr>
                              <w:szCs w:val="24"/>
                            </w:rPr>
                          </w:pPr>
                          <w:r>
                            <w:rPr>
                              <w:szCs w:val="24"/>
                            </w:rPr>
                            <w:t>LRAIC</w:t>
                          </w:r>
                          <w:r>
                            <w:rPr>
                              <w:szCs w:val="24"/>
                              <w:vertAlign w:val="subscript"/>
                            </w:rPr>
                            <w:t>10, t</w:t>
                          </w:r>
                          <w:r>
                            <w:rPr>
                              <w:szCs w:val="24"/>
                            </w:rPr>
                            <w:t xml:space="preserve"> – nekoreguotos </w:t>
                          </w:r>
                          <w:r>
                            <w:rPr>
                              <w:i/>
                              <w:iCs/>
                              <w:szCs w:val="24"/>
                            </w:rPr>
                            <w:t xml:space="preserve">t </w:t>
                          </w:r>
                          <w:r>
                            <w:rPr>
                              <w:szCs w:val="24"/>
                            </w:rPr>
                            <w:t>metų STO leidžiamos pajamos VĮ tinkle už elektros energijos paskirstymą;</w:t>
                          </w:r>
                        </w:p>
                        <w:p>
                          <w:pPr>
                            <w:tabs>
                              <w:tab w:val="left" w:pos="993"/>
                            </w:tabs>
                            <w:jc w:val="both"/>
                            <w:rPr>
                              <w:szCs w:val="24"/>
                            </w:rPr>
                          </w:pPr>
                          <w:r>
                            <w:rPr>
                              <w:szCs w:val="24"/>
                            </w:rPr>
                            <w:t>NI</w:t>
                          </w:r>
                          <w:r>
                            <w:rPr>
                              <w:szCs w:val="24"/>
                              <w:vertAlign w:val="subscript"/>
                            </w:rPr>
                            <w:t>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VĮ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10, t</w:t>
                          </w:r>
                          <w:r>
                            <w:rPr>
                              <w:szCs w:val="24"/>
                            </w:rPr>
                            <w:t xml:space="preserve"> – nurašomo, perleidžiamo, išimamo iš eksploatacijos, bet į Modelį įtraukto neoptimizuotino turto, </w:t>
                          </w:r>
                          <w:r>
                            <w:rPr>
                              <w:i/>
                              <w:szCs w:val="24"/>
                            </w:rPr>
                            <w:t>t</w:t>
                          </w:r>
                          <w:r>
                            <w:rPr>
                              <w:szCs w:val="24"/>
                            </w:rPr>
                            <w:t xml:space="preserve"> metų kaštai VĮ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10, t</w:t>
                          </w:r>
                          <w:r>
                            <w:rPr>
                              <w:szCs w:val="24"/>
                            </w:rPr>
                            <w:t xml:space="preserve"> –  STO </w:t>
                          </w:r>
                          <w:r>
                            <w:rPr>
                              <w:i/>
                              <w:iCs/>
                              <w:szCs w:val="24"/>
                            </w:rPr>
                            <w:t xml:space="preserve">t </w:t>
                          </w:r>
                          <w:r>
                            <w:rPr>
                              <w:szCs w:val="24"/>
                            </w:rPr>
                            <w:t xml:space="preserve">metų planuojami  skirstymo VĮ tinkle paslaugos,  mokesčių kaštai, EUR;</w:t>
                          </w:r>
                        </w:p>
                        <w:p>
                          <w:pPr>
                            <w:tabs>
                              <w:tab w:val="left" w:pos="993"/>
                            </w:tabs>
                            <w:jc w:val="both"/>
                            <w:rPr>
                              <w:szCs w:val="24"/>
                            </w:rPr>
                          </w:pPr>
                          <w:r>
                            <w:rPr>
                              <w:szCs w:val="24"/>
                            </w:rPr>
                            <w:t>S</w:t>
                          </w:r>
                          <w:r>
                            <w:rPr>
                              <w:szCs w:val="24"/>
                              <w:vertAlign w:val="subscript"/>
                            </w:rPr>
                            <w:t>sr10, t</w:t>
                          </w:r>
                          <w:r>
                            <w:rPr>
                              <w:szCs w:val="24"/>
                            </w:rPr>
                            <w:t xml:space="preserve"> – planuojami </w:t>
                          </w:r>
                          <w:r>
                            <w:rPr>
                              <w:i/>
                              <w:iCs/>
                              <w:szCs w:val="24"/>
                            </w:rPr>
                            <w:t xml:space="preserve">t </w:t>
                          </w:r>
                          <w:r>
                            <w:rPr>
                              <w:szCs w:val="24"/>
                            </w:rPr>
                            <w:t>metų STO elektros energijos pirkimo kaštai savoms reikmėms VĮ tinkle ;</w:t>
                          </w:r>
                        </w:p>
                        <w:p>
                          <w:pPr>
                            <w:tabs>
                              <w:tab w:val="left" w:pos="993"/>
                            </w:tabs>
                            <w:jc w:val="both"/>
                            <w:rPr>
                              <w:szCs w:val="24"/>
                            </w:rPr>
                          </w:pPr>
                          <w:r>
                            <w:rPr>
                              <w:szCs w:val="24"/>
                            </w:rPr>
                            <w:t>S</w:t>
                          </w:r>
                          <w:r>
                            <w:rPr>
                              <w:szCs w:val="24"/>
                              <w:vertAlign w:val="subscript"/>
                            </w:rPr>
                            <w:t>n10, t</w:t>
                          </w:r>
                          <w:r>
                            <w:rPr>
                              <w:szCs w:val="24"/>
                            </w:rPr>
                            <w:t xml:space="preserve"> – planuojami </w:t>
                          </w:r>
                          <w:r>
                            <w:rPr>
                              <w:i/>
                              <w:iCs/>
                              <w:szCs w:val="24"/>
                            </w:rPr>
                            <w:t xml:space="preserve">t </w:t>
                          </w:r>
                          <w:r>
                            <w:rPr>
                              <w:szCs w:val="24"/>
                            </w:rPr>
                            <w:t>metų STO elektros energijos pirkimo kaštai elektros energijai, sunaudotai technologiniuose įrenginiuose VĮ tinkle ;</w:t>
                          </w:r>
                        </w:p>
                        <w:p>
                          <w:pPr>
                            <w:tabs>
                              <w:tab w:val="left" w:pos="993"/>
                            </w:tabs>
                            <w:jc w:val="both"/>
                            <w:rPr>
                              <w:szCs w:val="24"/>
                            </w:rPr>
                          </w:pPr>
                          <w:r>
                            <w:rPr>
                              <w:szCs w:val="24"/>
                            </w:rPr>
                            <w:t>FI</w:t>
                          </w:r>
                          <w:r>
                            <w:rPr>
                              <w:szCs w:val="24"/>
                              <w:vertAlign w:val="subscript"/>
                            </w:rPr>
                            <w:t>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VĮ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10,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 w:val="6"/>
                              <w:szCs w:val="6"/>
                            </w:rPr>
                          </w:pPr>
                          <w:r>
                            <w:rPr>
                              <w:szCs w:val="24"/>
                            </w:rPr>
                            <w:t>PE</w:t>
                          </w:r>
                          <w:r>
                            <w:rPr>
                              <w:szCs w:val="24"/>
                              <w:vertAlign w:val="subscript"/>
                            </w:rPr>
                            <w:t>10, t</w:t>
                          </w:r>
                          <w:r>
                            <w:rPr>
                              <w:szCs w:val="24"/>
                            </w:rPr>
                            <w:t xml:space="preserve"> – Komisijos apskaičiuotas leistinos protingumo kriterijų atitinkančios investicijų grąžos viršijimas,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8 p."/>
                    <w:tag w:val="part_7663ab4df19f416c9cd2dacb3d925abe"/>
                    <w:lock w:val="sdtLocked"/>
                    <w:richText/>
                  </w:sdtPr>
                  <w:sdtContent>
                    <w:p>
                      <w:pPr>
                        <w:tabs>
                          <w:tab w:val="left" w:pos="1134"/>
                          <w:tab w:val="left" w:pos="1843"/>
                          <w:tab w:val="left" w:pos="2268"/>
                        </w:tabs>
                        <w:ind w:firstLine="709"/>
                        <w:jc w:val="both"/>
                        <w:rPr>
                          <w:szCs w:val="24"/>
                        </w:rPr>
                      </w:pPr>
                      <w:sdt>
                        <w:sdtPr>
                          <w:alias w:val="Numeris"/>
                          <w:tag w:val="nr_7663ab4df19f416c9cd2dacb3d925abe"/>
                          <w:lock w:val="sdtLocked"/>
                          <w:richText/>
                        </w:sdtPr>
                        <w:sdtContent>
                          <w:r>
                            <w:rPr>
                              <w:szCs w:val="24"/>
                            </w:rPr>
                            <w:t>68</w:t>
                          </w:r>
                        </w:sdtContent>
                      </w:sdt>
                      <w:r>
                        <w:rPr>
                          <w:szCs w:val="24"/>
                        </w:rPr>
                        <w:t xml:space="preserve">. Planuojami </w:t>
                      </w:r>
                      <w:r>
                        <w:rPr>
                          <w:i/>
                          <w:szCs w:val="24"/>
                        </w:rPr>
                        <w:t xml:space="preserve">t </w:t>
                      </w:r>
                      <w:r>
                        <w:rPr>
                          <w:szCs w:val="24"/>
                        </w:rPr>
                        <w:t>metų STO elektros energijos pirkimo kaštai savoms reikmėms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(38)</w:t>
                      </w:r>
                    </w:p>
                    <w:p>
                      <w:pPr>
                        <w:tabs>
                          <w:tab w:val="left" w:pos="9214"/>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sr04,t</w:t>
                      </w:r>
                      <w:r>
                        <w:rPr>
                          <w:szCs w:val="24"/>
                        </w:rPr>
                        <w:t xml:space="preserve"> – planuojami </w:t>
                      </w:r>
                      <w:r>
                        <w:rPr>
                          <w:i/>
                          <w:szCs w:val="24"/>
                        </w:rPr>
                        <w:t>t</w:t>
                      </w:r>
                      <w:r>
                        <w:rPr>
                          <w:szCs w:val="24"/>
                        </w:rPr>
                        <w:t xml:space="preserve"> metų elektros energijos pirkimo kaštai savoms reikmėms padengti ŽĮ tinkle;</w:t>
                      </w:r>
                    </w:p>
                    <w:p>
                      <w:pPr>
                        <w:tabs>
                          <w:tab w:val="left" w:pos="1134"/>
                          <w:tab w:val="left" w:pos="1843"/>
                          <w:tab w:val="left" w:pos="2268"/>
                        </w:tabs>
                        <w:jc w:val="both"/>
                        <w:rPr>
                          <w:szCs w:val="24"/>
                        </w:rPr>
                      </w:pPr>
                      <w:r>
                        <w:rPr>
                          <w:szCs w:val="24"/>
                        </w:rPr>
                        <w:t>E</w:t>
                      </w:r>
                      <w:r>
                        <w:rPr>
                          <w:szCs w:val="24"/>
                          <w:vertAlign w:val="subscript"/>
                        </w:rPr>
                        <w:t>sr04,t</w:t>
                      </w:r>
                      <w:r>
                        <w:rPr>
                          <w:szCs w:val="24"/>
                        </w:rPr>
                        <w:t xml:space="preserve"> – </w:t>
                      </w:r>
                      <w:r>
                        <w:rPr>
                          <w:i/>
                          <w:szCs w:val="24"/>
                        </w:rPr>
                        <w:t xml:space="preserve">t </w:t>
                      </w:r>
                      <w:r>
                        <w:rPr>
                          <w:szCs w:val="24"/>
                        </w:rPr>
                        <w:t>metų elektros energijos suvartojimas savoms reikmėms ŽĮ tinkle,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w:t>
                      </w:r>
                      <w:r>
                        <w:rPr>
                          <w:i/>
                          <w:szCs w:val="24"/>
                        </w:rPr>
                        <w:t xml:space="preserve">t </w:t>
                      </w:r>
                      <w:r>
                        <w:rPr>
                          <w:szCs w:val="24"/>
                        </w:rPr>
                        <w:t>metų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69 p."/>
                    <w:tag w:val="part_4cde34d94f174f2482d6abf58114b014"/>
                    <w:lock w:val="sdtLocked"/>
                    <w:richText/>
                  </w:sdtPr>
                  <w:sdtContent>
                    <w:p>
                      <w:pPr>
                        <w:tabs>
                          <w:tab w:val="left" w:pos="1134"/>
                          <w:tab w:val="left" w:pos="1843"/>
                          <w:tab w:val="left" w:pos="2268"/>
                        </w:tabs>
                        <w:ind w:firstLine="709"/>
                        <w:jc w:val="both"/>
                        <w:rPr>
                          <w:szCs w:val="24"/>
                        </w:rPr>
                      </w:pPr>
                      <w:sdt>
                        <w:sdtPr>
                          <w:alias w:val="Numeris"/>
                          <w:tag w:val="nr_4cde34d94f174f2482d6abf58114b014"/>
                          <w:lock w:val="sdtLocked"/>
                          <w:richText/>
                        </w:sdtPr>
                        <w:sdtContent>
                          <w:r>
                            <w:rPr>
                              <w:szCs w:val="24"/>
                            </w:rPr>
                            <w:t>69</w:t>
                          </w:r>
                        </w:sdtContent>
                      </w:sdt>
                      <w:r>
                        <w:rPr>
                          <w:szCs w:val="24"/>
                        </w:rPr>
                        <w:t xml:space="preserve">. Planuojami </w:t>
                      </w:r>
                      <w:r>
                        <w:rPr>
                          <w:i/>
                          <w:szCs w:val="24"/>
                        </w:rPr>
                        <w:t>t</w:t>
                      </w:r>
                      <w:r>
                        <w:rPr>
                          <w:szCs w:val="24"/>
                        </w:rPr>
                        <w:t xml:space="preserve"> metų STO elektros energijos pirkimo kaštai savoms reikmėms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(39)</w:t>
                      </w:r>
                    </w:p>
                    <w:p>
                      <w:pPr>
                        <w:tabs>
                          <w:tab w:val="left" w:pos="1134"/>
                          <w:tab w:val="left" w:pos="1843"/>
                          <w:tab w:val="left" w:pos="2268"/>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sr10,t</w:t>
                      </w:r>
                      <w:r>
                        <w:rPr>
                          <w:szCs w:val="24"/>
                        </w:rPr>
                        <w:t xml:space="preserve"> – planuojami </w:t>
                      </w:r>
                      <w:r>
                        <w:rPr>
                          <w:i/>
                          <w:szCs w:val="24"/>
                        </w:rPr>
                        <w:t xml:space="preserve">t </w:t>
                      </w:r>
                      <w:r>
                        <w:rPr>
                          <w:szCs w:val="24"/>
                        </w:rPr>
                        <w:t>metų elektros energijos pirkimo kaštai savoms reikmėms padengti VĮ tinkle;</w:t>
                      </w:r>
                    </w:p>
                    <w:p>
                      <w:pPr>
                        <w:tabs>
                          <w:tab w:val="left" w:pos="1134"/>
                          <w:tab w:val="left" w:pos="1843"/>
                          <w:tab w:val="left" w:pos="2268"/>
                        </w:tabs>
                        <w:jc w:val="both"/>
                        <w:rPr>
                          <w:szCs w:val="24"/>
                        </w:rPr>
                      </w:pPr>
                      <w:r>
                        <w:rPr>
                          <w:szCs w:val="24"/>
                        </w:rPr>
                        <w:t>E</w:t>
                      </w:r>
                      <w:r>
                        <w:rPr>
                          <w:szCs w:val="24"/>
                          <w:vertAlign w:val="subscript"/>
                        </w:rPr>
                        <w:t>sr10,t</w:t>
                      </w:r>
                      <w:r>
                        <w:rPr>
                          <w:szCs w:val="24"/>
                        </w:rPr>
                        <w:t xml:space="preserve"> – </w:t>
                      </w:r>
                      <w:r>
                        <w:rPr>
                          <w:i/>
                          <w:szCs w:val="24"/>
                        </w:rPr>
                        <w:t xml:space="preserve">t </w:t>
                      </w:r>
                      <w:r>
                        <w:rPr>
                          <w:szCs w:val="24"/>
                        </w:rPr>
                        <w:t>metų elektros energijos suvartojimas savoms reikmėms VĮ tinkle,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w:t>
                      </w:r>
                      <w:r>
                        <w:rPr>
                          <w:i/>
                          <w:szCs w:val="24"/>
                        </w:rPr>
                        <w:t xml:space="preserve">t </w:t>
                      </w:r>
                      <w:r>
                        <w:rPr>
                          <w:szCs w:val="24"/>
                        </w:rPr>
                        <w:t>metų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sdtContent>
                </w:sdt>
                <w:sdt>
                  <w:sdtPr>
                    <w:alias w:val="70 p."/>
                    <w:tag w:val="part_971f71ae8f8c4516983c5b361e5dd911"/>
                    <w:lock w:val="sdtLocked"/>
                    <w:richText/>
                  </w:sdtPr>
                  <w:sdtContent>
                    <w:p>
                      <w:pPr>
                        <w:tabs>
                          <w:tab w:val="left" w:pos="1134"/>
                          <w:tab w:val="left" w:pos="1843"/>
                          <w:tab w:val="left" w:pos="2268"/>
                        </w:tabs>
                        <w:ind w:firstLine="709"/>
                        <w:jc w:val="both"/>
                        <w:rPr>
                          <w:szCs w:val="24"/>
                        </w:rPr>
                      </w:pPr>
                      <w:sdt>
                        <w:sdtPr>
                          <w:alias w:val="Numeris"/>
                          <w:tag w:val="nr_971f71ae8f8c4516983c5b361e5dd911"/>
                          <w:lock w:val="sdtLocked"/>
                          <w:richText/>
                        </w:sdtPr>
                        <w:sdtContent>
                          <w:r>
                            <w:rPr>
                              <w:szCs w:val="24"/>
                            </w:rPr>
                            <w:t>70</w:t>
                          </w:r>
                        </w:sdtContent>
                      </w:sdt>
                      <w:r>
                        <w:rPr>
                          <w:szCs w:val="24"/>
                        </w:rPr>
                        <w:t>. Planuojami elektros energijos pirkimo kaštai elektros energijai, sunaudotai technologiniuose įrenginiuose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(40)</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n04,t</w:t>
                      </w:r>
                      <w:r>
                        <w:rPr>
                          <w:szCs w:val="24"/>
                        </w:rPr>
                        <w:t xml:space="preserve"> – planuojami </w:t>
                      </w:r>
                      <w:r>
                        <w:rPr>
                          <w:i/>
                          <w:szCs w:val="24"/>
                        </w:rPr>
                        <w:t>t</w:t>
                      </w:r>
                      <w:r>
                        <w:rPr>
                          <w:szCs w:val="24"/>
                        </w:rPr>
                        <w:t xml:space="preserve"> metų elektros energijos pirkimo kaštai elektros energijai, sunaudotai technologiniuose įrenginiuose ŽĮ tinkle, padengti, EUR;</w:t>
                      </w:r>
                    </w:p>
                    <w:p>
                      <w:pPr>
                        <w:tabs>
                          <w:tab w:val="left" w:pos="1134"/>
                          <w:tab w:val="left" w:pos="1843"/>
                          <w:tab w:val="left" w:pos="2268"/>
                        </w:tabs>
                        <w:jc w:val="both"/>
                        <w:rPr>
                          <w:szCs w:val="24"/>
                        </w:rPr>
                      </w:pPr>
                      <w:r>
                        <w:rPr>
                          <w:szCs w:val="24"/>
                        </w:rPr>
                        <w:t>E</w:t>
                      </w:r>
                      <w:r>
                        <w:rPr>
                          <w:szCs w:val="24"/>
                          <w:vertAlign w:val="subscript"/>
                        </w:rPr>
                        <w:t>n04,t</w:t>
                      </w:r>
                      <w:r>
                        <w:rPr>
                          <w:szCs w:val="24"/>
                        </w:rPr>
                        <w:t xml:space="preserve"> – elektros energijos kiekis, suvartojamas ŽĮ tinklo technologiniuose įrenginiuose,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 xml:space="preserve">t </w:t>
                      </w:r>
                      <w:r>
                        <w:rPr>
                          <w:szCs w:val="24"/>
                        </w:rPr>
                        <w:t>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71 p."/>
                    <w:tag w:val="part_704eb557deeb4f2e990256f7190ca821"/>
                    <w:lock w:val="sdtLocked"/>
                    <w:richText/>
                  </w:sdtPr>
                  <w:sdtContent>
                    <w:p>
                      <w:pPr>
                        <w:tabs>
                          <w:tab w:val="left" w:pos="1134"/>
                          <w:tab w:val="left" w:pos="1843"/>
                          <w:tab w:val="left" w:pos="2268"/>
                        </w:tabs>
                        <w:ind w:firstLine="709"/>
                        <w:jc w:val="both"/>
                        <w:rPr>
                          <w:szCs w:val="24"/>
                        </w:rPr>
                      </w:pPr>
                      <w:sdt>
                        <w:sdtPr>
                          <w:alias w:val="Numeris"/>
                          <w:tag w:val="nr_704eb557deeb4f2e990256f7190ca821"/>
                          <w:lock w:val="sdtLocked"/>
                          <w:richText/>
                        </w:sdtPr>
                        <w:sdtContent>
                          <w:r>
                            <w:rPr>
                              <w:szCs w:val="24"/>
                            </w:rPr>
                            <w:t>71</w:t>
                          </w:r>
                        </w:sdtContent>
                      </w:sdt>
                      <w:r>
                        <w:rPr>
                          <w:szCs w:val="24"/>
                        </w:rPr>
                        <w:t>. Planuojami elektros energijos pirkimo kaštai elektros energijai, sunaudotai technologiniuose įrenginiuose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(41)</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n10,t</w:t>
                      </w:r>
                      <w:r>
                        <w:rPr>
                          <w:szCs w:val="24"/>
                        </w:rPr>
                        <w:t xml:space="preserve"> – planuojami </w:t>
                      </w:r>
                      <w:r>
                        <w:rPr>
                          <w:i/>
                          <w:szCs w:val="24"/>
                        </w:rPr>
                        <w:t>t</w:t>
                      </w:r>
                      <w:r>
                        <w:rPr>
                          <w:szCs w:val="24"/>
                        </w:rPr>
                        <w:t xml:space="preserve"> metų elektros energijos pirkimo kaštai elektros energijai, sunaudotai technologiniuose įrenginiuose VĮ tinkle, padengti, EUR;</w:t>
                      </w:r>
                    </w:p>
                    <w:p>
                      <w:pPr>
                        <w:tabs>
                          <w:tab w:val="left" w:pos="1134"/>
                          <w:tab w:val="left" w:pos="1843"/>
                          <w:tab w:val="left" w:pos="2268"/>
                        </w:tabs>
                        <w:jc w:val="both"/>
                        <w:rPr>
                          <w:szCs w:val="24"/>
                        </w:rPr>
                      </w:pPr>
                      <w:r>
                        <w:rPr>
                          <w:szCs w:val="24"/>
                        </w:rPr>
                        <w:t>E</w:t>
                      </w:r>
                      <w:r>
                        <w:rPr>
                          <w:szCs w:val="24"/>
                          <w:vertAlign w:val="subscript"/>
                        </w:rPr>
                        <w:t>n10,t</w:t>
                      </w:r>
                      <w:r>
                        <w:rPr>
                          <w:szCs w:val="24"/>
                        </w:rPr>
                        <w:t xml:space="preserve"> – elektros energijos kiekis suvartojamas VĮ tinklo technologiniuose įrenginiuose,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Content>
                </w:sdt>
              </w:sdtContent>
            </w:sdt>
            <w:sdt>
              <w:sdtPr>
                <w:alias w:val="skirsnis"/>
                <w:tag w:val="part_850af818f2294ccea1581c4ec8e91044"/>
                <w:lock w:val="sdtLocked"/>
                <w:richText/>
              </w:sdtPr>
              <w:sdtContent>
                <w:p>
                  <w:pPr>
                    <w:tabs>
                      <w:tab w:val="left" w:pos="1134"/>
                      <w:tab w:val="left" w:pos="1843"/>
                      <w:tab w:val="left" w:pos="2268"/>
                    </w:tabs>
                    <w:jc w:val="center"/>
                    <w:rPr>
                      <w:b/>
                      <w:szCs w:val="24"/>
                    </w:rPr>
                  </w:pPr>
                  <w:sdt>
                    <w:sdtPr>
                      <w:alias w:val="Numeris"/>
                      <w:tag w:val="nr_850af818f2294ccea1581c4ec8e91044"/>
                      <w:lock w:val="sdtLocked"/>
                      <w:richText/>
                    </w:sdtPr>
                    <w:sdtContent>
                      <w:r>
                        <w:rPr>
                          <w:b/>
                          <w:szCs w:val="24"/>
                        </w:rPr>
                        <w:t>ŠEŠTASIS</w:t>
                      </w:r>
                    </w:sdtContent>
                  </w:sdt>
                  <w:r>
                    <w:rPr>
                      <w:b/>
                      <w:szCs w:val="24"/>
                    </w:rPr>
                    <w:t xml:space="preserve"> SKIRSNIS</w:t>
                  </w:r>
                </w:p>
                <w:p>
                  <w:pPr>
                    <w:tabs>
                      <w:tab w:val="left" w:pos="1134"/>
                      <w:tab w:val="left" w:pos="1843"/>
                      <w:tab w:val="left" w:pos="2268"/>
                    </w:tabs>
                    <w:jc w:val="center"/>
                    <w:rPr>
                      <w:b/>
                      <w:szCs w:val="24"/>
                    </w:rPr>
                  </w:pPr>
                  <w:sdt>
                    <w:sdtPr>
                      <w:alias w:val="Pavadinimas"/>
                      <w:tag w:val="title_850af818f2294ccea1581c4ec8e91044"/>
                      <w:lock w:val="sdtLocked"/>
                      <w:richText/>
                    </w:sdtPr>
                    <w:sdtContent>
                      <w:r>
                        <w:rPr>
                          <w:b/>
                          <w:szCs w:val="24"/>
                        </w:rPr>
                        <w:t>SKIRSTYMO ŽEMOS IR VIDUTINĖS ĮTAMPOS TINKLAIS PASLAUGOS KAINOS VIRŠUTINĖS RIBOS NUSTATYMAS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72 p."/>
                    <w:tag w:val="part_65c1a705b77a47f18efa82636173a9fb"/>
                    <w:lock w:val="sdtLocked"/>
                    <w:richText/>
                  </w:sdtPr>
                  <w:sdtContent>
                    <w:p>
                      <w:pPr>
                        <w:tabs>
                          <w:tab w:val="left" w:pos="1134"/>
                        </w:tabs>
                        <w:ind w:firstLine="709"/>
                        <w:jc w:val="both"/>
                        <w:rPr>
                          <w:szCs w:val="24"/>
                        </w:rPr>
                      </w:pPr>
                      <w:sdt>
                        <w:sdtPr>
                          <w:alias w:val="Numeris"/>
                          <w:tag w:val="nr_65c1a705b77a47f18efa82636173a9fb"/>
                          <w:lock w:val="sdtLocked"/>
                          <w:richText/>
                        </w:sdtPr>
                        <w:sdtContent>
                          <w:r>
                            <w:rPr>
                              <w:szCs w:val="24"/>
                            </w:rPr>
                            <w:t>72</w:t>
                          </w:r>
                        </w:sdtContent>
                      </w:sdt>
                      <w:r>
                        <w:rPr>
                          <w:szCs w:val="24"/>
                        </w:rPr>
                        <w:t xml:space="preserve">. Elektros energijos skirstymo paslaugos žemos įtampos ir vidutinės įtampos tinklais kainos viršutinė riba visam reguliavimo periodui apskaičiuojama galutines pirmiesiems reguliavimo periodo metams STO žemos įtampos ir vidutinės įtampos  tinkluose leidžiamas pajamas padalijus išplanuojamo paskirstyti atitinkamos įtampos tinklais elektros energijos kiekio. Paslaugų kainos  viršutinė riba per reguliavimo periodą koreguojama indeksacijos, kiekio poveikio ir korekcijos koeficientais bei Metodikos 33 punkte nurodytomis korekcijomis.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 p."/>
                    <w:tag w:val="part_1a8ccd3d4c314c0e8fc9665b2338dcc2"/>
                    <w:lock w:val="sdtLocked"/>
                    <w:richText/>
                  </w:sdtPr>
                  <w:sdtContent>
                    <w:p>
                      <w:pPr>
                        <w:tabs>
                          <w:tab w:val="left" w:pos="1134"/>
                        </w:tabs>
                        <w:ind w:firstLine="709"/>
                        <w:jc w:val="both"/>
                        <w:rPr>
                          <w:szCs w:val="24"/>
                        </w:rPr>
                      </w:pPr>
                      <w:sdt>
                        <w:sdtPr>
                          <w:alias w:val="Numeris"/>
                          <w:tag w:val="nr_1a8ccd3d4c314c0e8fc9665b2338dcc2"/>
                          <w:lock w:val="sdtLocked"/>
                          <w:richText/>
                        </w:sdtPr>
                        <w:sdtContent>
                          <w:r>
                            <w:rPr>
                              <w:szCs w:val="24"/>
                            </w:rPr>
                            <w:t>73</w:t>
                          </w:r>
                        </w:sdtContent>
                      </w:sdt>
                      <w:r>
                        <w:rPr>
                          <w:szCs w:val="24"/>
                        </w:rPr>
                        <w:t xml:space="preserve">. Viršutinė kainos riba koreguojama dėl faktinės ir Modeliu planuotos infliacijos neatitikties, faktiškai paskirstyto ir prognozuoto paskirstyti kiekio neatitikties, Metodikos 33 punkte numatytų koregavimų bei faktinių STO atitinkamos įtampos tinkle gautų pajamų bei pajamų, kurias buvo leista gauti už elektros energijos skirstymą atitinkamos įtampos tinklais. Faktiniai dydžiai įvertinami </w:t>
                      </w:r>
                      <w:r>
                        <w:rPr>
                          <w:i/>
                          <w:iCs/>
                          <w:szCs w:val="24"/>
                        </w:rPr>
                        <w:t xml:space="preserve">t </w:t>
                      </w:r>
                      <w:r>
                        <w:rPr>
                          <w:szCs w:val="24"/>
                        </w:rPr>
                        <w:t xml:space="preserve">metais už </w:t>
                      </w:r>
                      <w:r>
                        <w:rPr>
                          <w:i/>
                          <w:iCs/>
                          <w:szCs w:val="24"/>
                        </w:rPr>
                        <w:t xml:space="preserve">t-2 </w:t>
                      </w:r>
                      <w:r>
                        <w:rPr>
                          <w:szCs w:val="24"/>
                        </w:rPr>
                        <w:t>periodą.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4 p."/>
                    <w:tag w:val="part_6df75e93952249f8acd4868b14fc8d7e"/>
                    <w:lock w:val="sdtLocked"/>
                    <w:richText/>
                  </w:sdtPr>
                  <w:sdtContent>
                    <w:p>
                      <w:pPr>
                        <w:tabs>
                          <w:tab w:val="left" w:pos="1080"/>
                          <w:tab w:val="left" w:pos="1843"/>
                          <w:tab w:val="left" w:pos="2268"/>
                        </w:tabs>
                        <w:ind w:firstLine="720"/>
                        <w:jc w:val="both"/>
                        <w:rPr>
                          <w:szCs w:val="24"/>
                        </w:rPr>
                      </w:pPr>
                      <w:sdt>
                        <w:sdtPr>
                          <w:alias w:val="Numeris"/>
                          <w:tag w:val="nr_6df75e93952249f8acd4868b14fc8d7e"/>
                          <w:lock w:val="sdtLocked"/>
                          <w:richText/>
                        </w:sdtPr>
                        <w:sdtContent>
                          <w:r>
                            <w:rPr>
                              <w:szCs w:val="24"/>
                            </w:rPr>
                            <w:t>74</w:t>
                          </w:r>
                        </w:sdtContent>
                      </w:sdt>
                      <w:r>
                        <w:rPr>
                          <w:szCs w:val="24"/>
                        </w:rPr>
                        <w:t>. Bazinė skirstymo žemos ir vidutinės įtampos tinklais kainos viršutinė riba apskaičiuojama</w:t>
                      </w:r>
                      <w:r>
                        <w:rPr>
                          <w:i/>
                          <w:szCs w:val="24"/>
                        </w:rPr>
                        <w:t xml:space="preserve"> t</w:t>
                      </w:r>
                      <w:r>
                        <w:rPr>
                          <w:szCs w:val="24"/>
                        </w:rPr>
                        <w:t xml:space="preserve"> metų leidžiamas STO pajamas atitinkamos įtampos tinkluose padalijant iš planuojamo paskirstyti elektros energijos kiekio atitinkamai žemos ir vidutinės įtampos tinklais:</w:t>
                      </w:r>
                    </w:p>
                    <w:sdt>
                      <w:sdtPr>
                        <w:alias w:val="74.1 p."/>
                        <w:tag w:val="part_d10898c848534546a4aa8978751642c3"/>
                        <w:lock w:val="sdtLocked"/>
                        <w:richText/>
                      </w:sdtPr>
                      <w:sdtContent>
                        <w:p>
                          <w:pPr>
                            <w:tabs>
                              <w:tab w:val="left" w:pos="1260"/>
                              <w:tab w:val="left" w:pos="1843"/>
                              <w:tab w:val="left" w:pos="2268"/>
                            </w:tabs>
                            <w:ind w:firstLine="720"/>
                            <w:jc w:val="both"/>
                            <w:rPr>
                              <w:szCs w:val="24"/>
                            </w:rPr>
                          </w:pPr>
                          <w:sdt>
                            <w:sdtPr>
                              <w:alias w:val="Numeris"/>
                              <w:tag w:val="nr_d10898c848534546a4aa8978751642c3"/>
                              <w:lock w:val="sdtLocked"/>
                              <w:richText/>
                            </w:sdtPr>
                            <w:sdtContent>
                              <w:r>
                                <w:rPr>
                                  <w:szCs w:val="24"/>
                                </w:rPr>
                                <w:t>74.1</w:t>
                              </w:r>
                            </w:sdtContent>
                          </w:sdt>
                          <w:r>
                            <w:rPr>
                              <w:szCs w:val="24"/>
                            </w:rPr>
                            <w:t>. ŽĮ tinklais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04,</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04,</m:t>
                                    </m:r>
                                    <m:r>
                                      <w:rPr>
                                        <w:rFonts w:ascii="Cambria Math" w:hAnsi="Cambria Math"/>
                                      </w:rPr>
                                      <m:t>t</m:t>
                                    </m:r>
                                  </m:sub>
                                </m:sSub>
                              </m:den>
                            </m:f>
                          </m:oMath>
                          <w:r>
                            <w:tab/>
                          </w:r>
                          <w:r>
                            <w:rPr>
                              <w:szCs w:val="24"/>
                            </w:rPr>
                            <w:t>(42)</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04</w:t>
                          </w:r>
                          <w:r>
                            <w:rPr>
                              <w:szCs w:val="24"/>
                            </w:rPr>
                            <w:t xml:space="preserve"> – bazinė elektros energijos skirstymo ŽĮ tinklais kainos viršutinė riba, EUR/kWh;</w:t>
                          </w:r>
                        </w:p>
                        <w:p>
                          <w:pPr>
                            <w:tabs>
                              <w:tab w:val="left" w:pos="1134"/>
                              <w:tab w:val="left" w:pos="1843"/>
                              <w:tab w:val="left" w:pos="2268"/>
                            </w:tabs>
                            <w:jc w:val="both"/>
                            <w:rPr>
                              <w:szCs w:val="24"/>
                            </w:rPr>
                          </w:pPr>
                          <w:r>
                            <w:rPr>
                              <w:szCs w:val="24"/>
                            </w:rPr>
                            <w:t>P</w:t>
                          </w:r>
                          <w:r>
                            <w:rPr>
                              <w:szCs w:val="24"/>
                              <w:vertAlign w:val="subscript"/>
                            </w:rPr>
                            <w:t>04,t</w:t>
                          </w:r>
                          <w:r>
                            <w:rPr>
                              <w:szCs w:val="24"/>
                            </w:rPr>
                            <w:t xml:space="preserve"> – galutinės STO ŽĮ tinkle</w:t>
                          </w:r>
                          <w:r>
                            <w:rPr>
                              <w:i/>
                              <w:szCs w:val="24"/>
                            </w:rPr>
                            <w:t xml:space="preserve"> t</w:t>
                          </w:r>
                          <w:r>
                            <w:rPr>
                              <w:szCs w:val="24"/>
                            </w:rPr>
                            <w:t xml:space="preserve"> metams leidžiamos pajamos, EUR;</w:t>
                          </w:r>
                        </w:p>
                        <w:p>
                          <w:pPr>
                            <w:tabs>
                              <w:tab w:val="left" w:pos="1134"/>
                              <w:tab w:val="left" w:pos="1843"/>
                              <w:tab w:val="left" w:pos="2268"/>
                            </w:tabs>
                            <w:jc w:val="both"/>
                            <w:rPr>
                              <w:szCs w:val="24"/>
                            </w:rPr>
                          </w:pPr>
                          <w:r>
                            <w:rPr>
                              <w:szCs w:val="24"/>
                            </w:rPr>
                            <w:t>E</w:t>
                          </w:r>
                          <w:r>
                            <w:rPr>
                              <w:szCs w:val="24"/>
                              <w:vertAlign w:val="subscript"/>
                            </w:rPr>
                            <w:t>04,t</w:t>
                          </w:r>
                          <w:r>
                            <w:rPr>
                              <w:szCs w:val="24"/>
                            </w:rPr>
                            <w:t xml:space="preserve"> – STO planuojamas </w:t>
                          </w:r>
                          <w:r>
                            <w:rPr>
                              <w:i/>
                              <w:szCs w:val="24"/>
                            </w:rPr>
                            <w:t>t</w:t>
                          </w:r>
                          <w:r>
                            <w:rPr>
                              <w:szCs w:val="24"/>
                            </w:rPr>
                            <w:t xml:space="preserve"> metais paskirstyti elektros energijos kiekis ŽĮ tinkle </w:t>
                          </w:r>
                          <w:r>
                            <w:rPr>
                              <w:i/>
                              <w:szCs w:val="24"/>
                            </w:rPr>
                            <w:t xml:space="preserve">t </w:t>
                          </w:r>
                          <w:r>
                            <w:rPr>
                              <w:szCs w:val="24"/>
                            </w:rPr>
                            <w:t>metams, kWh.</w:t>
                          </w:r>
                        </w:p>
                      </w:sdtContent>
                    </w:sdt>
                    <w:sdt>
                      <w:sdtPr>
                        <w:alias w:val="74.2 p."/>
                        <w:tag w:val="part_ba3b2321b5cd4ac3b0a9a60b4045bc6a"/>
                        <w:lock w:val="sdtLocked"/>
                        <w:richText/>
                      </w:sdtPr>
                      <w:sdtContent>
                        <w:p>
                          <w:pPr>
                            <w:tabs>
                              <w:tab w:val="left" w:pos="1260"/>
                              <w:tab w:val="left" w:pos="1843"/>
                              <w:tab w:val="left" w:pos="2268"/>
                            </w:tabs>
                            <w:ind w:firstLine="720"/>
                            <w:jc w:val="both"/>
                            <w:rPr>
                              <w:szCs w:val="24"/>
                            </w:rPr>
                          </w:pPr>
                          <w:sdt>
                            <w:sdtPr>
                              <w:alias w:val="Numeris"/>
                              <w:tag w:val="nr_ba3b2321b5cd4ac3b0a9a60b4045bc6a"/>
                              <w:lock w:val="sdtLocked"/>
                              <w:richText/>
                            </w:sdtPr>
                            <w:sdtContent>
                              <w:r>
                                <w:rPr>
                                  <w:szCs w:val="24"/>
                                </w:rPr>
                                <w:t>74.2</w:t>
                              </w:r>
                            </w:sdtContent>
                          </w:sdt>
                          <w:r>
                            <w:rPr>
                              <w:szCs w:val="24"/>
                            </w:rPr>
                            <w:t>. VĮ tinklais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10,</m:t>
                                    </m:r>
                                    <m:r>
                                      <w:rPr>
                                        <w:rFonts w:ascii="Cambria Math" w:hAnsi="Cambria Math"/>
                                      </w:rPr>
                                      <m:t>t</m:t>
                                    </m:r>
                                  </m:sub>
                                </m:sSub>
                              </m:den>
                            </m:f>
                          </m:oMath>
                          <w:r>
                            <w:tab/>
                          </w:r>
                          <w:r>
                            <w:rPr>
                              <w:szCs w:val="24"/>
                            </w:rPr>
                            <w:t>(43)</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10</w:t>
                          </w:r>
                          <w:r>
                            <w:rPr>
                              <w:szCs w:val="24"/>
                            </w:rPr>
                            <w:t xml:space="preserve"> – bazinė elektros energijos skirstymo VĮ tinklais kainos viršutinė riba, EUR/kWh;</w:t>
                          </w:r>
                        </w:p>
                        <w:p>
                          <w:pPr>
                            <w:tabs>
                              <w:tab w:val="left" w:pos="1134"/>
                              <w:tab w:val="left" w:pos="1843"/>
                              <w:tab w:val="left" w:pos="2268"/>
                            </w:tabs>
                            <w:jc w:val="both"/>
                            <w:rPr>
                              <w:szCs w:val="24"/>
                            </w:rPr>
                          </w:pPr>
                          <w:r>
                            <w:rPr>
                              <w:szCs w:val="24"/>
                            </w:rPr>
                            <w:t>P</w:t>
                          </w:r>
                          <w:r>
                            <w:rPr>
                              <w:szCs w:val="24"/>
                              <w:vertAlign w:val="subscript"/>
                            </w:rPr>
                            <w:t>10,t</w:t>
                          </w:r>
                          <w:r>
                            <w:rPr>
                              <w:szCs w:val="24"/>
                            </w:rPr>
                            <w:t xml:space="preserve"> – galutinės STO VĮ tinkle</w:t>
                          </w:r>
                          <w:r>
                            <w:rPr>
                              <w:i/>
                              <w:szCs w:val="24"/>
                            </w:rPr>
                            <w:t xml:space="preserve"> t</w:t>
                          </w:r>
                          <w:r>
                            <w:rPr>
                              <w:szCs w:val="24"/>
                            </w:rPr>
                            <w:t xml:space="preserve"> metams leidžiamos pajamos, EUR;</w:t>
                          </w:r>
                        </w:p>
                        <w:p>
                          <w:pPr>
                            <w:tabs>
                              <w:tab w:val="left" w:pos="1134"/>
                              <w:tab w:val="left" w:pos="1843"/>
                              <w:tab w:val="left" w:pos="2268"/>
                            </w:tabs>
                            <w:jc w:val="both"/>
                            <w:rPr>
                              <w:szCs w:val="24"/>
                            </w:rPr>
                          </w:pPr>
                          <w:r>
                            <w:rPr>
                              <w:szCs w:val="24"/>
                            </w:rPr>
                            <w:t>E</w:t>
                          </w:r>
                          <w:r>
                            <w:rPr>
                              <w:szCs w:val="24"/>
                              <w:vertAlign w:val="subscript"/>
                            </w:rPr>
                            <w:t>10,t</w:t>
                          </w:r>
                          <w:r>
                            <w:rPr>
                              <w:szCs w:val="24"/>
                            </w:rPr>
                            <w:t xml:space="preserve"> – STO planuojamas </w:t>
                          </w:r>
                          <w:r>
                            <w:rPr>
                              <w:i/>
                              <w:szCs w:val="24"/>
                            </w:rPr>
                            <w:t>t</w:t>
                          </w:r>
                          <w:r>
                            <w:rPr>
                              <w:szCs w:val="24"/>
                            </w:rPr>
                            <w:t xml:space="preserve"> metais paskirstyti elektros energijos kiekis VĮ tinkle </w:t>
                          </w:r>
                          <w:r>
                            <w:rPr>
                              <w:i/>
                              <w:szCs w:val="24"/>
                            </w:rPr>
                            <w:t xml:space="preserve">t </w:t>
                          </w:r>
                          <w:r>
                            <w:rPr>
                              <w:szCs w:val="24"/>
                            </w:rPr>
                            <w:t>metams, kWh.</w:t>
                          </w:r>
                        </w:p>
                      </w:sdtContent>
                    </w:sdt>
                  </w:sdtContent>
                </w:sdt>
                <w:sdt>
                  <w:sdtPr>
                    <w:alias w:val="75 p."/>
                    <w:tag w:val="part_17046889d80846a7a53626507e176688"/>
                    <w:lock w:val="sdtLocked"/>
                    <w:richText/>
                  </w:sdtPr>
                  <w:sdtContent>
                    <w:p>
                      <w:pPr>
                        <w:tabs>
                          <w:tab w:val="left" w:pos="1134"/>
                        </w:tabs>
                        <w:ind w:firstLine="709"/>
                        <w:jc w:val="both"/>
                        <w:rPr>
                          <w:szCs w:val="24"/>
                        </w:rPr>
                      </w:pPr>
                      <w:sdt>
                        <w:sdtPr>
                          <w:alias w:val="Numeris"/>
                          <w:tag w:val="nr_17046889d80846a7a53626507e176688"/>
                          <w:lock w:val="sdtLocked"/>
                          <w:richText/>
                        </w:sdtPr>
                        <w:sdtContent>
                          <w:r>
                            <w:rPr>
                              <w:szCs w:val="24"/>
                            </w:rPr>
                            <w:t>75</w:t>
                          </w:r>
                        </w:sdtContent>
                      </w:sdt>
                      <w:r>
                        <w:rPr>
                          <w:szCs w:val="24"/>
                        </w:rPr>
                        <w:t>. Skirstymo paslaugos ŽĮ ir VĮ tinklais kainos viršutinės ribos indeksavimo koeficientas apskaičiuojamas lyginant t-2 reguliavimo metams planuotą ir t-2 metų faktinę infliaciją OPEX (išskyrus darbo užmokesčio kaštus) kaštų atveju bei vidutinį darbo užmokesčio pokytį – darbo užmokesčio atveju. Šios korekcijos tikslas – leisti kainos viršutines ribas koreguoti dėl faktinio infliacijos bei vidutinio darbo užmokesčio pokyčio lygio pasikeitimo.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6 p."/>
                    <w:tag w:val="part_93d81a33e7fc4e1892114906c256a7fb"/>
                    <w:lock w:val="sdtLocked"/>
                    <w:richText/>
                  </w:sdtPr>
                  <w:sdtContent>
                    <w:p>
                      <w:pPr>
                        <w:tabs>
                          <w:tab w:val="left" w:pos="1134"/>
                        </w:tabs>
                        <w:ind w:firstLine="709"/>
                        <w:jc w:val="both"/>
                        <w:rPr>
                          <w:szCs w:val="24"/>
                        </w:rPr>
                      </w:pPr>
                      <w:sdt>
                        <w:sdtPr>
                          <w:alias w:val="Numeris"/>
                          <w:tag w:val="nr_93d81a33e7fc4e1892114906c256a7fb"/>
                          <w:lock w:val="sdtLocked"/>
                          <w:richText/>
                        </w:sdtPr>
                        <w:sdtContent>
                          <w:r>
                            <w:rPr>
                              <w:szCs w:val="24"/>
                            </w:rPr>
                            <w:t>76</w:t>
                          </w:r>
                        </w:sdtContent>
                      </w:sdt>
                      <w:r>
                        <w:rPr>
                          <w:szCs w:val="24"/>
                        </w:rPr>
                        <w:t xml:space="preserve">. Infliacija arba vidutinis darbo užmokesčio pokytis  taikomas tik OPEX, kai žinoma t-2 metų faktinė infliacija arba vidutinis darbo užmokesčio pokytis.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7 p."/>
                    <w:tag w:val="part_deddd12355f74317bd9bfb8d189ad602"/>
                    <w:lock w:val="sdtLocked"/>
                    <w:richText/>
                  </w:sdtPr>
                  <w:sdtContent>
                    <w:p>
                      <w:pPr>
                        <w:tabs>
                          <w:tab w:val="left" w:pos="1134"/>
                          <w:tab w:val="left" w:pos="1843"/>
                          <w:tab w:val="left" w:pos="2268"/>
                        </w:tabs>
                        <w:ind w:firstLine="720"/>
                        <w:jc w:val="both"/>
                        <w:rPr>
                          <w:szCs w:val="24"/>
                        </w:rPr>
                      </w:pPr>
                      <w:sdt>
                        <w:sdtPr>
                          <w:alias w:val="Numeris"/>
                          <w:tag w:val="nr_deddd12355f74317bd9bfb8d189ad602"/>
                          <w:lock w:val="sdtLocked"/>
                          <w:richText/>
                        </w:sdtPr>
                        <w:sdtContent>
                          <w:r>
                            <w:rPr>
                              <w:szCs w:val="24"/>
                            </w:rPr>
                            <w:t>77</w:t>
                          </w:r>
                        </w:sdtContent>
                      </w:sdt>
                      <w:r>
                        <w:rPr>
                          <w:szCs w:val="24"/>
                        </w:rPr>
                        <w:t>. Indeksavimo koeficientas apskaičiuojamas pagal formules:</w:t>
                      </w:r>
                    </w:p>
                    <w:p>
                      <w:pPr>
                        <w:tabs>
                          <w:tab w:val="left" w:pos="1134"/>
                          <w:tab w:val="left" w:pos="1843"/>
                          <w:tab w:val="left" w:pos="2268"/>
                        </w:tabs>
                        <w:jc w:val="both"/>
                        <w:rPr>
                          <w:szCs w:val="24"/>
                        </w:rPr>
                      </w:pPr>
                    </w:p>
                    <w:p>
                      <w:pPr>
                        <w:tabs>
                          <w:tab w:val="left" w:pos="9214"/>
                        </w:tabs>
                        <w:ind w:firstLine="9214"/>
                        <w:rPr>
                          <w:szCs w:val="24"/>
                        </w:rPr>
                      </w:pPr>
                      <w:r>
                        <w:t xml:space="preserve"> </w:t>
                      </w:r>
                      <m:oMath>
                        <m:sSub>
                          <m:sSubPr>
                            <m:ctrlPr>
                              <w:rPr>
                                <w:rFonts w:ascii="Cambria Math" w:hAnsi="Cambria Math"/>
                                <w:i/>
                              </w:rPr>
                            </m:ctrlPr>
                          </m:sSubPr>
                          <m:e>
                            <m:r>
                              <w:rPr>
                                <w:rFonts w:ascii="Cambria Math" w:hAnsi="Cambria Math"/>
                              </w:rPr>
                              <m:t>IK</m:t>
                            </m:r>
                          </m:e>
                          <m:sub>
                            <m:r>
                              <w:rPr>
                                <w:rFonts w:ascii="Cambria Math" w:hAnsi="Cambria Math"/>
                              </w:rPr>
                              <m:t>04,</m:t>
                            </m:r>
                            <m:r>
                              <w:rPr>
                                <w:rFonts w:ascii="Cambria Math" w:hAnsi="Cambria Math"/>
                              </w:rPr>
                              <m:t>t</m:t>
                            </m:r>
                          </m:sub>
                        </m:sSub>
                        <m:r>
                          <w:rPr>
                            <w:rFonts w:ascii="Cambria Math" w:hAnsi="Cambria Math"/>
                          </w:rPr>
                          <m:t>=1+</m:t>
                        </m:r>
                        <m:d>
                          <m:dPr>
                            <m:ctrlPr>
                              <w:rPr>
                                <w:rFonts w:ascii="Cambria Math" w:hAnsi="Cambria Math"/>
                                <w:i/>
                              </w:rPr>
                            </m:ctrlPr>
                          </m:dPr>
                          <m:e>
                            <m:d>
                              <m:dPr>
                                <m:ctrlPr>
                                  <w:rPr>
                                    <w:rFonts w:ascii="Cambria Math" w:hAnsi="Cambria Math"/>
                                    <w:i/>
                                  </w:rPr>
                                </m:ctrlPr>
                              </m:dPr>
                              <m:e>
                                <m:sSup>
                                  <m:sSupPr>
                                    <m:ctrlPr>
                                      <w:rPr>
                                        <w:rFonts w:ascii="Cambria Math" w:hAnsi="Cambria Math"/>
                                        <w:i/>
                                      </w:rPr>
                                    </m:ctrlPr>
                                  </m:sSupPr>
                                  <m:e>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f</m:t>
                                        </m:r>
                                      </m:sup>
                                    </m:sSubSup>
                                  </m:e>
                                  <m:sup/>
                                </m:sSup>
                                <m:r>
                                  <w:rPr>
                                    <w:rFonts w:ascii="Cambria Math" w:hAnsi="Cambria Math"/>
                                  </w:rPr>
                                  <m:t>-</m:t>
                                </m:r>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pl</m:t>
                                    </m:r>
                                  </m:sup>
                                </m:sSubSup>
                              </m:e>
                            </m:d>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m:t>
                                </m:r>
                                <m:r>
                                  <w:rPr>
                                    <w:rFonts w:ascii="Cambria Math" w:hAnsi="Cambria Math"/>
                                  </w:rPr>
                                  <m:t>04</m:t>
                                </m:r>
                              </m:sub>
                            </m:sSub>
                          </m:e>
                        </m:d>
                      </m:oMath>
                      <w:r>
                        <w:tab/>
                      </w:r>
                      <w:r>
                        <w:rPr>
                          <w:szCs w:val="24"/>
                        </w:rPr>
                        <w:t>(44)</w:t>
                      </w:r>
                    </w:p>
                    <w:p>
                      <w:pPr>
                        <w:tabs>
                          <w:tab w:val="left" w:pos="1134"/>
                          <w:tab w:val="left" w:pos="1843"/>
                          <w:tab w:val="left" w:pos="2268"/>
                        </w:tabs>
                        <w:rPr>
                          <w:szCs w:val="24"/>
                        </w:rPr>
                      </w:pPr>
                    </w:p>
                    <w:p>
                      <w:pPr>
                        <w:tabs>
                          <w:tab w:val="left" w:pos="9214"/>
                        </w:tabs>
                        <w:ind w:firstLine="9214"/>
                        <w:rPr>
                          <w:szCs w:val="24"/>
                        </w:rPr>
                      </w:pPr>
                      <w:r>
                        <w:t xml:space="preserve"> </w:t>
                      </w:r>
                      <m:oMath>
                        <m:sSub>
                          <m:sSubPr>
                            <m:ctrlPr>
                              <w:rPr>
                                <w:rFonts w:ascii="Cambria Math" w:hAnsi="Cambria Math"/>
                                <w:i/>
                              </w:rPr>
                            </m:ctrlPr>
                          </m:sSubPr>
                          <m:e>
                            <m:r>
                              <w:rPr>
                                <w:rFonts w:ascii="Cambria Math" w:hAnsi="Cambria Math"/>
                              </w:rPr>
                              <m:t>IK</m:t>
                            </m:r>
                          </m:e>
                          <m:sub>
                            <m:r>
                              <w:rPr>
                                <w:rFonts w:ascii="Cambria Math" w:hAnsi="Cambria Math"/>
                              </w:rPr>
                              <m:t>10,</m:t>
                            </m:r>
                            <m:r>
                              <w:rPr>
                                <w:rFonts w:ascii="Cambria Math" w:hAnsi="Cambria Math"/>
                              </w:rPr>
                              <m:t>t</m:t>
                            </m:r>
                          </m:sub>
                        </m:sSub>
                        <m:r>
                          <w:rPr>
                            <w:rFonts w:ascii="Cambria Math" w:hAnsi="Cambria Math"/>
                          </w:rPr>
                          <m:t>=1+</m:t>
                        </m:r>
                        <m:d>
                          <m:dPr>
                            <m:ctrlPr>
                              <w:rPr>
                                <w:rFonts w:ascii="Cambria Math" w:hAnsi="Cambria Math"/>
                                <w:i/>
                              </w:rPr>
                            </m:ctrlPr>
                          </m:dPr>
                          <m:e>
                            <m:d>
                              <m:dPr>
                                <m:ctrlPr>
                                  <w:rPr>
                                    <w:rFonts w:ascii="Cambria Math" w:hAnsi="Cambria Math"/>
                                    <w:i/>
                                  </w:rPr>
                                </m:ctrlPr>
                              </m:dPr>
                              <m:e>
                                <m:sSup>
                                  <m:sSupPr>
                                    <m:ctrlPr>
                                      <w:rPr>
                                        <w:rFonts w:ascii="Cambria Math" w:hAnsi="Cambria Math"/>
                                        <w:i/>
                                      </w:rPr>
                                    </m:ctrlPr>
                                  </m:sSupPr>
                                  <m:e>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f</m:t>
                                        </m:r>
                                      </m:sup>
                                    </m:sSubSup>
                                  </m:e>
                                  <m:sup/>
                                </m:sSup>
                                <m:r>
                                  <w:rPr>
                                    <w:rFonts w:ascii="Cambria Math" w:hAnsi="Cambria Math"/>
                                  </w:rPr>
                                  <m:t>-</m:t>
                                </m:r>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pl</m:t>
                                    </m:r>
                                  </m:sup>
                                </m:sSubSup>
                              </m:e>
                            </m:d>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m:t>
                                </m:r>
                                <m:r>
                                  <w:rPr>
                                    <w:rFonts w:ascii="Cambria Math" w:hAnsi="Cambria Math"/>
                                  </w:rPr>
                                  <m:t>10</m:t>
                                </m:r>
                              </m:sub>
                            </m:sSub>
                          </m:e>
                        </m:d>
                      </m:oMath>
                      <w:r>
                        <w:tab/>
                      </w:r>
                      <w:r>
                        <w:rPr>
                          <w:szCs w:val="24"/>
                        </w:rPr>
                        <w:t>(45)</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IK</w:t>
                      </w:r>
                      <w:r>
                        <w:rPr>
                          <w:szCs w:val="24"/>
                          <w:vertAlign w:val="subscript"/>
                        </w:rPr>
                        <w:t>04,t</w:t>
                      </w:r>
                      <w:r>
                        <w:rPr>
                          <w:szCs w:val="24"/>
                        </w:rPr>
                        <w:t xml:space="preserve"> – </w:t>
                      </w:r>
                      <w:r>
                        <w:rPr>
                          <w:i/>
                          <w:szCs w:val="24"/>
                        </w:rPr>
                        <w:t>t</w:t>
                      </w:r>
                      <w:r>
                        <w:rPr>
                          <w:szCs w:val="24"/>
                        </w:rPr>
                        <w:t xml:space="preserve"> metų indeksavimo koeficientas skirstymo paslaugos ŽĮ tinkle kainos viršutinei ribai;</w:t>
                      </w:r>
                    </w:p>
                    <w:p>
                      <w:pPr>
                        <w:tabs>
                          <w:tab w:val="left" w:pos="1134"/>
                          <w:tab w:val="left" w:pos="1843"/>
                          <w:tab w:val="left" w:pos="2268"/>
                        </w:tabs>
                        <w:jc w:val="both"/>
                        <w:rPr>
                          <w:szCs w:val="24"/>
                        </w:rPr>
                      </w:pPr>
                      <w:r>
                        <w:rPr>
                          <w:szCs w:val="24"/>
                        </w:rPr>
                        <w:t>IK</w:t>
                      </w:r>
                      <w:r>
                        <w:rPr>
                          <w:szCs w:val="24"/>
                          <w:vertAlign w:val="subscript"/>
                        </w:rPr>
                        <w:t xml:space="preserve">10,t </w:t>
                      </w:r>
                      <w:r>
                        <w:rPr>
                          <w:szCs w:val="24"/>
                        </w:rPr>
                        <w:t xml:space="preserve">– </w:t>
                      </w:r>
                      <w:r>
                        <w:rPr>
                          <w:i/>
                          <w:szCs w:val="24"/>
                        </w:rPr>
                        <w:t>t</w:t>
                      </w:r>
                      <w:r>
                        <w:rPr>
                          <w:szCs w:val="24"/>
                        </w:rPr>
                        <w:t xml:space="preserve"> metų indeksavimo koeficientas skirstymo paslaugos VĮ tinkle kainos viršutinei ribai;</w:t>
                      </w:r>
                    </w:p>
                    <w:p>
                      <w:pPr>
                        <w:tabs>
                          <w:tab w:val="left" w:pos="0"/>
                          <w:tab w:val="left" w:pos="1134"/>
                          <w:tab w:val="left" w:pos="1843"/>
                          <w:tab w:val="left" w:pos="2268"/>
                        </w:tabs>
                        <w:jc w:val="both"/>
                        <w:rPr>
                          <w:szCs w:val="24"/>
                        </w:rPr>
                      </w:pPr>
                      <w:r>
                        <w:rPr>
                          <w:i/>
                          <w:szCs w:val="24"/>
                        </w:rPr>
                        <w:t>i</w:t>
                      </w:r>
                      <w:r>
                        <w:rPr>
                          <w:i/>
                          <w:szCs w:val="24"/>
                          <w:vertAlign w:val="superscript"/>
                        </w:rPr>
                        <w:t>f</w:t>
                      </w:r>
                      <w:r>
                        <w:rPr>
                          <w:szCs w:val="24"/>
                        </w:rPr>
                        <w:t xml:space="preserve"> – faktinės vidutinės </w:t>
                      </w:r>
                      <w:r>
                        <w:rPr>
                          <w:i/>
                          <w:szCs w:val="24"/>
                        </w:rPr>
                        <w:t>t-2</w:t>
                      </w:r>
                      <w:r>
                        <w:rPr>
                          <w:szCs w:val="24"/>
                        </w:rPr>
                        <w:t xml:space="preserve"> reguliavimo metų infliacijos koeficientas;</w:t>
                      </w:r>
                    </w:p>
                    <w:p>
                      <w:pPr>
                        <w:tabs>
                          <w:tab w:val="left" w:pos="0"/>
                          <w:tab w:val="left" w:pos="1134"/>
                          <w:tab w:val="left" w:pos="1843"/>
                          <w:tab w:val="left" w:pos="2268"/>
                        </w:tabs>
                        <w:jc w:val="both"/>
                        <w:rPr>
                          <w:szCs w:val="24"/>
                        </w:rPr>
                      </w:pPr>
                      <w:r>
                        <w:rPr>
                          <w:i/>
                          <w:szCs w:val="24"/>
                        </w:rPr>
                        <w:t>ipl</w:t>
                      </w:r>
                      <w:r>
                        <w:rPr>
                          <w:szCs w:val="24"/>
                        </w:rPr>
                        <w:t xml:space="preserve"> – planuotos </w:t>
                      </w:r>
                      <w:r>
                        <w:rPr>
                          <w:i/>
                          <w:szCs w:val="24"/>
                        </w:rPr>
                        <w:t>t-2</w:t>
                      </w:r>
                      <w:r>
                        <w:rPr>
                          <w:szCs w:val="24"/>
                        </w:rPr>
                        <w:t xml:space="preserve"> reguliavimo metų infliacijos koeficientas;</w:t>
                      </w:r>
                    </w:p>
                    <w:p>
                      <w:pPr>
                        <w:tabs>
                          <w:tab w:val="left" w:pos="0"/>
                          <w:tab w:val="left" w:pos="1134"/>
                          <w:tab w:val="left" w:pos="1843"/>
                          <w:tab w:val="left" w:pos="2268"/>
                        </w:tabs>
                        <w:jc w:val="both"/>
                        <w:rPr>
                          <w:szCs w:val="24"/>
                        </w:rPr>
                      </w:pPr>
                      <w:r>
                        <w:rPr>
                          <w:szCs w:val="24"/>
                        </w:rPr>
                        <w:t>L</w:t>
                      </w:r>
                      <w:r>
                        <w:rPr>
                          <w:szCs w:val="24"/>
                          <w:vertAlign w:val="subscript"/>
                        </w:rPr>
                        <w:t>k04</w:t>
                      </w:r>
                      <w:r>
                        <w:rPr>
                          <w:szCs w:val="24"/>
                        </w:rPr>
                        <w:t xml:space="preserve"> – OPEX kaštų proporcija, palyginti su visomis STO ŽĮ tinkle leidžiamomis pajamomis. Šią proporciją apskaičiuoja Modelis;</w:t>
                      </w:r>
                    </w:p>
                    <w:p>
                      <w:pPr>
                        <w:tabs>
                          <w:tab w:val="left" w:pos="1134"/>
                          <w:tab w:val="left" w:pos="1843"/>
                          <w:tab w:val="left" w:pos="2268"/>
                        </w:tabs>
                        <w:jc w:val="both"/>
                        <w:rPr>
                          <w:szCs w:val="24"/>
                        </w:rPr>
                      </w:pPr>
                      <w:r>
                        <w:rPr>
                          <w:szCs w:val="24"/>
                        </w:rPr>
                        <w:t>L</w:t>
                      </w:r>
                      <w:r>
                        <w:rPr>
                          <w:szCs w:val="24"/>
                          <w:vertAlign w:val="subscript"/>
                        </w:rPr>
                        <w:t>k10</w:t>
                      </w:r>
                      <w:r>
                        <w:rPr>
                          <w:szCs w:val="24"/>
                        </w:rPr>
                        <w:t xml:space="preserve"> – OPEX kaštų proporcija, palyginti su visomis STO VĮ tinkle leidžiamomis pajamomis. Šią proporciją apskaičiuoja Modelis.</w:t>
                      </w:r>
                    </w:p>
                  </w:sdtContent>
                </w:sdt>
                <w:sdt>
                  <w:sdtPr>
                    <w:alias w:val="77-1 p."/>
                    <w:tag w:val="part_e739d50660154f8ab10897bfa276099f"/>
                    <w:lock w:val="sdtLocked"/>
                    <w:richText/>
                  </w:sdtPr>
                  <w:sdtContent>
                    <w:p>
                      <w:pPr>
                        <w:tabs>
                          <w:tab w:val="left" w:pos="1134"/>
                        </w:tabs>
                        <w:ind w:firstLine="709"/>
                        <w:jc w:val="both"/>
                        <w:rPr>
                          <w:szCs w:val="24"/>
                        </w:rPr>
                      </w:pPr>
                      <w:sdt>
                        <w:sdtPr>
                          <w:alias w:val="Numeris"/>
                          <w:tag w:val="nr_e739d50660154f8ab10897bfa276099f"/>
                          <w:lock w:val="sdtLocked"/>
                          <w:richText/>
                        </w:sdtPr>
                        <w:sdtContent>
                          <w:r>
                            <w:rPr>
                              <w:szCs w:val="24"/>
                            </w:rPr>
                            <w:t>77</w:t>
                          </w:r>
                          <w:r>
                            <w:rPr>
                              <w:szCs w:val="24"/>
                              <w:vertAlign w:val="superscript"/>
                            </w:rPr>
                            <w:t>1</w:t>
                          </w:r>
                        </w:sdtContent>
                      </w:sdt>
                      <w:r>
                        <w:rPr>
                          <w:szCs w:val="24"/>
                        </w:rPr>
                        <w:t xml:space="preserve">. Elektros energijos kiekio poveikio koeficientas </w:t>
                      </w:r>
                      <w:r>
                        <w:rPr>
                          <w:i/>
                          <w:szCs w:val="24"/>
                        </w:rPr>
                        <w:t>t</w:t>
                      </w:r>
                      <w:r>
                        <w:rPr>
                          <w:szCs w:val="24"/>
                        </w:rPr>
                        <w:t xml:space="preserve"> metais apskaičiuojamas pagal formulę:</w:t>
                      </w:r>
                    </w:p>
                    <w:p>
                      <w:pPr>
                        <w:jc w:val="both"/>
                        <w:rPr>
                          <w:szCs w:val="24"/>
                        </w:rPr>
                      </w:pPr>
                    </w:p>
                    <w:p>
                      <w:pPr>
                        <w:tabs>
                          <w:tab w:val="left" w:pos="9072"/>
                        </w:tabs>
                        <w:ind w:firstLine="9072"/>
                        <w:jc w:val="both"/>
                        <w:rPr>
                          <w:szCs w:val="24"/>
                        </w:rPr>
                      </w:pPr>
                      <m:oMath>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04, </m:t>
                            </m:r>
                            <m:r>
                              <w:rPr>
                                <w:rFonts w:ascii="Cambria Math" w:hAnsi="Cambria Math"/>
                                <w:szCs w:val="24"/>
                              </w:rPr>
                              <m:t>t</m:t>
                            </m:r>
                          </m:sub>
                        </m:sSub>
                        <m:r>
                          <w:rPr>
                            <w:rFonts w:ascii="Cambria Math" w:hAnsi="Cambria Math"/>
                            <w:szCs w:val="24"/>
                          </w:rPr>
                          <m:t>=0,5×(</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04, </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04, </m:t>
                                </m:r>
                                <m:r>
                                  <w:rPr>
                                    <w:rFonts w:ascii="Cambria Math" w:hAnsi="Cambria Math"/>
                                    <w:szCs w:val="24"/>
                                  </w:rPr>
                                  <m:t>t</m:t>
                                </m:r>
                                <m:r>
                                  <w:rPr>
                                    <w:rFonts w:ascii="Cambria Math" w:hAnsi="Cambria Math"/>
                                    <w:szCs w:val="24"/>
                                  </w:rPr>
                                  <m:t>-2</m:t>
                                </m:r>
                              </m:sub>
                            </m:sSub>
                          </m:den>
                        </m:f>
                        <m:r>
                          <w:rPr>
                            <w:rFonts w:ascii="Cambria Math" w:hAnsi="Cambria Math"/>
                            <w:szCs w:val="24"/>
                          </w:rPr>
                          <m:t>+1)×</m:t>
                        </m:r>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04, </m:t>
                            </m:r>
                            <m:r>
                              <w:rPr>
                                <w:rFonts w:ascii="Cambria Math" w:hAnsi="Cambria Math"/>
                                <w:szCs w:val="24"/>
                              </w:rPr>
                              <m:t>t</m:t>
                            </m:r>
                            <m:r>
                              <w:rPr>
                                <w:rFonts w:ascii="Cambria Math" w:hAnsi="Cambria Math"/>
                                <w:szCs w:val="24"/>
                              </w:rPr>
                              <m:t>-2</m:t>
                            </m:r>
                          </m:sub>
                        </m:sSub>
                      </m:oMath>
                      <w:r>
                        <w:rPr>
                          <w:szCs w:val="24"/>
                        </w:rPr>
                        <w:t>(45</w:t>
                      </w:r>
                      <w:r>
                        <w:rPr>
                          <w:szCs w:val="24"/>
                          <w:vertAlign w:val="superscript"/>
                        </w:rPr>
                        <w:t>1</w:t>
                      </w:r>
                      <w:r>
                        <w:rPr>
                          <w:szCs w:val="24"/>
                        </w:rPr>
                        <w:t>)</w:t>
                      </w:r>
                    </w:p>
                    <w:p>
                      <w:pPr>
                        <w:tabs>
                          <w:tab w:val="left" w:pos="9072"/>
                        </w:tabs>
                        <w:ind w:firstLine="9072"/>
                        <w:jc w:val="both"/>
                        <w:rPr>
                          <w:szCs w:val="24"/>
                        </w:rPr>
                      </w:pPr>
                      <m:oMath>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10, </m:t>
                            </m:r>
                            <m:r>
                              <w:rPr>
                                <w:rFonts w:ascii="Cambria Math" w:hAnsi="Cambria Math"/>
                                <w:szCs w:val="24"/>
                              </w:rPr>
                              <m:t>t</m:t>
                            </m:r>
                          </m:sub>
                        </m:sSub>
                        <m:r>
                          <w:rPr>
                            <w:rFonts w:ascii="Cambria Math" w:hAnsi="Cambria Math"/>
                            <w:szCs w:val="24"/>
                          </w:rPr>
                          <m:t>=0,5×(</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10, </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10, </m:t>
                                </m:r>
                                <m:r>
                                  <w:rPr>
                                    <w:rFonts w:ascii="Cambria Math" w:hAnsi="Cambria Math"/>
                                    <w:szCs w:val="24"/>
                                  </w:rPr>
                                  <m:t>t</m:t>
                                </m:r>
                                <m:r>
                                  <w:rPr>
                                    <w:rFonts w:ascii="Cambria Math" w:hAnsi="Cambria Math"/>
                                    <w:szCs w:val="24"/>
                                  </w:rPr>
                                  <m:t>-2</m:t>
                                </m:r>
                              </m:sub>
                            </m:sSub>
                          </m:den>
                        </m:f>
                        <m:r>
                          <w:rPr>
                            <w:rFonts w:ascii="Cambria Math" w:hAnsi="Cambria Math"/>
                            <w:szCs w:val="24"/>
                          </w:rPr>
                          <m:t>+1)×</m:t>
                        </m:r>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10, </m:t>
                            </m:r>
                            <m:r>
                              <w:rPr>
                                <w:rFonts w:ascii="Cambria Math" w:hAnsi="Cambria Math"/>
                                <w:szCs w:val="24"/>
                              </w:rPr>
                              <m:t>t</m:t>
                            </m:r>
                            <m:r>
                              <w:rPr>
                                <w:rFonts w:ascii="Cambria Math" w:hAnsi="Cambria Math"/>
                                <w:szCs w:val="24"/>
                              </w:rPr>
                              <m:t>-2</m:t>
                            </m:r>
                          </m:sub>
                        </m:sSub>
                      </m:oMath>
                      <w:r>
                        <w:rPr>
                          <w:szCs w:val="24"/>
                        </w:rPr>
                        <w:t>(45</w:t>
                      </w:r>
                      <w:r>
                        <w:rPr>
                          <w:szCs w:val="24"/>
                          <w:vertAlign w:val="superscript"/>
                        </w:rPr>
                        <w:t>2</w:t>
                      </w:r>
                      <w:r>
                        <w:rPr>
                          <w:szCs w:val="24"/>
                        </w:rPr>
                        <w:t>)</w:t>
                      </w:r>
                    </w:p>
                    <w:p>
                      <w:pPr>
                        <w:jc w:val="both"/>
                        <w:rPr>
                          <w:szCs w:val="24"/>
                        </w:rPr>
                      </w:pPr>
                    </w:p>
                    <w:p>
                      <w:pPr>
                        <w:jc w:val="both"/>
                        <w:rPr>
                          <w:i/>
                          <w:iCs/>
                          <w:szCs w:val="24"/>
                        </w:rPr>
                      </w:pPr>
                      <w:r>
                        <w:rPr>
                          <w:i/>
                          <w:iCs/>
                          <w:szCs w:val="24"/>
                        </w:rPr>
                        <w:t>čia:</w:t>
                      </w:r>
                    </w:p>
                    <w:p>
                      <w:pPr>
                        <w:jc w:val="both"/>
                        <w:rPr>
                          <w:szCs w:val="24"/>
                        </w:rPr>
                      </w:pPr>
                      <w:r>
                        <w:rPr>
                          <w:szCs w:val="24"/>
                        </w:rPr>
                        <w:t>EK</w:t>
                      </w:r>
                      <w:r>
                        <w:rPr>
                          <w:szCs w:val="24"/>
                          <w:vertAlign w:val="subscript"/>
                        </w:rPr>
                        <w:t>10, t</w:t>
                      </w:r>
                      <w:r>
                        <w:rPr>
                          <w:szCs w:val="24"/>
                        </w:rPr>
                        <w:t xml:space="preserve"> - elektros energijos kiekio poveikio koeficientas </w:t>
                      </w:r>
                      <w:r>
                        <w:rPr>
                          <w:i/>
                          <w:iCs/>
                          <w:szCs w:val="24"/>
                        </w:rPr>
                        <w:t xml:space="preserve">t </w:t>
                      </w:r>
                      <w:r>
                        <w:rPr>
                          <w:szCs w:val="24"/>
                        </w:rPr>
                        <w:t>metais VĮ tinklams;</w:t>
                      </w:r>
                    </w:p>
                    <w:p>
                      <w:pPr>
                        <w:jc w:val="both"/>
                        <w:rPr>
                          <w:szCs w:val="24"/>
                        </w:rPr>
                      </w:pPr>
                      <w:r>
                        <w:rPr>
                          <w:szCs w:val="24"/>
                        </w:rPr>
                        <w:t>EK</w:t>
                      </w:r>
                      <w:r>
                        <w:rPr>
                          <w:szCs w:val="24"/>
                          <w:vertAlign w:val="subscript"/>
                        </w:rPr>
                        <w:t>10, t-2</w:t>
                      </w:r>
                      <w:r>
                        <w:rPr>
                          <w:szCs w:val="24"/>
                        </w:rPr>
                        <w:t xml:space="preserve"> - elektros energijos kiekio poveikio koeficientas </w:t>
                      </w:r>
                      <w:r>
                        <w:rPr>
                          <w:i/>
                          <w:iCs/>
                          <w:szCs w:val="24"/>
                        </w:rPr>
                        <w:t xml:space="preserve">t-2 </w:t>
                      </w:r>
                      <w:r>
                        <w:rPr>
                          <w:szCs w:val="24"/>
                        </w:rPr>
                        <w:t>metais VĮ tinklams;</w:t>
                      </w:r>
                    </w:p>
                    <w:p>
                      <w:pPr>
                        <w:jc w:val="both"/>
                        <w:rPr>
                          <w:szCs w:val="24"/>
                        </w:rPr>
                      </w:pPr>
                      <w:r>
                        <w:rPr>
                          <w:szCs w:val="24"/>
                        </w:rPr>
                        <w:t>E</w:t>
                      </w:r>
                      <w:r>
                        <w:rPr>
                          <w:szCs w:val="24"/>
                          <w:vertAlign w:val="subscript"/>
                        </w:rPr>
                        <w:t>10, t-2</w:t>
                      </w:r>
                      <w:r>
                        <w:rPr>
                          <w:szCs w:val="24"/>
                        </w:rPr>
                        <w:t xml:space="preserve"> – faktiškai t-2 paskirstytas energijos kiekis VĮ tinklais;</w:t>
                      </w:r>
                    </w:p>
                    <w:p>
                      <w:pPr>
                        <w:jc w:val="both"/>
                        <w:rPr>
                          <w:szCs w:val="24"/>
                        </w:rPr>
                      </w:pPr>
                      <w:r>
                        <w:rPr>
                          <w:szCs w:val="24"/>
                        </w:rPr>
                        <w:t>E</w:t>
                      </w:r>
                      <w:r>
                        <w:rPr>
                          <w:szCs w:val="24"/>
                          <w:vertAlign w:val="subscript"/>
                        </w:rPr>
                        <w:t>10, t</w:t>
                      </w:r>
                      <w:r>
                        <w:rPr>
                          <w:szCs w:val="24"/>
                        </w:rPr>
                        <w:t xml:space="preserve"> – planuojamas paskirstyti energijos kiekis VĮ tinklais;</w:t>
                      </w:r>
                    </w:p>
                    <w:p>
                      <w:pPr>
                        <w:jc w:val="both"/>
                        <w:rPr>
                          <w:szCs w:val="24"/>
                        </w:rPr>
                      </w:pPr>
                      <w:r>
                        <w:rPr>
                          <w:szCs w:val="24"/>
                        </w:rPr>
                        <w:t>EK</w:t>
                      </w:r>
                      <w:r>
                        <w:rPr>
                          <w:szCs w:val="24"/>
                          <w:vertAlign w:val="subscript"/>
                        </w:rPr>
                        <w:t>04, t</w:t>
                      </w:r>
                      <w:r>
                        <w:rPr>
                          <w:szCs w:val="24"/>
                        </w:rPr>
                        <w:t xml:space="preserve"> - elektros energijos kiekio poveikio koeficientas </w:t>
                      </w:r>
                      <w:r>
                        <w:rPr>
                          <w:i/>
                          <w:iCs/>
                          <w:szCs w:val="24"/>
                        </w:rPr>
                        <w:t xml:space="preserve">t </w:t>
                      </w:r>
                      <w:r>
                        <w:rPr>
                          <w:szCs w:val="24"/>
                        </w:rPr>
                        <w:t>metais ŽĮ tinklams;</w:t>
                      </w:r>
                    </w:p>
                    <w:p>
                      <w:pPr>
                        <w:jc w:val="both"/>
                        <w:rPr>
                          <w:szCs w:val="24"/>
                        </w:rPr>
                      </w:pPr>
                      <w:r>
                        <w:rPr>
                          <w:szCs w:val="24"/>
                        </w:rPr>
                        <w:t>EK</w:t>
                      </w:r>
                      <w:r>
                        <w:rPr>
                          <w:szCs w:val="24"/>
                          <w:vertAlign w:val="subscript"/>
                        </w:rPr>
                        <w:t>04, t-2</w:t>
                      </w:r>
                      <w:r>
                        <w:rPr>
                          <w:szCs w:val="24"/>
                        </w:rPr>
                        <w:t xml:space="preserve"> - elektros energijos kiekio poveikio koeficientas </w:t>
                      </w:r>
                      <w:r>
                        <w:rPr>
                          <w:i/>
                          <w:iCs/>
                          <w:szCs w:val="24"/>
                        </w:rPr>
                        <w:t xml:space="preserve">t-2 </w:t>
                      </w:r>
                      <w:r>
                        <w:rPr>
                          <w:szCs w:val="24"/>
                        </w:rPr>
                        <w:t>metais ŽĮ tinklams;</w:t>
                      </w:r>
                    </w:p>
                    <w:p>
                      <w:pPr>
                        <w:jc w:val="both"/>
                        <w:rPr>
                          <w:szCs w:val="24"/>
                        </w:rPr>
                      </w:pPr>
                      <w:r>
                        <w:rPr>
                          <w:szCs w:val="24"/>
                        </w:rPr>
                        <w:t>E</w:t>
                      </w:r>
                      <w:r>
                        <w:rPr>
                          <w:szCs w:val="24"/>
                          <w:vertAlign w:val="subscript"/>
                        </w:rPr>
                        <w:t>04, t-2</w:t>
                      </w:r>
                      <w:r>
                        <w:rPr>
                          <w:szCs w:val="24"/>
                        </w:rPr>
                        <w:t xml:space="preserve"> – faktiškai t-2 paskirstytas energijos kiekis ŽĮ tinklais;</w:t>
                      </w:r>
                    </w:p>
                    <w:p>
                      <w:pPr>
                        <w:jc w:val="both"/>
                        <w:rPr>
                          <w:szCs w:val="24"/>
                        </w:rPr>
                      </w:pPr>
                      <w:r>
                        <w:rPr>
                          <w:szCs w:val="24"/>
                        </w:rPr>
                        <w:t>E</w:t>
                      </w:r>
                      <w:r>
                        <w:rPr>
                          <w:szCs w:val="24"/>
                          <w:vertAlign w:val="subscript"/>
                        </w:rPr>
                        <w:t>04, t</w:t>
                      </w:r>
                      <w:r>
                        <w:rPr>
                          <w:szCs w:val="24"/>
                        </w:rPr>
                        <w:t xml:space="preserve"> – planuojamas paskirstyti energijos kiekis ŽĮ tinklais.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8 p."/>
                    <w:tag w:val="part_359a7efde680465984cbbe98ab8a9e24"/>
                    <w:lock w:val="sdtLocked"/>
                    <w:richText/>
                  </w:sdtPr>
                  <w:sdtContent>
                    <w:p>
                      <w:pPr>
                        <w:tabs>
                          <w:tab w:val="left" w:pos="1134"/>
                        </w:tabs>
                        <w:ind w:firstLine="709"/>
                        <w:jc w:val="both"/>
                        <w:rPr>
                          <w:szCs w:val="24"/>
                        </w:rPr>
                      </w:pPr>
                      <w:sdt>
                        <w:sdtPr>
                          <w:alias w:val="Numeris"/>
                          <w:tag w:val="nr_359a7efde680465984cbbe98ab8a9e24"/>
                          <w:lock w:val="sdtLocked"/>
                          <w:richText/>
                        </w:sdtPr>
                        <w:sdtContent>
                          <w:r>
                            <w:rPr>
                              <w:szCs w:val="24"/>
                            </w:rPr>
                            <w:t>78</w:t>
                          </w:r>
                        </w:sdtContent>
                      </w:sdt>
                      <w:r>
                        <w:rPr>
                          <w:szCs w:val="24"/>
                        </w:rPr>
                        <w:t xml:space="preserve">. Skirstymo  paslaugos žemos ir vidutinės įtampos tinklais kainos viršutinė riba, taikant indeksavimo ir kiekio poveikio koeficientus ą, apskaičiuojama pagal formulę:</w:t>
                      </w:r>
                    </w:p>
                    <w:p>
                      <w:pPr>
                        <w:tabs>
                          <w:tab w:val="left" w:pos="1134"/>
                        </w:tabs>
                        <w:ind w:firstLine="709"/>
                        <w:jc w:val="both"/>
                        <w:rPr>
                          <w:szCs w:val="24"/>
                        </w:rPr>
                      </w:pPr>
                    </w:p>
                    <w:p>
                      <w:pPr>
                        <w:tabs>
                          <w:tab w:val="left" w:pos="1134"/>
                          <w:tab w:val="left" w:pos="9214"/>
                        </w:tabs>
                        <w:jc w:val="both"/>
                        <w:rPr>
                          <w:szCs w:val="24"/>
                        </w:rPr>
                      </w:pPr>
                      <w:r>
                        <w:rPr>
                          <w:i/>
                          <w:iCs/>
                          <w:szCs w:val="24"/>
                        </w:rPr>
                        <w:t>T</w:t>
                      </w:r>
                      <w:r>
                        <w:rPr>
                          <w:szCs w:val="24"/>
                          <w:vertAlign w:val="subscript"/>
                        </w:rPr>
                        <w:t xml:space="preserve">04, </w:t>
                      </w:r>
                      <w:r>
                        <w:rPr>
                          <w:i/>
                          <w:iCs/>
                          <w:szCs w:val="24"/>
                          <w:vertAlign w:val="subscript"/>
                        </w:rPr>
                        <w:t>t</w:t>
                      </w:r>
                      <w:r>
                        <w:rPr>
                          <w:szCs w:val="24"/>
                        </w:rPr>
                        <w:t>=(</w:t>
                      </w:r>
                      <w:r>
                        <w:rPr>
                          <w:i/>
                          <w:iCs/>
                          <w:szCs w:val="24"/>
                        </w:rPr>
                        <w:t>P</w:t>
                      </w:r>
                      <w:r>
                        <w:rPr>
                          <w:szCs w:val="24"/>
                          <w:vertAlign w:val="subscript"/>
                        </w:rPr>
                        <w:t xml:space="preserve">04, </w:t>
                      </w:r>
                      <w:r>
                        <w:rPr>
                          <w:i/>
                          <w:iCs/>
                          <w:szCs w:val="24"/>
                          <w:vertAlign w:val="subscript"/>
                        </w:rPr>
                        <w:t>t</w:t>
                      </w:r>
                      <w:r>
                        <w:rPr>
                          <w:i/>
                          <w:iCs/>
                          <w:szCs w:val="24"/>
                        </w:rPr>
                        <w:t>×IK</w:t>
                      </w:r>
                      <w:r>
                        <w:rPr>
                          <w:szCs w:val="24"/>
                          <w:vertAlign w:val="subscript"/>
                        </w:rPr>
                        <w:t>04,</w:t>
                      </w:r>
                      <w:r>
                        <w:rPr>
                          <w:i/>
                          <w:iCs/>
                          <w:szCs w:val="24"/>
                          <w:vertAlign w:val="subscript"/>
                        </w:rPr>
                        <w:t>t</w:t>
                      </w:r>
                      <w:r>
                        <w:rPr>
                          <w:i/>
                          <w:iCs/>
                          <w:szCs w:val="24"/>
                        </w:rPr>
                        <w:t>×EK</w:t>
                      </w:r>
                      <w:r>
                        <w:rPr>
                          <w:i/>
                          <w:iCs/>
                          <w:szCs w:val="24"/>
                          <w:vertAlign w:val="subscript"/>
                        </w:rPr>
                        <w:t>04, t</w:t>
                      </w:r>
                      <w:r>
                        <w:rPr>
                          <w:szCs w:val="24"/>
                        </w:rPr>
                        <w:t>)/</w:t>
                      </w:r>
                      <w:r>
                        <w:rPr>
                          <w:i/>
                          <w:iCs/>
                          <w:szCs w:val="24"/>
                        </w:rPr>
                        <w:t>E</w:t>
                      </w:r>
                      <w:r>
                        <w:rPr>
                          <w:szCs w:val="24"/>
                          <w:vertAlign w:val="subscript"/>
                        </w:rPr>
                        <w:t xml:space="preserve">04, </w:t>
                      </w:r>
                      <w:r>
                        <w:rPr>
                          <w:i/>
                          <w:iCs/>
                          <w:szCs w:val="24"/>
                          <w:vertAlign w:val="subscript"/>
                        </w:rPr>
                        <w:t>t</w:t>
                      </w:r>
                      <w:r>
                        <w:rPr>
                          <w:i/>
                          <w:iCs/>
                          <w:szCs w:val="24"/>
                        </w:rPr>
                        <w:tab/>
                      </w:r>
                      <w:r>
                        <w:rPr>
                          <w:szCs w:val="24"/>
                        </w:rPr>
                        <w:t>(46)</w:t>
                      </w:r>
                    </w:p>
                    <w:p>
                      <w:pPr>
                        <w:tabs>
                          <w:tab w:val="left" w:pos="1134"/>
                          <w:tab w:val="left" w:pos="9214"/>
                        </w:tabs>
                        <w:jc w:val="both"/>
                        <w:rPr>
                          <w:szCs w:val="24"/>
                        </w:rPr>
                      </w:pPr>
                      <w:r>
                        <w:rPr>
                          <w:i/>
                          <w:iCs/>
                          <w:szCs w:val="24"/>
                        </w:rPr>
                        <w:t>T</w:t>
                      </w:r>
                      <w:r>
                        <w:rPr>
                          <w:szCs w:val="24"/>
                          <w:vertAlign w:val="subscript"/>
                        </w:rPr>
                        <w:t xml:space="preserve">10, </w:t>
                      </w:r>
                      <w:r>
                        <w:rPr>
                          <w:i/>
                          <w:iCs/>
                          <w:szCs w:val="24"/>
                          <w:vertAlign w:val="subscript"/>
                        </w:rPr>
                        <w:t>t</w:t>
                      </w:r>
                      <w:r>
                        <w:rPr>
                          <w:szCs w:val="24"/>
                        </w:rPr>
                        <w:t>=(</w:t>
                      </w:r>
                      <w:r>
                        <w:rPr>
                          <w:i/>
                          <w:iCs/>
                          <w:szCs w:val="24"/>
                        </w:rPr>
                        <w:t>P</w:t>
                      </w:r>
                      <w:r>
                        <w:rPr>
                          <w:szCs w:val="24"/>
                          <w:vertAlign w:val="subscript"/>
                        </w:rPr>
                        <w:t xml:space="preserve">10, </w:t>
                      </w:r>
                      <w:r>
                        <w:rPr>
                          <w:i/>
                          <w:iCs/>
                          <w:szCs w:val="24"/>
                          <w:vertAlign w:val="subscript"/>
                        </w:rPr>
                        <w:t>t</w:t>
                      </w:r>
                      <w:r>
                        <w:rPr>
                          <w:i/>
                          <w:iCs/>
                          <w:szCs w:val="24"/>
                        </w:rPr>
                        <w:t>×IK</w:t>
                      </w:r>
                      <w:r>
                        <w:rPr>
                          <w:szCs w:val="24"/>
                          <w:vertAlign w:val="subscript"/>
                        </w:rPr>
                        <w:t>10,</w:t>
                      </w:r>
                      <w:r>
                        <w:rPr>
                          <w:i/>
                          <w:iCs/>
                          <w:szCs w:val="24"/>
                          <w:vertAlign w:val="subscript"/>
                        </w:rPr>
                        <w:t>t</w:t>
                      </w:r>
                      <w:r>
                        <w:rPr>
                          <w:i/>
                          <w:iCs/>
                          <w:szCs w:val="24"/>
                        </w:rPr>
                        <w:t>×EK</w:t>
                      </w:r>
                      <w:r>
                        <w:rPr>
                          <w:i/>
                          <w:iCs/>
                          <w:szCs w:val="24"/>
                          <w:vertAlign w:val="subscript"/>
                        </w:rPr>
                        <w:t>10, t</w:t>
                      </w:r>
                      <w:r>
                        <w:rPr>
                          <w:szCs w:val="24"/>
                        </w:rPr>
                        <w:t>)/</w:t>
                      </w:r>
                      <w:r>
                        <w:rPr>
                          <w:i/>
                          <w:iCs/>
                          <w:szCs w:val="24"/>
                        </w:rPr>
                        <w:t>E</w:t>
                      </w:r>
                      <w:r>
                        <w:rPr>
                          <w:szCs w:val="24"/>
                          <w:vertAlign w:val="subscript"/>
                        </w:rPr>
                        <w:t xml:space="preserve">10, </w:t>
                      </w:r>
                      <w:r>
                        <w:rPr>
                          <w:i/>
                          <w:iCs/>
                          <w:szCs w:val="24"/>
                          <w:vertAlign w:val="subscript"/>
                        </w:rPr>
                        <w:t>t</w:t>
                      </w:r>
                      <w:r>
                        <w:rPr>
                          <w:i/>
                          <w:iCs/>
                          <w:szCs w:val="24"/>
                        </w:rPr>
                        <w:tab/>
                      </w:r>
                      <w:r>
                        <w:rPr>
                          <w:szCs w:val="24"/>
                        </w:rPr>
                        <w:t>(47)</w:t>
                      </w:r>
                    </w:p>
                    <w:p>
                      <w:pPr>
                        <w:tabs>
                          <w:tab w:val="left" w:pos="1134"/>
                        </w:tabs>
                        <w:jc w:val="both"/>
                        <w:rPr>
                          <w:szCs w:val="24"/>
                        </w:rPr>
                      </w:pPr>
                    </w:p>
                    <w:p>
                      <w:pPr>
                        <w:tabs>
                          <w:tab w:val="left" w:pos="1134"/>
                        </w:tabs>
                        <w:jc w:val="both"/>
                        <w:rPr>
                          <w:i/>
                          <w:iCs/>
                          <w:szCs w:val="24"/>
                        </w:rPr>
                      </w:pPr>
                      <w:r>
                        <w:rPr>
                          <w:i/>
                          <w:iCs/>
                          <w:szCs w:val="24"/>
                        </w:rPr>
                        <w:t>čia:</w:t>
                      </w:r>
                    </w:p>
                    <w:p>
                      <w:pPr>
                        <w:tabs>
                          <w:tab w:val="left" w:pos="1134"/>
                        </w:tabs>
                        <w:jc w:val="both"/>
                        <w:rPr>
                          <w:szCs w:val="24"/>
                        </w:rPr>
                      </w:pPr>
                      <w:r>
                        <w:rPr>
                          <w:szCs w:val="24"/>
                        </w:rPr>
                        <w:t>T</w:t>
                      </w:r>
                      <w:r>
                        <w:rPr>
                          <w:szCs w:val="24"/>
                          <w:vertAlign w:val="subscript"/>
                        </w:rPr>
                        <w:t xml:space="preserve">04,t </w:t>
                      </w:r>
                      <w:r>
                        <w:rPr>
                          <w:szCs w:val="24"/>
                        </w:rPr>
                        <w:t xml:space="preserve">–  skirstymo paslaugos ŽĮ tinklais </w:t>
                      </w:r>
                      <w:r>
                        <w:rPr>
                          <w:i/>
                          <w:iCs/>
                          <w:szCs w:val="24"/>
                        </w:rPr>
                        <w:t xml:space="preserve">t </w:t>
                      </w:r>
                      <w:r>
                        <w:rPr>
                          <w:szCs w:val="24"/>
                        </w:rPr>
                        <w:t>metų kainos viršutinė riba, EUR/kWh;</w:t>
                      </w:r>
                    </w:p>
                    <w:p>
                      <w:pPr>
                        <w:tabs>
                          <w:tab w:val="left" w:pos="1134"/>
                        </w:tabs>
                        <w:jc w:val="both"/>
                        <w:rPr>
                          <w:szCs w:val="24"/>
                        </w:rPr>
                      </w:pPr>
                      <w:r>
                        <w:rPr>
                          <w:szCs w:val="24"/>
                        </w:rPr>
                        <w:t>T</w:t>
                      </w:r>
                      <w:r>
                        <w:rPr>
                          <w:szCs w:val="24"/>
                          <w:vertAlign w:val="subscript"/>
                        </w:rPr>
                        <w:t xml:space="preserve">10,t </w:t>
                      </w:r>
                      <w:r>
                        <w:rPr>
                          <w:szCs w:val="24"/>
                        </w:rPr>
                        <w:t xml:space="preserve">–  skirstymo paslaugos VĮ tinklais </w:t>
                      </w:r>
                      <w:r>
                        <w:rPr>
                          <w:i/>
                          <w:iCs/>
                          <w:szCs w:val="24"/>
                        </w:rPr>
                        <w:t xml:space="preserve">t </w:t>
                      </w:r>
                      <w:r>
                        <w:rPr>
                          <w:szCs w:val="24"/>
                        </w:rPr>
                        <w:t>metų kainos viršutinė riba, EUR/kWh;</w:t>
                      </w:r>
                    </w:p>
                    <w:p>
                      <w:pPr>
                        <w:tabs>
                          <w:tab w:val="left" w:pos="1134"/>
                        </w:tabs>
                        <w:jc w:val="both"/>
                        <w:rPr>
                          <w:szCs w:val="24"/>
                        </w:rPr>
                      </w:pPr>
                      <w:r>
                        <w:rPr>
                          <w:szCs w:val="24"/>
                        </w:rPr>
                        <w:t>P</w:t>
                      </w:r>
                      <w:r>
                        <w:rPr>
                          <w:szCs w:val="24"/>
                          <w:vertAlign w:val="subscript"/>
                        </w:rPr>
                        <w:t xml:space="preserve">04,t </w:t>
                      </w:r>
                      <w:r>
                        <w:rPr>
                          <w:szCs w:val="24"/>
                        </w:rPr>
                        <w:t xml:space="preserve">– galutinės </w:t>
                      </w:r>
                      <w:r>
                        <w:rPr>
                          <w:i/>
                          <w:iCs/>
                          <w:szCs w:val="24"/>
                        </w:rPr>
                        <w:t xml:space="preserve">t </w:t>
                      </w:r>
                      <w:r>
                        <w:rPr>
                          <w:szCs w:val="24"/>
                        </w:rPr>
                        <w:t>metų STO skirstymo ŽĮ tinklais leidžiamos pajamos, EUR;</w:t>
                      </w:r>
                    </w:p>
                    <w:p>
                      <w:pPr>
                        <w:tabs>
                          <w:tab w:val="left" w:pos="1134"/>
                        </w:tabs>
                        <w:jc w:val="both"/>
                        <w:rPr>
                          <w:szCs w:val="24"/>
                        </w:rPr>
                      </w:pPr>
                      <w:r>
                        <w:rPr>
                          <w:szCs w:val="24"/>
                        </w:rPr>
                        <w:t>P</w:t>
                      </w:r>
                      <w:r>
                        <w:rPr>
                          <w:szCs w:val="24"/>
                          <w:vertAlign w:val="subscript"/>
                        </w:rPr>
                        <w:t xml:space="preserve">10,t </w:t>
                      </w:r>
                      <w:r>
                        <w:rPr>
                          <w:szCs w:val="24"/>
                        </w:rPr>
                        <w:t xml:space="preserve">– galutinės </w:t>
                      </w:r>
                      <w:r>
                        <w:rPr>
                          <w:i/>
                          <w:iCs/>
                          <w:szCs w:val="24"/>
                        </w:rPr>
                        <w:t xml:space="preserve">t </w:t>
                      </w:r>
                      <w:r>
                        <w:rPr>
                          <w:szCs w:val="24"/>
                        </w:rPr>
                        <w:t>metų STO skirstymo VĮ tinklais leidžiamos pajamos, EUR;</w:t>
                      </w:r>
                    </w:p>
                    <w:p>
                      <w:pPr>
                        <w:tabs>
                          <w:tab w:val="left" w:pos="1134"/>
                        </w:tabs>
                        <w:jc w:val="both"/>
                        <w:rPr>
                          <w:szCs w:val="24"/>
                        </w:rPr>
                      </w:pPr>
                      <w:r>
                        <w:rPr>
                          <w:szCs w:val="24"/>
                        </w:rPr>
                        <w:t>IK</w:t>
                      </w:r>
                      <w:r>
                        <w:rPr>
                          <w:szCs w:val="24"/>
                          <w:vertAlign w:val="subscript"/>
                        </w:rPr>
                        <w:t xml:space="preserve">04,t </w:t>
                      </w:r>
                      <w:r>
                        <w:rPr>
                          <w:szCs w:val="24"/>
                        </w:rPr>
                        <w:t xml:space="preserve">– </w:t>
                      </w:r>
                      <w:r>
                        <w:rPr>
                          <w:i/>
                          <w:iCs/>
                          <w:szCs w:val="24"/>
                        </w:rPr>
                        <w:t xml:space="preserve">t </w:t>
                      </w:r>
                      <w:r>
                        <w:rPr>
                          <w:szCs w:val="24"/>
                        </w:rPr>
                        <w:t>metų indeksavimo koeficientas skirstymo paslaugos ŽĮ tinklais;</w:t>
                      </w:r>
                    </w:p>
                    <w:p>
                      <w:pPr>
                        <w:tabs>
                          <w:tab w:val="left" w:pos="1134"/>
                        </w:tabs>
                        <w:jc w:val="both"/>
                        <w:rPr>
                          <w:szCs w:val="24"/>
                        </w:rPr>
                      </w:pPr>
                      <w:r>
                        <w:rPr>
                          <w:szCs w:val="24"/>
                        </w:rPr>
                        <w:t>IK</w:t>
                      </w:r>
                      <w:r>
                        <w:rPr>
                          <w:szCs w:val="24"/>
                          <w:vertAlign w:val="subscript"/>
                        </w:rPr>
                        <w:t xml:space="preserve">10,t </w:t>
                      </w:r>
                      <w:r>
                        <w:rPr>
                          <w:szCs w:val="24"/>
                        </w:rPr>
                        <w:t xml:space="preserve">– </w:t>
                      </w:r>
                      <w:r>
                        <w:rPr>
                          <w:i/>
                          <w:iCs/>
                          <w:szCs w:val="24"/>
                        </w:rPr>
                        <w:t xml:space="preserve">t </w:t>
                      </w:r>
                      <w:r>
                        <w:rPr>
                          <w:szCs w:val="24"/>
                        </w:rPr>
                        <w:t>metų indeksavimo koeficientas skirstymo paslaugos VĮ tinklais;</w:t>
                      </w:r>
                    </w:p>
                    <w:p>
                      <w:pPr>
                        <w:tabs>
                          <w:tab w:val="left" w:pos="1134"/>
                        </w:tabs>
                        <w:jc w:val="both"/>
                        <w:rPr>
                          <w:szCs w:val="24"/>
                        </w:rPr>
                      </w:pPr>
                      <w:r>
                        <w:rPr>
                          <w:szCs w:val="24"/>
                        </w:rPr>
                        <w:t>EK</w:t>
                      </w:r>
                      <w:r>
                        <w:rPr>
                          <w:szCs w:val="24"/>
                          <w:vertAlign w:val="subscript"/>
                        </w:rPr>
                        <w:t>04, t</w:t>
                      </w:r>
                      <w:r>
                        <w:rPr>
                          <w:szCs w:val="24"/>
                        </w:rPr>
                        <w:t xml:space="preserve"> – </w:t>
                      </w:r>
                      <w:r>
                        <w:rPr>
                          <w:i/>
                          <w:szCs w:val="24"/>
                        </w:rPr>
                        <w:t>t</w:t>
                      </w:r>
                      <w:r>
                        <w:rPr>
                          <w:szCs w:val="24"/>
                        </w:rPr>
                        <w:t xml:space="preserve"> metų kiekio poveikio koeficientas skirstymo paslaugos ŽĮ tinklais;</w:t>
                      </w:r>
                    </w:p>
                    <w:p>
                      <w:pPr>
                        <w:tabs>
                          <w:tab w:val="left" w:pos="1134"/>
                        </w:tabs>
                        <w:jc w:val="both"/>
                        <w:rPr>
                          <w:szCs w:val="24"/>
                        </w:rPr>
                      </w:pPr>
                      <w:r>
                        <w:rPr>
                          <w:szCs w:val="24"/>
                        </w:rPr>
                        <w:t>EK</w:t>
                      </w:r>
                      <w:r>
                        <w:rPr>
                          <w:szCs w:val="24"/>
                          <w:vertAlign w:val="subscript"/>
                        </w:rPr>
                        <w:t>10, t</w:t>
                      </w:r>
                      <w:r>
                        <w:rPr>
                          <w:szCs w:val="24"/>
                        </w:rPr>
                        <w:t xml:space="preserve"> – </w:t>
                      </w:r>
                      <w:r>
                        <w:rPr>
                          <w:i/>
                          <w:szCs w:val="24"/>
                        </w:rPr>
                        <w:t>t</w:t>
                      </w:r>
                      <w:r>
                        <w:rPr>
                          <w:szCs w:val="24"/>
                        </w:rPr>
                        <w:t xml:space="preserve"> metų kiekio poveikio koeficientas skirstymo paslaugos VĮ tinklais;</w:t>
                      </w:r>
                    </w:p>
                    <w:p>
                      <w:pPr>
                        <w:tabs>
                          <w:tab w:val="left" w:pos="1134"/>
                        </w:tabs>
                        <w:jc w:val="both"/>
                        <w:rPr>
                          <w:szCs w:val="24"/>
                        </w:rPr>
                      </w:pPr>
                      <w:r>
                        <w:rPr>
                          <w:szCs w:val="24"/>
                        </w:rPr>
                        <w:t>E</w:t>
                      </w:r>
                      <w:r>
                        <w:rPr>
                          <w:szCs w:val="24"/>
                          <w:vertAlign w:val="subscript"/>
                        </w:rPr>
                        <w:t xml:space="preserve">04,t </w:t>
                      </w:r>
                      <w:r>
                        <w:rPr>
                          <w:szCs w:val="24"/>
                        </w:rPr>
                        <w:t xml:space="preserve">– planuojamas </w:t>
                      </w:r>
                      <w:r>
                        <w:rPr>
                          <w:i/>
                          <w:iCs/>
                          <w:szCs w:val="24"/>
                        </w:rPr>
                        <w:t xml:space="preserve">t </w:t>
                      </w:r>
                      <w:r>
                        <w:rPr>
                          <w:szCs w:val="24"/>
                        </w:rPr>
                        <w:t>metais paskirstyti elektros energijos kiekis ŽĮ tinklais, kWh;</w:t>
                      </w:r>
                    </w:p>
                    <w:p>
                      <w:pPr>
                        <w:tabs>
                          <w:tab w:val="left" w:pos="1134"/>
                        </w:tabs>
                        <w:jc w:val="both"/>
                        <w:rPr>
                          <w:szCs w:val="24"/>
                        </w:rPr>
                      </w:pPr>
                      <w:r>
                        <w:rPr>
                          <w:szCs w:val="24"/>
                        </w:rPr>
                        <w:t>E</w:t>
                      </w:r>
                      <w:r>
                        <w:rPr>
                          <w:szCs w:val="24"/>
                          <w:vertAlign w:val="subscript"/>
                        </w:rPr>
                        <w:t xml:space="preserve">10,t </w:t>
                      </w:r>
                      <w:r>
                        <w:rPr>
                          <w:szCs w:val="24"/>
                        </w:rPr>
                        <w:t xml:space="preserve">– planuojamas </w:t>
                      </w:r>
                      <w:r>
                        <w:rPr>
                          <w:i/>
                          <w:iCs/>
                          <w:szCs w:val="24"/>
                        </w:rPr>
                        <w:t xml:space="preserve">t </w:t>
                      </w:r>
                      <w:r>
                        <w:rPr>
                          <w:szCs w:val="24"/>
                        </w:rPr>
                        <w:t>metais paskirstyti elektros energijos kiekis VĮ tinklais,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9 p."/>
                    <w:tag w:val="part_7a3ef2ff2ada436abb5c9fc1b914548a"/>
                    <w:lock w:val="sdtLocked"/>
                    <w:richText/>
                  </w:sdtPr>
                  <w:sdtContent>
                    <w:p>
                      <w:pPr>
                        <w:tabs>
                          <w:tab w:val="left" w:pos="1080"/>
                          <w:tab w:val="left" w:pos="1134"/>
                          <w:tab w:val="left" w:pos="1843"/>
                          <w:tab w:val="left" w:pos="2268"/>
                        </w:tabs>
                        <w:ind w:firstLine="720"/>
                        <w:jc w:val="both"/>
                        <w:rPr>
                          <w:szCs w:val="24"/>
                        </w:rPr>
                      </w:pPr>
                      <w:sdt>
                        <w:sdtPr>
                          <w:alias w:val="Numeris"/>
                          <w:tag w:val="nr_7a3ef2ff2ada436abb5c9fc1b914548a"/>
                          <w:lock w:val="sdtLocked"/>
                          <w:richText/>
                        </w:sdtPr>
                        <w:sdtContent>
                          <w:r>
                            <w:rPr>
                              <w:szCs w:val="24"/>
                            </w:rPr>
                            <w:t>79</w:t>
                          </w:r>
                        </w:sdtContent>
                      </w:sdt>
                      <w:r>
                        <w:rPr>
                          <w:szCs w:val="24"/>
                        </w:rPr>
                        <w:t xml:space="preserve">. Korekcijos koeficientas naudojamas </w:t>
                      </w:r>
                      <w:r>
                        <w:rPr>
                          <w:i/>
                          <w:szCs w:val="24"/>
                        </w:rPr>
                        <w:t>t</w:t>
                      </w:r>
                      <w:r>
                        <w:rPr>
                          <w:szCs w:val="24"/>
                        </w:rPr>
                        <w:t xml:space="preserve"> metų skirstymo paslaugos kainos viršutinei ribai koreguoti dėl faktiškai </w:t>
                      </w:r>
                      <w:r>
                        <w:rPr>
                          <w:i/>
                          <w:szCs w:val="24"/>
                        </w:rPr>
                        <w:t>t-2</w:t>
                      </w:r>
                      <w:r>
                        <w:rPr>
                          <w:szCs w:val="24"/>
                        </w:rPr>
                        <w:t xml:space="preserve"> metais STO gautų pajamų ir planuotų </w:t>
                      </w:r>
                      <w:r>
                        <w:rPr>
                          <w:i/>
                          <w:szCs w:val="24"/>
                        </w:rPr>
                        <w:t>t-2</w:t>
                      </w:r>
                      <w:r>
                        <w:rPr>
                          <w:szCs w:val="24"/>
                        </w:rPr>
                        <w:t xml:space="preserve"> metais STO leidžiamų pajamų neatitikties už skirstymo paslaugą atitinkamos įtampos tinklais (susidaręs pajamų skirtumas dėl konkrečių kainų viršutinių ribų diferencijavimo ir (arba) prognozuoto perduoti bei faktiškai perduoto kiekio skirtumo).</w:t>
                      </w:r>
                    </w:p>
                  </w:sdtContent>
                </w:sdt>
                <w:sdt>
                  <w:sdtPr>
                    <w:alias w:val="80 p."/>
                    <w:tag w:val="part_81c86af278f54486aba9ed7d659ae5ab"/>
                    <w:lock w:val="sdtLocked"/>
                    <w:richText/>
                  </w:sdtPr>
                  <w:sdtContent>
                    <w:p>
                      <w:pPr>
                        <w:tabs>
                          <w:tab w:val="left" w:pos="1080"/>
                          <w:tab w:val="left" w:pos="1843"/>
                          <w:tab w:val="left" w:pos="2268"/>
                        </w:tabs>
                        <w:ind w:firstLine="720"/>
                        <w:jc w:val="both"/>
                        <w:rPr>
                          <w:szCs w:val="24"/>
                        </w:rPr>
                      </w:pPr>
                      <w:sdt>
                        <w:sdtPr>
                          <w:alias w:val="Numeris"/>
                          <w:tag w:val="nr_81c86af278f54486aba9ed7d659ae5ab"/>
                          <w:lock w:val="sdtLocked"/>
                          <w:richText/>
                        </w:sdtPr>
                        <w:sdtContent>
                          <w:r>
                            <w:rPr>
                              <w:szCs w:val="24"/>
                            </w:rPr>
                            <w:t>80</w:t>
                          </w:r>
                        </w:sdtContent>
                      </w:sdt>
                      <w:r>
                        <w:rPr>
                          <w:szCs w:val="24"/>
                        </w:rPr>
                        <w:t>. Korekcijos koeficientas atitinkamos įtampos tinkle apskaičiuojamas pagal formules:</w:t>
                      </w:r>
                    </w:p>
                    <w:p>
                      <w:pPr>
                        <w:tabs>
                          <w:tab w:val="left" w:pos="1080"/>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K</m:t>
                            </m:r>
                          </m:e>
                          <m:sub>
                            <m:r>
                              <w:rPr>
                                <w:rFonts w:ascii="Cambria Math" w:hAnsi="Cambria Math"/>
                              </w:rPr>
                              <m:t>04,</m:t>
                            </m:r>
                            <m:r>
                              <w:rPr>
                                <w:rFonts w:ascii="Cambria Math" w:hAnsi="Cambria Math"/>
                              </w:rPr>
                              <m: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04,</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r>
                                      <w:rPr>
                                        <w:rFonts w:ascii="Cambria Math" w:hAnsi="Cambria Math"/>
                                      </w:rPr>
                                      <m:t>04,</m:t>
                                    </m:r>
                                    <m:r>
                                      <w:rPr>
                                        <w:rFonts w:ascii="Cambria Math" w:hAnsi="Cambria Math"/>
                                      </w:rPr>
                                      <m:t>t</m:t>
                                    </m:r>
                                    <m:r>
                                      <w:rPr>
                                        <w:rFonts w:ascii="Cambria Math" w:hAnsi="Cambria Math"/>
                                      </w:rPr>
                                      <m:t>-2</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04,</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r>
                                  <w:rPr>
                                    <w:rFonts w:ascii="Cambria Math" w:hAnsi="Cambria Math"/>
                                  </w:rPr>
                                  <m:t>04,</m:t>
                                </m:r>
                                <m:r>
                                  <w:rPr>
                                    <w:rFonts w:ascii="Cambria Math" w:hAnsi="Cambria Math"/>
                                  </w:rPr>
                                  <m:t>t</m:t>
                                </m:r>
                              </m:sub>
                            </m:sSub>
                          </m:den>
                        </m:f>
                      </m:oMath>
                      <w:r>
                        <w:tab/>
                      </w:r>
                      <w:r>
                        <w:rPr>
                          <w:szCs w:val="24"/>
                        </w:rPr>
                        <w:t>(48)</w:t>
                      </w:r>
                    </w:p>
                    <w:p>
                      <w:pPr>
                        <w:tabs>
                          <w:tab w:val="left" w:pos="9214"/>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K</m:t>
                            </m:r>
                          </m:e>
                          <m:sub>
                            <m:r>
                              <w:rPr>
                                <w:rFonts w:ascii="Cambria Math" w:hAnsi="Cambria Math"/>
                              </w:rPr>
                              <m:t>10,</m:t>
                            </m:r>
                            <m:r>
                              <w:rPr>
                                <w:rFonts w:ascii="Cambria Math" w:hAnsi="Cambria Math"/>
                              </w:rPr>
                              <m: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10,</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r>
                                      <w:rPr>
                                        <w:rFonts w:ascii="Cambria Math" w:hAnsi="Cambria Math"/>
                                      </w:rPr>
                                      <m:t>-2</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10,</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r>
                                  <w:rPr>
                                    <w:rFonts w:ascii="Cambria Math" w:hAnsi="Cambria Math"/>
                                  </w:rPr>
                                  <m:t>10,</m:t>
                                </m:r>
                                <m:r>
                                  <w:rPr>
                                    <w:rFonts w:ascii="Cambria Math" w:hAnsi="Cambria Math"/>
                                  </w:rPr>
                                  <m:t>t</m:t>
                                </m:r>
                              </m:sub>
                            </m:sSub>
                          </m:den>
                        </m:f>
                      </m:oMath>
                      <w:r>
                        <w:tab/>
                      </w:r>
                      <w:r>
                        <w:rPr>
                          <w:szCs w:val="24"/>
                        </w:rPr>
                        <w:t>(49)</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K</w:t>
                      </w:r>
                      <w:r>
                        <w:rPr>
                          <w:szCs w:val="24"/>
                          <w:vertAlign w:val="subscript"/>
                        </w:rPr>
                        <w:t>04,t</w:t>
                      </w:r>
                      <w:r>
                        <w:rPr>
                          <w:szCs w:val="24"/>
                        </w:rPr>
                        <w:t xml:space="preserve"> – </w:t>
                      </w:r>
                      <w:r>
                        <w:rPr>
                          <w:i/>
                          <w:szCs w:val="24"/>
                        </w:rPr>
                        <w:t>t</w:t>
                      </w:r>
                      <w:r>
                        <w:rPr>
                          <w:szCs w:val="24"/>
                        </w:rPr>
                        <w:t xml:space="preserve"> metų korekcijos koeficientas skirstymo paslaugos ŽĮ tinklais kainos viršutinei ribai, EUR/kWh;</w:t>
                      </w:r>
                    </w:p>
                    <w:p>
                      <w:pPr>
                        <w:tabs>
                          <w:tab w:val="left" w:pos="1134"/>
                          <w:tab w:val="left" w:pos="1843"/>
                          <w:tab w:val="left" w:pos="2268"/>
                        </w:tabs>
                        <w:jc w:val="both"/>
                        <w:rPr>
                          <w:szCs w:val="24"/>
                        </w:rPr>
                      </w:pPr>
                      <w:r>
                        <w:rPr>
                          <w:szCs w:val="24"/>
                        </w:rPr>
                        <w:t>K</w:t>
                      </w:r>
                      <w:r>
                        <w:rPr>
                          <w:szCs w:val="24"/>
                          <w:vertAlign w:val="subscript"/>
                        </w:rPr>
                        <w:t>10,t</w:t>
                      </w:r>
                      <w:r>
                        <w:rPr>
                          <w:szCs w:val="24"/>
                        </w:rPr>
                        <w:t xml:space="preserve"> – </w:t>
                      </w:r>
                      <w:r>
                        <w:rPr>
                          <w:i/>
                          <w:szCs w:val="24"/>
                        </w:rPr>
                        <w:t>t</w:t>
                      </w:r>
                      <w:r>
                        <w:rPr>
                          <w:szCs w:val="24"/>
                        </w:rPr>
                        <w:t xml:space="preserve"> metų korekcijos koeficientas skirstymo paslaugos VĮ tinklais kainos viršutinei ribai, EUR/kWh;</w:t>
                      </w:r>
                    </w:p>
                    <w:p>
                      <w:pPr>
                        <w:tabs>
                          <w:tab w:val="left" w:pos="1134"/>
                          <w:tab w:val="left" w:pos="1843"/>
                          <w:tab w:val="left" w:pos="2268"/>
                        </w:tabs>
                        <w:jc w:val="both"/>
                        <w:rPr>
                          <w:szCs w:val="24"/>
                        </w:rPr>
                      </w:pPr>
                      <w:r>
                        <w:rPr>
                          <w:szCs w:val="24"/>
                        </w:rPr>
                        <w:t>P</w:t>
                      </w:r>
                      <w:r>
                        <w:rPr>
                          <w:szCs w:val="24"/>
                          <w:vertAlign w:val="superscript"/>
                        </w:rPr>
                        <w:t>f</w:t>
                      </w:r>
                      <w:r>
                        <w:rPr>
                          <w:szCs w:val="24"/>
                          <w:vertAlign w:val="subscript"/>
                        </w:rPr>
                        <w:t>04,t-2</w:t>
                      </w:r>
                      <w:r>
                        <w:rPr>
                          <w:szCs w:val="24"/>
                        </w:rPr>
                        <w:t xml:space="preserve"> – faktinės STO pajamos iš skirstymo paslaugos ŽĮ tinklais </w:t>
                      </w:r>
                      <w:r>
                        <w:rPr>
                          <w:i/>
                          <w:szCs w:val="24"/>
                        </w:rPr>
                        <w:t xml:space="preserve">t-2 </w:t>
                      </w:r>
                      <w:r>
                        <w:rPr>
                          <w:szCs w:val="24"/>
                        </w:rPr>
                        <w:t>metais, EUR;</w:t>
                      </w:r>
                    </w:p>
                    <w:p>
                      <w:pPr>
                        <w:tabs>
                          <w:tab w:val="left" w:pos="1134"/>
                          <w:tab w:val="left" w:pos="1843"/>
                          <w:tab w:val="left" w:pos="2268"/>
                        </w:tabs>
                        <w:jc w:val="both"/>
                        <w:rPr>
                          <w:szCs w:val="24"/>
                        </w:rPr>
                      </w:pPr>
                      <w:r>
                        <w:rPr>
                          <w:szCs w:val="24"/>
                        </w:rPr>
                        <w:t>P</w:t>
                      </w:r>
                      <w:r>
                        <w:rPr>
                          <w:szCs w:val="24"/>
                          <w:vertAlign w:val="superscript"/>
                        </w:rPr>
                        <w:t>f</w:t>
                      </w:r>
                      <w:r>
                        <w:rPr>
                          <w:szCs w:val="24"/>
                          <w:vertAlign w:val="subscript"/>
                        </w:rPr>
                        <w:t>10,t-2</w:t>
                      </w:r>
                      <w:r>
                        <w:rPr>
                          <w:szCs w:val="24"/>
                        </w:rPr>
                        <w:t xml:space="preserve"> – faktinės STO pajamos iš skirstymo paslaugos VĮ tinklais </w:t>
                      </w:r>
                      <w:r>
                        <w:rPr>
                          <w:i/>
                          <w:szCs w:val="24"/>
                        </w:rPr>
                        <w:t xml:space="preserve">t-2 </w:t>
                      </w:r>
                      <w:r>
                        <w:rPr>
                          <w:szCs w:val="24"/>
                        </w:rPr>
                        <w:t>metais, EUR;</w:t>
                      </w:r>
                    </w:p>
                    <w:p>
                      <w:pPr>
                        <w:tabs>
                          <w:tab w:val="left" w:pos="1134"/>
                          <w:tab w:val="left" w:pos="1843"/>
                          <w:tab w:val="left" w:pos="2268"/>
                        </w:tabs>
                        <w:jc w:val="both"/>
                        <w:rPr>
                          <w:szCs w:val="24"/>
                        </w:rPr>
                      </w:pPr>
                      <w:r>
                        <w:rPr>
                          <w:szCs w:val="24"/>
                        </w:rPr>
                        <w:t>T’</w:t>
                      </w:r>
                      <w:r>
                        <w:rPr>
                          <w:szCs w:val="24"/>
                          <w:vertAlign w:val="subscript"/>
                        </w:rPr>
                        <w:t>04,t-2</w:t>
                      </w:r>
                      <w:r>
                        <w:rPr>
                          <w:szCs w:val="24"/>
                        </w:rPr>
                        <w:t xml:space="preserve"> – skirstymo paslaugos ŽĮ tinklais kainos viršutinė riba </w:t>
                      </w:r>
                      <w:r>
                        <w:rPr>
                          <w:i/>
                          <w:szCs w:val="24"/>
                        </w:rPr>
                        <w:t xml:space="preserve">t-2 </w:t>
                      </w:r>
                      <w:r>
                        <w:rPr>
                          <w:szCs w:val="24"/>
                        </w:rPr>
                        <w:t>metais, EUR/kWh;</w:t>
                      </w:r>
                    </w:p>
                    <w:p>
                      <w:pPr>
                        <w:tabs>
                          <w:tab w:val="left" w:pos="1134"/>
                          <w:tab w:val="left" w:pos="1843"/>
                          <w:tab w:val="left" w:pos="2268"/>
                        </w:tabs>
                        <w:jc w:val="both"/>
                        <w:rPr>
                          <w:szCs w:val="24"/>
                        </w:rPr>
                      </w:pPr>
                      <w:r>
                        <w:rPr>
                          <w:szCs w:val="24"/>
                        </w:rPr>
                        <w:t>T’</w:t>
                      </w:r>
                      <w:r>
                        <w:rPr>
                          <w:szCs w:val="24"/>
                          <w:vertAlign w:val="subscript"/>
                        </w:rPr>
                        <w:t>10,t-2</w:t>
                      </w:r>
                      <w:r>
                        <w:rPr>
                          <w:szCs w:val="24"/>
                        </w:rPr>
                        <w:t xml:space="preserve"> – skirstymo paslaugos VĮ tinklais kainos viršutinė riba </w:t>
                      </w:r>
                      <w:r>
                        <w:rPr>
                          <w:i/>
                          <w:szCs w:val="24"/>
                        </w:rPr>
                        <w:t xml:space="preserve">t-2 </w:t>
                      </w:r>
                      <w:r>
                        <w:rPr>
                          <w:szCs w:val="24"/>
                        </w:rPr>
                        <w:t>metais, EUR/kWh;</w:t>
                      </w:r>
                    </w:p>
                    <w:p>
                      <w:pPr>
                        <w:tabs>
                          <w:tab w:val="left" w:pos="1134"/>
                          <w:tab w:val="left" w:pos="1843"/>
                          <w:tab w:val="left" w:pos="2268"/>
                        </w:tabs>
                        <w:jc w:val="both"/>
                        <w:rPr>
                          <w:szCs w:val="24"/>
                        </w:rPr>
                      </w:pPr>
                      <w:r>
                        <w:rPr>
                          <w:szCs w:val="24"/>
                        </w:rPr>
                        <w:t>E</w:t>
                      </w:r>
                      <w:r>
                        <w:rPr>
                          <w:szCs w:val="24"/>
                          <w:vertAlign w:val="superscript"/>
                        </w:rPr>
                        <w:t>f</w:t>
                      </w:r>
                      <w:r>
                        <w:rPr>
                          <w:szCs w:val="24"/>
                          <w:vertAlign w:val="subscript"/>
                        </w:rPr>
                        <w:t>04,t-2</w:t>
                      </w:r>
                      <w:r>
                        <w:rPr>
                          <w:szCs w:val="24"/>
                        </w:rPr>
                        <w:t xml:space="preserve"> – faktinis STO </w:t>
                      </w:r>
                      <w:r>
                        <w:rPr>
                          <w:i/>
                          <w:szCs w:val="24"/>
                        </w:rPr>
                        <w:t xml:space="preserve">t-2 </w:t>
                      </w:r>
                      <w:r>
                        <w:rPr>
                          <w:szCs w:val="24"/>
                        </w:rPr>
                        <w:t>metais paskirstytas elektros energijos ŽĮ tinklais kiekis, kWh;</w:t>
                      </w:r>
                    </w:p>
                    <w:p>
                      <w:pPr>
                        <w:tabs>
                          <w:tab w:val="left" w:pos="1134"/>
                          <w:tab w:val="left" w:pos="1843"/>
                          <w:tab w:val="left" w:pos="2268"/>
                        </w:tabs>
                        <w:jc w:val="both"/>
                        <w:rPr>
                          <w:szCs w:val="24"/>
                        </w:rPr>
                      </w:pPr>
                      <w:r>
                        <w:rPr>
                          <w:szCs w:val="24"/>
                        </w:rPr>
                        <w:t>E</w:t>
                      </w:r>
                      <w:r>
                        <w:rPr>
                          <w:szCs w:val="24"/>
                          <w:vertAlign w:val="superscript"/>
                        </w:rPr>
                        <w:t>f</w:t>
                      </w:r>
                      <w:r>
                        <w:rPr>
                          <w:szCs w:val="24"/>
                          <w:vertAlign w:val="subscript"/>
                        </w:rPr>
                        <w:t>10,t-2</w:t>
                      </w:r>
                      <w:r>
                        <w:rPr>
                          <w:szCs w:val="24"/>
                        </w:rPr>
                        <w:t xml:space="preserve"> – faktinis STO </w:t>
                      </w:r>
                      <w:r>
                        <w:rPr>
                          <w:i/>
                          <w:szCs w:val="24"/>
                        </w:rPr>
                        <w:t xml:space="preserve">t-2 </w:t>
                      </w:r>
                      <w:r>
                        <w:rPr>
                          <w:szCs w:val="24"/>
                        </w:rPr>
                        <w:t>metais paskirstytas elektros energijos VĮ tinklais kiekis, kWh;</w:t>
                      </w:r>
                    </w:p>
                    <w:p>
                      <w:pPr>
                        <w:tabs>
                          <w:tab w:val="left" w:pos="1134"/>
                          <w:tab w:val="left" w:pos="1843"/>
                          <w:tab w:val="left" w:pos="2268"/>
                        </w:tabs>
                        <w:jc w:val="both"/>
                        <w:rPr>
                          <w:szCs w:val="24"/>
                        </w:rPr>
                      </w:pPr>
                      <w:r>
                        <w:rPr>
                          <w:szCs w:val="24"/>
                        </w:rPr>
                        <w:t>E</w:t>
                      </w:r>
                      <w:r>
                        <w:rPr>
                          <w:szCs w:val="24"/>
                          <w:vertAlign w:val="subscript"/>
                        </w:rPr>
                        <w:t>04,t</w:t>
                      </w:r>
                      <w:r>
                        <w:rPr>
                          <w:szCs w:val="24"/>
                        </w:rPr>
                        <w:t xml:space="preserve"> – STO </w:t>
                      </w:r>
                      <w:r>
                        <w:rPr>
                          <w:i/>
                          <w:szCs w:val="24"/>
                        </w:rPr>
                        <w:t>t</w:t>
                      </w:r>
                      <w:r>
                        <w:rPr>
                          <w:szCs w:val="24"/>
                        </w:rPr>
                        <w:t xml:space="preserve"> metais planuojamas paskirstyti elektros energijos kiekis ŽĮ tinklais, kWh;</w:t>
                      </w:r>
                    </w:p>
                    <w:p>
                      <w:pPr>
                        <w:tabs>
                          <w:tab w:val="left" w:pos="1134"/>
                          <w:tab w:val="left" w:pos="1843"/>
                          <w:tab w:val="left" w:pos="2268"/>
                        </w:tabs>
                        <w:jc w:val="both"/>
                        <w:rPr>
                          <w:szCs w:val="24"/>
                        </w:rPr>
                      </w:pPr>
                      <w:r>
                        <w:rPr>
                          <w:szCs w:val="24"/>
                        </w:rPr>
                        <w:t>E</w:t>
                      </w:r>
                      <w:r>
                        <w:rPr>
                          <w:szCs w:val="24"/>
                          <w:vertAlign w:val="subscript"/>
                        </w:rPr>
                        <w:t>10,t</w:t>
                      </w:r>
                      <w:r>
                        <w:rPr>
                          <w:szCs w:val="24"/>
                        </w:rPr>
                        <w:t xml:space="preserve"> – STO </w:t>
                      </w:r>
                      <w:r>
                        <w:rPr>
                          <w:i/>
                          <w:szCs w:val="24"/>
                        </w:rPr>
                        <w:t>t</w:t>
                      </w:r>
                      <w:r>
                        <w:rPr>
                          <w:szCs w:val="24"/>
                        </w:rPr>
                        <w:t xml:space="preserve"> metais planuojamas paskirstyti elektros energijos kiekis VĮ tinklais, kWh.</w:t>
                      </w:r>
                    </w:p>
                  </w:sdtContent>
                </w:sdt>
                <w:sdt>
                  <w:sdtPr>
                    <w:alias w:val="81 p."/>
                    <w:tag w:val="part_9a423f0e0835499b89bbf90667ce1cd2"/>
                    <w:lock w:val="sdtLocked"/>
                    <w:richText/>
                  </w:sdtPr>
                  <w:sdtContent>
                    <w:p>
                      <w:pPr>
                        <w:tabs>
                          <w:tab w:val="left" w:pos="1080"/>
                          <w:tab w:val="left" w:pos="1843"/>
                          <w:tab w:val="left" w:pos="2268"/>
                        </w:tabs>
                        <w:ind w:firstLine="720"/>
                        <w:jc w:val="both"/>
                        <w:rPr>
                          <w:szCs w:val="24"/>
                        </w:rPr>
                      </w:pPr>
                      <w:sdt>
                        <w:sdtPr>
                          <w:alias w:val="Numeris"/>
                          <w:tag w:val="nr_9a423f0e0835499b89bbf90667ce1cd2"/>
                          <w:lock w:val="sdtLocked"/>
                          <w:richText/>
                        </w:sdtPr>
                        <w:sdtContent>
                          <w:r>
                            <w:rPr>
                              <w:szCs w:val="24"/>
                            </w:rPr>
                            <w:t>81</w:t>
                          </w:r>
                        </w:sdtContent>
                      </w:sdt>
                      <w:r>
                        <w:rPr>
                          <w:szCs w:val="24"/>
                        </w:rPr>
                        <w:t xml:space="preserve">. Skirstymo paslaugos ŽĮ ir VĮ tinklais kainos viršutinė riba </w:t>
                      </w:r>
                      <w:r>
                        <w:rPr>
                          <w:i/>
                          <w:szCs w:val="24"/>
                        </w:rPr>
                        <w:t>t</w:t>
                      </w:r>
                      <w:r>
                        <w:rPr>
                          <w:szCs w:val="24"/>
                        </w:rPr>
                        <w:t xml:space="preserve"> metais apskaičiuojama atimant kainos viršutinės ribos korekcijos koeficientą iš </w:t>
                      </w:r>
                      <w:r>
                        <w:rPr>
                          <w:i/>
                          <w:szCs w:val="24"/>
                        </w:rPr>
                        <w:t>t</w:t>
                      </w:r>
                      <w:r>
                        <w:rPr>
                          <w:szCs w:val="24"/>
                        </w:rPr>
                        <w:t xml:space="preserve"> metų indeksuotos elektros energijos atitinkamos įtampos skirstymo paslaugos kainos viršutinės ribos pagal formules:</w:t>
                      </w:r>
                    </w:p>
                    <w:p>
                      <w:pPr>
                        <w:tabs>
                          <w:tab w:val="left" w:pos="1134"/>
                          <w:tab w:val="left" w:pos="1843"/>
                          <w:tab w:val="left" w:pos="2268"/>
                        </w:tabs>
                        <w:jc w:val="both"/>
                        <w:rPr>
                          <w:szCs w:val="24"/>
                        </w:rPr>
                      </w:pPr>
                    </w:p>
                    <w:p>
                      <w:pPr>
                        <w:tabs>
                          <w:tab w:val="left" w:pos="9214"/>
                        </w:tabs>
                        <w:ind w:firstLine="9214"/>
                        <w:jc w:val="both"/>
                        <w:rPr>
                          <w:i/>
                          <w:szCs w:val="24"/>
                        </w:rPr>
                      </w:pPr>
                      <w:r>
                        <w:tab/>
                      </w:r>
                      <m:oMath>
                        <m:sSubSup>
                          <m:sSubSupPr>
                            <m:ctrlPr>
                              <w:rPr>
                                <w:rFonts w:ascii="Cambria Math" w:hAnsi="Cambria Math"/>
                                <w:i/>
                              </w:rPr>
                            </m:ctrlPr>
                          </m:sSubSupPr>
                          <m:e>
                            <m:r>
                              <w:rPr>
                                <w:rFonts w:ascii="Cambria Math" w:hAnsi="Cambria Math"/>
                              </w:rPr>
                              <m:t>T</m:t>
                            </m:r>
                          </m:e>
                          <m:sub>
                            <m:r>
                              <w:rPr>
                                <w:rFonts w:ascii="Cambria Math" w:hAnsi="Cambria Math"/>
                              </w:rPr>
                              <m:t>04,</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04,</m:t>
                            </m:r>
                            <m:r>
                              <w:rPr>
                                <w:rFonts w:ascii="Cambria Math" w:hAnsi="Cambria Math"/>
                              </w:rPr>
                              <m:t>t</m:t>
                            </m:r>
                          </m:sub>
                        </m:sSub>
                      </m:oMath>
                      <w:r>
                        <w:tab/>
                      </w:r>
                      <w:r>
                        <w:rPr>
                          <w:szCs w:val="24"/>
                        </w:rPr>
                        <w:t>(50)</w:t>
                      </w:r>
                    </w:p>
                    <w:p>
                      <w:pPr>
                        <w:tabs>
                          <w:tab w:val="left" w:pos="1134"/>
                          <w:tab w:val="left" w:pos="1843"/>
                          <w:tab w:val="left" w:pos="2268"/>
                        </w:tabs>
                        <w:jc w:val="both"/>
                        <w:rPr>
                          <w:i/>
                          <w:szCs w:val="24"/>
                        </w:rPr>
                      </w:pPr>
                    </w:p>
                    <w:p>
                      <w:pPr>
                        <w:tabs>
                          <w:tab w:val="left" w:pos="9214"/>
                        </w:tabs>
                        <w:ind w:firstLine="9214"/>
                        <w:jc w:val="both"/>
                        <w:rPr>
                          <w:i/>
                          <w:szCs w:val="24"/>
                        </w:rPr>
                      </w:pPr>
                      <w:r>
                        <w:rPr>
                          <w:i/>
                        </w:rPr>
                        <w:t xml:space="preserve">  </w:t>
                      </w:r>
                      <m:oMath>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10,</m:t>
                            </m:r>
                            <m:r>
                              <w:rPr>
                                <w:rFonts w:ascii="Cambria Math" w:hAnsi="Cambria Math"/>
                              </w:rPr>
                              <m:t>t</m:t>
                            </m:r>
                          </m:sub>
                        </m:sSub>
                      </m:oMath>
                      <w:r>
                        <w:tab/>
                      </w:r>
                      <w:r>
                        <w:rPr>
                          <w:szCs w:val="24"/>
                        </w:rPr>
                        <w:t>(51)</w:t>
                      </w:r>
                    </w:p>
                    <w:p>
                      <w:pPr>
                        <w:tabs>
                          <w:tab w:val="left" w:pos="1134"/>
                          <w:tab w:val="left" w:pos="1843"/>
                          <w:tab w:val="left" w:pos="2268"/>
                        </w:tabs>
                        <w:jc w:val="both"/>
                        <w:rPr>
                          <w:i/>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04,t</w:t>
                      </w:r>
                      <w:r>
                        <w:rPr>
                          <w:szCs w:val="24"/>
                        </w:rPr>
                        <w:t xml:space="preserve"> – </w:t>
                      </w:r>
                      <w:r>
                        <w:rPr>
                          <w:i/>
                          <w:szCs w:val="24"/>
                        </w:rPr>
                        <w:t>t</w:t>
                      </w:r>
                      <w:r>
                        <w:rPr>
                          <w:szCs w:val="24"/>
                        </w:rPr>
                        <w:t xml:space="preserve"> metų skirstymo paslaugos ŽĮ tinklais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skirstymo paslaugos VĮ tinklais kainos viršutinė riba, EUR/kWh;</w:t>
                      </w:r>
                    </w:p>
                    <w:p>
                      <w:pPr>
                        <w:tabs>
                          <w:tab w:val="left" w:pos="1134"/>
                          <w:tab w:val="left" w:pos="1843"/>
                          <w:tab w:val="left" w:pos="2268"/>
                        </w:tabs>
                        <w:jc w:val="both"/>
                        <w:rPr>
                          <w:szCs w:val="24"/>
                        </w:rPr>
                      </w:pPr>
                      <w:r>
                        <w:rPr>
                          <w:szCs w:val="24"/>
                        </w:rPr>
                        <w:t>T</w:t>
                      </w:r>
                      <w:r>
                        <w:rPr>
                          <w:szCs w:val="24"/>
                          <w:vertAlign w:val="subscript"/>
                        </w:rPr>
                        <w:t>04,t</w:t>
                      </w:r>
                      <w:r>
                        <w:rPr>
                          <w:szCs w:val="24"/>
                        </w:rPr>
                        <w:t xml:space="preserve"> – indeksuota </w:t>
                      </w:r>
                      <w:r>
                        <w:rPr>
                          <w:i/>
                          <w:szCs w:val="24"/>
                        </w:rPr>
                        <w:t>t</w:t>
                      </w:r>
                      <w:r>
                        <w:rPr>
                          <w:szCs w:val="24"/>
                        </w:rPr>
                        <w:t xml:space="preserve"> metų skirstymo ŽĮ tinklais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indeksuota </w:t>
                      </w:r>
                      <w:r>
                        <w:rPr>
                          <w:i/>
                          <w:szCs w:val="24"/>
                        </w:rPr>
                        <w:t>t</w:t>
                      </w:r>
                      <w:r>
                        <w:rPr>
                          <w:szCs w:val="24"/>
                        </w:rPr>
                        <w:t xml:space="preserve"> metų skirstymo VĮ tinklais paslaugos kainos viršutinė riba, EUR/kWh;</w:t>
                      </w:r>
                    </w:p>
                    <w:p>
                      <w:pPr>
                        <w:tabs>
                          <w:tab w:val="left" w:pos="1134"/>
                          <w:tab w:val="left" w:pos="1843"/>
                          <w:tab w:val="left" w:pos="2268"/>
                        </w:tabs>
                        <w:jc w:val="both"/>
                        <w:rPr>
                          <w:szCs w:val="24"/>
                        </w:rPr>
                      </w:pPr>
                      <w:r>
                        <w:rPr>
                          <w:szCs w:val="24"/>
                        </w:rPr>
                        <w:t>K</w:t>
                      </w:r>
                      <w:r>
                        <w:rPr>
                          <w:szCs w:val="24"/>
                          <w:vertAlign w:val="subscript"/>
                        </w:rPr>
                        <w:t>04,t</w:t>
                      </w:r>
                      <w:r>
                        <w:rPr>
                          <w:szCs w:val="24"/>
                        </w:rPr>
                        <w:t xml:space="preserve"> – </w:t>
                      </w:r>
                      <w:r>
                        <w:rPr>
                          <w:i/>
                          <w:szCs w:val="24"/>
                        </w:rPr>
                        <w:t>t</w:t>
                      </w:r>
                      <w:r>
                        <w:rPr>
                          <w:szCs w:val="24"/>
                        </w:rPr>
                        <w:t xml:space="preserve"> metų korekcijos koeficientas skirstymo ŽĮ tinklais paslaugai, EUR/kWh;</w:t>
                      </w:r>
                    </w:p>
                    <w:p>
                      <w:pPr>
                        <w:tabs>
                          <w:tab w:val="left" w:pos="1134"/>
                          <w:tab w:val="left" w:pos="1843"/>
                          <w:tab w:val="left" w:pos="2268"/>
                        </w:tabs>
                        <w:jc w:val="both"/>
                        <w:rPr>
                          <w:szCs w:val="24"/>
                        </w:rPr>
                      </w:pPr>
                      <w:r>
                        <w:rPr>
                          <w:szCs w:val="24"/>
                        </w:rPr>
                        <w:t>K</w:t>
                      </w:r>
                      <w:r>
                        <w:rPr>
                          <w:szCs w:val="24"/>
                          <w:vertAlign w:val="subscript"/>
                        </w:rPr>
                        <w:t>10,t</w:t>
                      </w:r>
                      <w:r>
                        <w:rPr>
                          <w:szCs w:val="24"/>
                        </w:rPr>
                        <w:t xml:space="preserve"> – </w:t>
                      </w:r>
                      <w:r>
                        <w:rPr>
                          <w:i/>
                          <w:szCs w:val="24"/>
                        </w:rPr>
                        <w:t>t</w:t>
                      </w:r>
                      <w:r>
                        <w:rPr>
                          <w:szCs w:val="24"/>
                        </w:rPr>
                        <w:t xml:space="preserve"> metų korekcijos koeficientas skirstymo VĮ tinklais paslaugai, EUR/kWh.</w:t>
                      </w:r>
                    </w:p>
                  </w:sdtContent>
                </w:sdt>
                <w:sdt>
                  <w:sdtPr>
                    <w:alias w:val="82 p."/>
                    <w:tag w:val="part_8eb7c14ffdbb48e08a90e683b9cc7c1c"/>
                    <w:lock w:val="sdtLocked"/>
                    <w:richText/>
                  </w:sdtPr>
                  <w:sdtContent>
                    <w:p>
                      <w:pPr>
                        <w:tabs>
                          <w:tab w:val="left" w:pos="1134"/>
                        </w:tabs>
                        <w:ind w:firstLine="709"/>
                        <w:jc w:val="both"/>
                        <w:rPr>
                          <w:szCs w:val="24"/>
                        </w:rPr>
                      </w:pPr>
                      <w:sdt>
                        <w:sdtPr>
                          <w:alias w:val="Numeris"/>
                          <w:tag w:val="nr_8eb7c14ffdbb48e08a90e683b9cc7c1c"/>
                          <w:lock w:val="sdtLocked"/>
                          <w:richText/>
                        </w:sdtPr>
                        <w:sdtContent>
                          <w:r>
                            <w:rPr>
                              <w:szCs w:val="24"/>
                            </w:rPr>
                            <w:t>82</w:t>
                          </w:r>
                        </w:sdtContent>
                      </w:sdt>
                      <w:r>
                        <w:rPr>
                          <w:szCs w:val="24"/>
                        </w:rPr>
                        <w:t>. Pirmaisiais reguliavimo periodo metais indeksavimo ir kiekio poveikio koeficientai lygūs vienetui, o korekcijos koeficientai – nuliui. Kitiems reguliavimo periodo metams koregavimo koeficientai skaičiuojami pagal patikslintus (faktinius) esamųjų metų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yrius"/>
            <w:tag w:val="part_313def3feb494688a26552b469cc0f12"/>
            <w:lock w:val="sdtLocked"/>
            <w:richText/>
          </w:sdtPr>
          <w:sdtContent>
            <w:p>
              <w:pPr>
                <w:tabs>
                  <w:tab w:val="left" w:pos="1134"/>
                  <w:tab w:val="left" w:pos="1843"/>
                  <w:tab w:val="left" w:pos="2268"/>
                </w:tabs>
                <w:jc w:val="center"/>
                <w:rPr>
                  <w:b/>
                  <w:szCs w:val="24"/>
                </w:rPr>
              </w:pPr>
              <w:sdt>
                <w:sdtPr>
                  <w:alias w:val="Numeris"/>
                  <w:tag w:val="nr_313def3feb494688a26552b469cc0f12"/>
                  <w:lock w:val="sdtLocked"/>
                  <w:richText/>
                </w:sdtPr>
                <w:sdtContent>
                  <w:r>
                    <w:rPr>
                      <w:b/>
                      <w:szCs w:val="24"/>
                    </w:rPr>
                    <w:t>IV</w:t>
                  </w:r>
                </w:sdtContent>
              </w:sdt>
              <w:r>
                <w:rPr>
                  <w:b/>
                  <w:szCs w:val="24"/>
                </w:rPr>
                <w:t xml:space="preserve"> SKYRIUS</w:t>
              </w:r>
            </w:p>
            <w:p>
              <w:pPr>
                <w:widowControl w:val="0"/>
                <w:tabs>
                  <w:tab w:val="left" w:pos="993"/>
                  <w:tab w:val="left" w:pos="1843"/>
                </w:tabs>
                <w:jc w:val="center"/>
                <w:rPr>
                  <w:b/>
                  <w:szCs w:val="24"/>
                </w:rPr>
              </w:pPr>
              <w:sdt>
                <w:sdtPr>
                  <w:alias w:val="Pavadinimas"/>
                  <w:tag w:val="title_313def3feb494688a26552b469cc0f12"/>
                  <w:lock w:val="sdtLocked"/>
                  <w:richText/>
                </w:sdtPr>
                <w:sdtContent>
                  <w:r>
                    <w:rPr>
                      <w:b/>
                      <w:szCs w:val="24"/>
                    </w:rPr>
                    <w:t>ĮMONIŲ, BESIVERČIANČIŲ SKIRSTYMO VEIKLA, KURIŲ VEIKLOS TERITORIJOJE ESANČIŲ VARTOTOJŲ SKAIČIUS MAŽESNIS NEI 100 TŪKSTANČIŲ, KAINŲ VIRŠUTINIŲ RIBŲ NUSTATYMAS</w:t>
                  </w:r>
                </w:sdtContent>
              </w:sdt>
            </w:p>
            <w:p>
              <w:pPr>
                <w:tabs>
                  <w:tab w:val="left" w:pos="1134"/>
                  <w:tab w:val="left" w:pos="1843"/>
                  <w:tab w:val="left" w:pos="2268"/>
                </w:tabs>
                <w:ind w:firstLine="567"/>
                <w:jc w:val="both"/>
                <w:rPr>
                  <w:b/>
                  <w:szCs w:val="24"/>
                </w:rPr>
              </w:pPr>
            </w:p>
            <w:p>
              <w:pPr>
                <w:tabs>
                  <w:tab w:val="left" w:pos="1134"/>
                  <w:tab w:val="left" w:pos="1843"/>
                  <w:tab w:val="left" w:pos="2268"/>
                </w:tabs>
                <w:ind w:firstLine="567"/>
                <w:jc w:val="both"/>
                <w:rPr>
                  <w:b/>
                  <w:szCs w:val="24"/>
                </w:rPr>
              </w:pPr>
            </w:p>
            <w:sdt>
              <w:sdtPr>
                <w:alias w:val="83 p."/>
                <w:tag w:val="part_8b11663ae4894d40b5f675ebe37ef006"/>
                <w:lock w:val="sdtLocked"/>
                <w:richText/>
              </w:sdtPr>
              <w:sdtContent>
                <w:p>
                  <w:pPr>
                    <w:tabs>
                      <w:tab w:val="left" w:pos="1134"/>
                      <w:tab w:val="left" w:pos="1843"/>
                      <w:tab w:val="left" w:pos="2268"/>
                    </w:tabs>
                    <w:ind w:firstLine="720"/>
                    <w:jc w:val="both"/>
                    <w:rPr>
                      <w:szCs w:val="24"/>
                    </w:rPr>
                  </w:pPr>
                  <w:sdt>
                    <w:sdtPr>
                      <w:alias w:val="Numeris"/>
                      <w:tag w:val="nr_8b11663ae4894d40b5f675ebe37ef006"/>
                      <w:lock w:val="sdtLocked"/>
                      <w:richText/>
                    </w:sdtPr>
                    <w:sdtContent>
                      <w:r>
                        <w:rPr>
                          <w:szCs w:val="24"/>
                        </w:rPr>
                        <w:t>83</w:t>
                      </w:r>
                    </w:sdtContent>
                  </w:sdt>
                  <w:r>
                    <w:rPr>
                      <w:szCs w:val="24"/>
                    </w:rPr>
                    <w:t>. Įmonėms, besiverčiančioms skirstymo veikla, kurių veiklos teritorijoje esančių vartotojų skaičius mažesnis nei 100 tūkstančių, skirstymo paslaugos pradinis pajamų lygis nustatomas vadovaujantis Metodikos 85 punktu.</w:t>
                  </w:r>
                </w:p>
              </w:sdtContent>
            </w:sdt>
            <w:sdt>
              <w:sdtPr>
                <w:alias w:val="84 p."/>
                <w:tag w:val="part_ce0b6459968242d88642ef07e0b962c7"/>
                <w:lock w:val="sdtLocked"/>
                <w:richText/>
              </w:sdtPr>
              <w:sdtContent>
                <w:p>
                  <w:pPr>
                    <w:tabs>
                      <w:tab w:val="left" w:pos="1134"/>
                      <w:tab w:val="left" w:pos="1843"/>
                      <w:tab w:val="left" w:pos="2268"/>
                    </w:tabs>
                    <w:ind w:firstLine="720"/>
                    <w:jc w:val="both"/>
                    <w:rPr>
                      <w:szCs w:val="24"/>
                    </w:rPr>
                  </w:pPr>
                  <w:sdt>
                    <w:sdtPr>
                      <w:alias w:val="Numeris"/>
                      <w:tag w:val="nr_ce0b6459968242d88642ef07e0b962c7"/>
                      <w:lock w:val="sdtLocked"/>
                      <w:richText/>
                    </w:sdtPr>
                    <w:sdtContent>
                      <w:r>
                        <w:rPr>
                          <w:szCs w:val="24"/>
                        </w:rPr>
                        <w:t>84</w:t>
                      </w:r>
                    </w:sdtContent>
                  </w:sdt>
                  <w:r>
                    <w:rPr>
                      <w:szCs w:val="24"/>
                    </w:rPr>
                    <w:t>. Elektros energijos skirstymo paslaugos viršutinė kainos riba skaičiuojama pagal formulę:</w:t>
                  </w:r>
                </w:p>
                <w:p>
                  <w:pPr>
                    <w:tabs>
                      <w:tab w:val="left" w:pos="1134"/>
                      <w:tab w:val="left" w:pos="1843"/>
                      <w:tab w:val="left" w:pos="2268"/>
                    </w:tabs>
                    <w:jc w:val="both"/>
                    <w:rPr>
                      <w:szCs w:val="24"/>
                    </w:rPr>
                  </w:pPr>
                </w:p>
                <w:p>
                  <w:pPr>
                    <w:tabs>
                      <w:tab w:val="left" w:pos="9214"/>
                    </w:tabs>
                    <w:jc w:val="both"/>
                    <w:rPr>
                      <w:szCs w:val="24"/>
                    </w:rPr>
                  </w:pPr>
                  <w:r>
                    <w:rPr>
                      <w:szCs w:val="24"/>
                      <w:lang w:eastAsia="lt-LT"/>
                    </w:rPr>
                    <mc:AlternateContent>
                      <mc:Choice Requires="wpc">
                        <w:drawing>
                          <wp:inline distT="0" distB="0" distL="0" distR="0">
                            <wp:extent cx="3359150" cy="362585"/>
                            <wp:effectExtent l="3810" t="0" r="0" b="0"/>
                            <wp:docPr id="52" name="Canvas 11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82" name="Rectangle 11"/>
                                    <wps:cNvSpPr>
                                      <a:spLocks noChangeArrowheads="1"/>
                                    </wps:cNvSpPr>
                                    <wps:spPr bwMode="auto">
                                      <a:xfrm>
                                        <a:off x="387906" y="17104"/>
                                        <a:ext cx="28000" cy="1752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GB"/>
                                            </w:rPr>
                                            <w:t>'</w:t>
                                          </w:r>
                                        </w:p>
                                      </w:txbxContent>
                                    </wps:txbx>
                                    <wps:bodyPr rot="0" vert="horz" wrap="none" lIns="0" tIns="0" rIns="0" bIns="0" anchor="t" anchorCtr="0" upright="1">
                                      <a:spAutoFit/>
                                    </wps:bodyPr>
                                  </wps:wsp>
                                  <wps:wsp>
                                    <wps:cNvPr id="183" name="Rectangle 12"/>
                                    <wps:cNvSpPr>
                                      <a:spLocks noChangeArrowheads="1"/>
                                    </wps:cNvSpPr>
                                    <wps:spPr bwMode="auto">
                                      <a:xfrm>
                                        <a:off x="1516523" y="109826"/>
                                        <a:ext cx="299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84" name="Rectangle 13"/>
                                    <wps:cNvSpPr>
                                      <a:spLocks noChangeArrowheads="1"/>
                                    </wps:cNvSpPr>
                                    <wps:spPr bwMode="auto">
                                      <a:xfrm>
                                        <a:off x="1423221"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04</w:t>
                                          </w:r>
                                        </w:p>
                                      </w:txbxContent>
                                    </wps:txbx>
                                    <wps:bodyPr rot="0" vert="horz" wrap="none" lIns="0" tIns="0" rIns="0" bIns="0" anchor="t" anchorCtr="0" upright="1">
                                      <a:spAutoFit/>
                                    </wps:bodyPr>
                                  </wps:wsp>
                                  <wps:wsp>
                                    <wps:cNvPr id="185" name="Rectangle 14"/>
                                    <wps:cNvSpPr>
                                      <a:spLocks noChangeArrowheads="1"/>
                                    </wps:cNvSpPr>
                                    <wps:spPr bwMode="auto">
                                      <a:xfrm>
                                        <a:off x="1395921" y="109826"/>
                                        <a:ext cx="22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86" name="Rectangle 15"/>
                                    <wps:cNvSpPr>
                                      <a:spLocks noChangeArrowheads="1"/>
                                    </wps:cNvSpPr>
                                    <wps:spPr bwMode="auto">
                                      <a:xfrm>
                                        <a:off x="1303819"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10</w:t>
                                          </w:r>
                                        </w:p>
                                      </w:txbxContent>
                                    </wps:txbx>
                                    <wps:bodyPr rot="0" vert="horz" wrap="none" lIns="0" tIns="0" rIns="0" bIns="0" anchor="t" anchorCtr="0" upright="1">
                                      <a:spAutoFit/>
                                    </wps:bodyPr>
                                  </wps:wsp>
                                  <wps:wsp>
                                    <wps:cNvPr id="187" name="Rectangle 16"/>
                                    <wps:cNvSpPr>
                                      <a:spLocks noChangeArrowheads="1"/>
                                    </wps:cNvSpPr>
                                    <wps:spPr bwMode="auto">
                                      <a:xfrm>
                                        <a:off x="1276519" y="109826"/>
                                        <a:ext cx="29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88" name="Rectangle 17"/>
                                    <wps:cNvSpPr>
                                      <a:spLocks noChangeArrowheads="1"/>
                                    </wps:cNvSpPr>
                                    <wps:spPr bwMode="auto">
                                      <a:xfrm>
                                        <a:off x="927214" y="109826"/>
                                        <a:ext cx="29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89" name="Rectangle 18"/>
                                    <wps:cNvSpPr>
                                      <a:spLocks noChangeArrowheads="1"/>
                                    </wps:cNvSpPr>
                                    <wps:spPr bwMode="auto">
                                      <a:xfrm>
                                        <a:off x="833812"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04</w:t>
                                          </w:r>
                                        </w:p>
                                      </w:txbxContent>
                                    </wps:txbx>
                                    <wps:bodyPr rot="0" vert="horz" wrap="none" lIns="0" tIns="0" rIns="0" bIns="0" anchor="t" anchorCtr="0" upright="1">
                                      <a:spAutoFit/>
                                    </wps:bodyPr>
                                  </wps:wsp>
                                  <wps:wsp>
                                    <wps:cNvPr id="190" name="Rectangle 19"/>
                                    <wps:cNvSpPr>
                                      <a:spLocks noChangeArrowheads="1"/>
                                    </wps:cNvSpPr>
                                    <wps:spPr bwMode="auto">
                                      <a:xfrm>
                                        <a:off x="806512" y="109826"/>
                                        <a:ext cx="229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91" name="Rectangle 20"/>
                                    <wps:cNvSpPr>
                                      <a:spLocks noChangeArrowheads="1"/>
                                    </wps:cNvSpPr>
                                    <wps:spPr bwMode="auto">
                                      <a:xfrm>
                                        <a:off x="713811"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10</w:t>
                                          </w:r>
                                        </w:p>
                                      </w:txbxContent>
                                    </wps:txbx>
                                    <wps:bodyPr rot="0" vert="horz" wrap="none" lIns="0" tIns="0" rIns="0" bIns="0" anchor="t" anchorCtr="0" upright="1">
                                      <a:spAutoFit/>
                                    </wps:bodyPr>
                                  </wps:wsp>
                                  <wps:wsp>
                                    <wps:cNvPr id="64" name="Rectangle 21"/>
                                    <wps:cNvSpPr>
                                      <a:spLocks noChangeArrowheads="1"/>
                                    </wps:cNvSpPr>
                                    <wps:spPr bwMode="auto">
                                      <a:xfrm>
                                        <a:off x="687110" y="109826"/>
                                        <a:ext cx="299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65" name="Rectangle 22"/>
                                    <wps:cNvSpPr>
                                      <a:spLocks noChangeArrowheads="1"/>
                                    </wps:cNvSpPr>
                                    <wps:spPr bwMode="auto">
                                      <a:xfrm>
                                        <a:off x="335205" y="109826"/>
                                        <a:ext cx="299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66" name="Rectangle 23"/>
                                    <wps:cNvSpPr>
                                      <a:spLocks noChangeArrowheads="1"/>
                                    </wps:cNvSpPr>
                                    <wps:spPr bwMode="auto">
                                      <a:xfrm>
                                        <a:off x="241904"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04</w:t>
                                          </w:r>
                                        </w:p>
                                      </w:txbxContent>
                                    </wps:txbx>
                                    <wps:bodyPr rot="0" vert="horz" wrap="none" lIns="0" tIns="0" rIns="0" bIns="0" anchor="t" anchorCtr="0" upright="1">
                                      <a:spAutoFit/>
                                    </wps:bodyPr>
                                  </wps:wsp>
                                  <wps:wsp>
                                    <wps:cNvPr id="67" name="Rectangle 24"/>
                                    <wps:cNvSpPr>
                                      <a:spLocks noChangeArrowheads="1"/>
                                    </wps:cNvSpPr>
                                    <wps:spPr bwMode="auto">
                                      <a:xfrm>
                                        <a:off x="214603" y="109826"/>
                                        <a:ext cx="22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68" name="Rectangle 25"/>
                                    <wps:cNvSpPr>
                                      <a:spLocks noChangeArrowheads="1"/>
                                    </wps:cNvSpPr>
                                    <wps:spPr bwMode="auto">
                                      <a:xfrm>
                                        <a:off x="122502"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10</w:t>
                                          </w:r>
                                        </w:p>
                                      </w:txbxContent>
                                    </wps:txbx>
                                    <wps:bodyPr rot="0" vert="horz" wrap="none" lIns="0" tIns="0" rIns="0" bIns="0" anchor="t" anchorCtr="0" upright="1">
                                      <a:spAutoFit/>
                                    </wps:bodyPr>
                                  </wps:wsp>
                                  <wps:wsp>
                                    <wps:cNvPr id="69" name="Rectangle 26"/>
                                    <wps:cNvSpPr>
                                      <a:spLocks noChangeArrowheads="1"/>
                                    </wps:cNvSpPr>
                                    <wps:spPr bwMode="auto">
                                      <a:xfrm>
                                        <a:off x="95201" y="109826"/>
                                        <a:ext cx="29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70" name="Rectangle 27"/>
                                    <wps:cNvSpPr>
                                      <a:spLocks noChangeArrowheads="1"/>
                                    </wps:cNvSpPr>
                                    <wps:spPr bwMode="auto">
                                      <a:xfrm>
                                        <a:off x="1550923" y="110426"/>
                                        <a:ext cx="254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t</w:t>
                                          </w:r>
                                        </w:p>
                                      </w:txbxContent>
                                    </wps:txbx>
                                    <wps:bodyPr rot="0" vert="horz" wrap="none" lIns="0" tIns="0" rIns="0" bIns="0" anchor="t" anchorCtr="0" upright="1">
                                      <a:spAutoFit/>
                                    </wps:bodyPr>
                                  </wps:wsp>
                                  <wps:wsp>
                                    <wps:cNvPr id="71" name="Rectangle 28"/>
                                    <wps:cNvSpPr>
                                      <a:spLocks noChangeArrowheads="1"/>
                                    </wps:cNvSpPr>
                                    <wps:spPr bwMode="auto">
                                      <a:xfrm>
                                        <a:off x="961414" y="110426"/>
                                        <a:ext cx="254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t</w:t>
                                          </w:r>
                                        </w:p>
                                      </w:txbxContent>
                                    </wps:txbx>
                                    <wps:bodyPr rot="0" vert="horz" wrap="none" lIns="0" tIns="0" rIns="0" bIns="0" anchor="t" anchorCtr="0" upright="1">
                                      <a:spAutoFit/>
                                    </wps:bodyPr>
                                  </wps:wsp>
                                  <wps:wsp>
                                    <wps:cNvPr id="72" name="Rectangle 29"/>
                                    <wps:cNvSpPr>
                                      <a:spLocks noChangeArrowheads="1"/>
                                    </wps:cNvSpPr>
                                    <wps:spPr bwMode="auto">
                                      <a:xfrm>
                                        <a:off x="419706" y="110426"/>
                                        <a:ext cx="254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t</w:t>
                                          </w:r>
                                        </w:p>
                                      </w:txbxContent>
                                    </wps:txbx>
                                    <wps:bodyPr rot="0" vert="horz" wrap="none" lIns="0" tIns="0" rIns="0" bIns="0" anchor="t" anchorCtr="0" upright="1">
                                      <a:spAutoFit/>
                                    </wps:bodyPr>
                                  </wps:wsp>
                                  <wps:wsp>
                                    <wps:cNvPr id="73" name="Rectangle 30"/>
                                    <wps:cNvSpPr>
                                      <a:spLocks noChangeArrowheads="1"/>
                                    </wps:cNvSpPr>
                                    <wps:spPr bwMode="auto">
                                      <a:xfrm>
                                        <a:off x="1160817" y="17104"/>
                                        <a:ext cx="1022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K</w:t>
                                          </w:r>
                                        </w:p>
                                      </w:txbxContent>
                                    </wps:txbx>
                                    <wps:bodyPr rot="0" vert="horz" wrap="none" lIns="0" tIns="0" rIns="0" bIns="0" anchor="t" anchorCtr="0" upright="1">
                                      <a:spAutoFit/>
                                    </wps:bodyPr>
                                  </wps:wsp>
                                  <wps:wsp>
                                    <wps:cNvPr id="74" name="Rectangle 31"/>
                                    <wps:cNvSpPr>
                                      <a:spLocks noChangeArrowheads="1"/>
                                    </wps:cNvSpPr>
                                    <wps:spPr bwMode="auto">
                                      <a:xfrm>
                                        <a:off x="605109" y="17104"/>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T</w:t>
                                          </w:r>
                                        </w:p>
                                      </w:txbxContent>
                                    </wps:txbx>
                                    <wps:bodyPr rot="0" vert="horz" wrap="none" lIns="0" tIns="0" rIns="0" bIns="0" anchor="t" anchorCtr="0" upright="1">
                                      <a:spAutoFit/>
                                    </wps:bodyPr>
                                  </wps:wsp>
                                  <wps:wsp>
                                    <wps:cNvPr id="75" name="Rectangle 32"/>
                                    <wps:cNvSpPr>
                                      <a:spLocks noChangeArrowheads="1"/>
                                    </wps:cNvSpPr>
                                    <wps:spPr bwMode="auto">
                                      <a:xfrm>
                                        <a:off x="13300" y="17104"/>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T</w:t>
                                          </w:r>
                                        </w:p>
                                      </w:txbxContent>
                                    </wps:txbx>
                                    <wps:bodyPr rot="0" vert="horz" wrap="none" lIns="0" tIns="0" rIns="0" bIns="0" anchor="t" anchorCtr="0" upright="1">
                                      <a:spAutoFit/>
                                    </wps:bodyPr>
                                  </wps:wsp>
                                  <wps:wsp>
                                    <wps:cNvPr id="76" name="Rectangle 33"/>
                                    <wps:cNvSpPr>
                                      <a:spLocks noChangeArrowheads="1"/>
                                    </wps:cNvSpPr>
                                    <wps:spPr bwMode="auto">
                                      <a:xfrm>
                                        <a:off x="1042216" y="0"/>
                                        <a:ext cx="83801" cy="1866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GB"/>
                                            </w:rPr>
                                            <w:t></w:t>
                                          </w:r>
                                        </w:p>
                                      </w:txbxContent>
                                    </wps:txbx>
                                    <wps:bodyPr rot="0" vert="horz" wrap="none" lIns="0" tIns="0" rIns="0" bIns="0" anchor="t" anchorCtr="0" upright="1">
                                      <a:spAutoFit/>
                                    </wps:bodyPr>
                                  </wps:wsp>
                                  <wps:wsp>
                                    <wps:cNvPr id="77" name="Rectangle 34"/>
                                    <wps:cNvSpPr>
                                      <a:spLocks noChangeArrowheads="1"/>
                                    </wps:cNvSpPr>
                                    <wps:spPr bwMode="auto">
                                      <a:xfrm>
                                        <a:off x="490807" y="0"/>
                                        <a:ext cx="83901" cy="1866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GB"/>
                                            </w:rPr>
                                            <w:t></w:t>
                                          </w:r>
                                        </w:p>
                                      </w:txbxContent>
                                    </wps:txbx>
                                    <wps:bodyPr rot="0" vert="horz" wrap="none" lIns="0" tIns="0" rIns="0" bIns="0" anchor="t" anchorCtr="0" upright="1">
                                      <a:spAutoFit/>
                                    </wps:bodyPr>
                                  </wps:wsp>
                                </wpc:wpc>
                              </a:graphicData>
                            </a:graphic>
                          </wp:inline>
                        </w:drawing>
                      </mc:Choice>
                      <mc:Fallback>
                        <w:pict>
                          <v:group id="Canvas 116" o:spid="_x0000_s1026" editas="canvas" style="width:264.5pt;height:28.55pt;mso-position-horizontal-relative:char;mso-position-vertical-relative:line" coordsize="33591,3625"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jUi34UQYAAA1lAAAOAAAAZHJzL2Uyb0RvYy54bWzsXduO2zYQfS/QfxD07pikrhSiDRJ7XRRI 26BpP4CWZFuoLAmSst406L93SK1oey0HRZPlLqDZB6+uFC+jw+HMmdHrN/f7wrrLmjavytimr4ht ZWVSpXm5je0//1jNQttqO1GmoqjKLLY/Z6395ubHH14f6ihj1a4q0qyxoJCyjQ51bO+6ro7m8zbZ ZXvRvqrqrISTm6rZiw52m+08bcQBSt8Xc0aIPz9UTVo3VZK1LRxd9iftG1X+ZpMl3W+bTZt1VhHb ULdO/Tbqdy1/5zevRbRtRL3Lk4dqiP9Ri73IS3ioLmopOmF9avKLovZ50lRtteleJdV+Xm02eZKp NkBrKHnUmoUo70SrGpNA7wwVhK3vWO56K+tdVqu8KKA35lB6JI/J/wcYnwwOHmoYnbbW49R+2/M/ 7kSdqWa1UfLr3YfGylMQnpDZVin2ICW/w7iJcltkFqVyiOTz4cKP9YdGVrat31fJX61VVosdXJa9 bZrqsMtECvVS10MjTm6QOy3caq0Pv1QpFC8+dZUarftNs5cFwjhY97HthAEnvm19hmICStxeOrL7 zkrgLAsJARFK1FmPuf2TRDQUUjdt91NW7S25EdsNtEE9RNy9bzvZsyIaLjnrcREV5dkBuLA/Ak+G W+U5WQclTl844bfhbejOXObfzlyyXM7erhbuzF/RwFs6y8ViSf+Rz6VutMvTNCvlwA6iTd3/NnIP L1kvlFq426rIU1mcrFLbbNeLorHuBLxaK/Un+wsqf3LZ/Lwa6jS05VGTKHPJO8ZnKz8MZu7K9WY8 IOGMUP6O+8Tl7nJ13qT3eZl9e5OsQ2xzj3lqlE4q/ahtMOpy4C/aJqJ93gF4Ffk+tqVs9BeJSEri bZnCDSLqRF702yddIat/7ArosWGgldxKUe1Fvrtf30MpUn7XVfoZJLipQLJACAFxYWNXNX/b1gHQ K7ZLgFfbKn4u4R2QQDdsNMPGetgQZQI3xnZnW/3mousB8VPd5NsdlEv7HqnfwnuyypXsHusAFZc7 AAfGcMEZwQVmEBeoR32PQS3kq094yPxHyMC5RgbCGFPAAcOKyIDI8HTI0E+aw2swaYBwRwDCGXrG gOJAXeYwRq8CRMg9AmeV6oAAgaqDGdVBAYSeJycNEN4IQKhZWqoyJgDC4R7/CkAwubhAgMC1hV5e mVhbKIDQ8+SkAQJW/RemB8+kBuEQJ6QcNQgwh6Hx4WhYUWaFZzM+KIDQ8+SkASIYAQhlBjClQbDA 974CEIyjBoHWyVMDrTENQs+TkwYIcHRdaBCBQQ2Cs4BRMIRctVEiPiA+PAs+6Gly0vgAuv0FPoQG 8SF0YIEBHtYr+IAmyuseQPRuPpV3Uy0w9Cw5ZXzgYP67wAduEh8IrC+u4wNj6ONE/eFZ9Ac9S04a H8B/+BgfmDIMGTJABBT0B3RxSr4eGihflIFSz5ITxgd/hAIB/sYH9pgBDydQ9ygFHebK8oIhRep0 7kTypBHypFpegFQiidIfYUAwzQ0xgA+O4zEClUB8QPXhhDj+AvybxxCDKesPIwQIYDyb0x8gnoJD xMU1fEDzJJonTwNLDDIowSiG+oM/wn/o4xwMmR/At+mTr4RgIIES1xdnEGmM/kD1NDll/WGE/gCR deb0B8qYR667L1B/OHs50P5g0P6ABMrY9kfoD30YpSH9AQJ9ZQjWVfMDsqPQu3mqQZlTH/QsOWH1 IRhhPzDNCzFgnqSeR/gQ4g2pHy5CvD0XA7Qw+cMJRpoDCORPxnYwRn/QxBADAMF96g70asQHmYEJ k8PInFKaGXme+MakfVLPk1NWIEZyRzFNDDGAD+C+CIbcUYgPiA8PibFeAj7oaXLK+DCSQ8rRxBAD +ECpT0IKXhRpgbhMLkchLYwD9Ighu5w/xPxiDinMIfXUOaT0PDllgBghUDpGCZTEg9xy1/AhBPPE kCAm8BjCwwmHCMOz9CLkOyefVPzJY5TBlOFhhD/paGKICf3BcaQBclx7QHRA7+YzsaOOQQZTRocR 9qSjaSEm0AE8Foz2qavVyqFPGS3TVodOqHNPhr7vYnLaY/ASag5PqznoCXLK2DDCnHQ0JcQANric hKQ3PFxAA0doQKfmczg1j7EFLxMa1Gcw4BMYKk3/w/dB5Ec9TvdVJvzjV0xu/gUAAP//AwBQSwME FAAGAAgAAAAhAOgkPMnZAAAABAEAAA8AAABkcnMvZG93bnJldi54bWxMj8FuwjAQRO+V+g/WVuJW HJBK2zQOqpDoCQ4J/QATb5OQeB3FJpi/Z+mlvax2NKvZN9k62l5MOPrWkYLFPAGBVDnTUq3g+7B9 fgPhgyaje0eo4Ioe1vnjQ6ZT4y5U4FSGWnAI+VQraEIYUil91aDVfu4GJPZ+3Gh1YDnW0oz6wuG2 l8skWUmrW+IPjR5w02DVlWer4CS31+JrU+Cp2+3rzpRxtZuiUrOn+PkBImAMf8dwx2d0yJnp6M5k vOgVcJHwO9l7Wb6zPPLyugCZZ/I/fH4DAAD//wMAUEsBAi0AFAAGAAgAAAAhALaDOJL+AAAA4QEA ABMAAAAAAAAAAAAAAAAAAAAAAFtDb250ZW50X1R5cGVzXS54bWxQSwECLQAUAAYACAAAACEAOP0h /9YAAACUAQAACwAAAAAAAAAAAAAAAAAvAQAAX3JlbHMvLnJlbHNQSwECLQAUAAYACAAAACEAY1It +FEGAAANZQAADgAAAAAAAAAAAAAAAAAuAgAAZHJzL2Uyb0RvYy54bWxQSwECLQAUAAYACAAAACEA 6CQ8ydkAAAAEAQAADwAAAAAAAAAAAAAAAACrCAAAZHJzL2Rvd25yZXYueG1sUEsFBgAAAAAEAAQA 8wAAALEJAAAAAA== ">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3591;height:3625;visibility:visible;mso-wrap-style:square">
                              <v:fill o:detectmouseclick="t"/>
                              <v:path o:connecttype="none"/>
                            </v:shape>
                            <v:rect id="Rectangle 11" o:spid="_x0000_s1028" style="position:absolute;left:3879;top:171;width:28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laHWL8A AADcAAAADwAAAGRycy9kb3ducmV2LnhtbERPzYrCMBC+L/gOYQRva7o9SKlGkQVBFy/WfYChmf5g MilJtN23N4Kwt/n4fmezm6wRD/Khd6zga5mBIK6d7rlV8Hs9fBYgQkTWaByTgj8KsNvOPjZYajfy hR5VbEUK4VCigi7GoZQy1B1ZDEs3ECeucd5iTNC3UnscU7g1Ms+ylbTYc2rocKDvjupbdbcK5LU6 jEVlfOZ+8uZsTsdLQ06pxXzar0FEmuK/+O0+6jS/yOH1TLpAbp8AAAD//wMAUEsBAi0AFAAGAAgA AAAhAPD3irv9AAAA4gEAABMAAAAAAAAAAAAAAAAAAAAAAFtDb250ZW50X1R5cGVzXS54bWxQSwEC LQAUAAYACAAAACEAMd1fYdIAAACPAQAACwAAAAAAAAAAAAAAAAAuAQAAX3JlbHMvLnJlbHNQSwEC LQAUAAYACAAAACEAMy8FnkEAAAA5AAAAEAAAAAAAAAAAAAAAAAApAgAAZHJzL3NoYXBleG1sLnht bFBLAQItABQABgAIAAAAIQCaVodYvwAAANwAAAAPAAAAAAAAAAAAAAAAAJgCAABkcnMvZG93bnJl di54bWxQSwUGAAAAAAQABAD1AAAAhAMAAAAA " filled="f" stroked="f">
                              <v:textbox style="mso-fit-shape-to-text:t" inset="0,0,0,0">
                                <w:txbxContent>
                                  <w:p>
                                    <w:pPr>
                                      <w:rPr>
                                        <w:szCs w:val="24"/>
                                        <w:lang w:val="en-GB"/>
                                      </w:rPr>
                                    </w:pPr>
                                    <w:r>
                                      <w:rPr>
                                        <w:color w:val="000000"/>
                                        <w:szCs w:val="24"/>
                                        <w:lang w:val="en-GB"/>
                                      </w:rPr>
                                      <w:t>'</w:t>
                                    </w:r>
                                  </w:p>
                                </w:txbxContent>
                              </v:textbox>
                            </v:rect>
                            <v:rect id="Rectangle 12" o:spid="_x0000_s1029" style="position:absolute;left:15165;top:1098;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9Roiw78A AADcAAAADwAAAGRycy9kb3ducmV2LnhtbERP24rCMBB9X/Afwgi+rakuLKVrFBEEXXyx7gcMzfSC yaQk0da/N4Kwb3M411ltRmvEnXzoHCtYzDMQxJXTHTcK/i77zxxEiMgajWNS8KAAm/XkY4WFdgOf 6V7GRqQQDgUqaGPsCylD1ZLFMHc9ceJq5y3GBH0jtcchhVsjl1n2LS12nBpa7GnXUnUtb1aBvJT7 IS+Nz9zvsj6Z4+Fck1NqNh23PyAijfFf/HYfdJqff8HrmXSBXD8BAAD//wMAUEsBAi0AFAAGAAgA AAAhAPD3irv9AAAA4gEAABMAAAAAAAAAAAAAAAAAAAAAAFtDb250ZW50X1R5cGVzXS54bWxQSwEC LQAUAAYACAAAACEAMd1fYdIAAACPAQAACwAAAAAAAAAAAAAAAAAuAQAAX3JlbHMvLnJlbHNQSwEC LQAUAAYACAAAACEAMy8FnkEAAAA5AAAAEAAAAAAAAAAAAAAAAAApAgAAZHJzL3NoYXBleG1sLnht bFBLAQItABQABgAIAAAAIQD1GiLD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w:t>
                                    </w:r>
                                  </w:p>
                                </w:txbxContent>
                              </v:textbox>
                            </v:rect>
                            <v:rect id="Rectangle 13" o:spid="_x0000_s1030" style="position:absolute;left:14232;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vO6t78A AADcAAAADwAAAGRycy9kb3ducmV2LnhtbERP24rCMBB9X/Afwgi+ramyLKVrFBEEXXyx7gcMzfSC yaQk0da/N4Kwb3M411ltRmvEnXzoHCtYzDMQxJXTHTcK/i77zxxEiMgajWNS8KAAm/XkY4WFdgOf 6V7GRqQQDgUqaGPsCylD1ZLFMHc9ceJq5y3GBH0jtcchhVsjl1n2LS12nBpa7GnXUnUtb1aBvJT7 IS+Nz9zvsj6Z4+Fck1NqNh23PyAijfFf/HYfdJqff8HrmXSBXD8BAAD//wMAUEsBAi0AFAAGAAgA AAAhAPD3irv9AAAA4gEAABMAAAAAAAAAAAAAAAAAAAAAAFtDb250ZW50X1R5cGVzXS54bWxQSwEC LQAUAAYACAAAACEAMd1fYdIAAACPAQAACwAAAAAAAAAAAAAAAAAuAQAAX3JlbHMvLnJlbHNQSwEC LQAUAAYACAAAACEAMy8FnkEAAAA5AAAAEAAAAAAAAAAAAAAAAAApAgAAZHJzL3NoYXBleG1sLnht bFBLAQItABQABgAIAAAAIQB687q3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04</w:t>
                                    </w:r>
                                  </w:p>
                                </w:txbxContent>
                              </v:textbox>
                            </v:rect>
                            <v:rect id="Rectangle 14" o:spid="_x0000_s1031" style="position:absolute;left:13959;top:1098;width:22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b8fLL8A AADcAAAADwAAAGRycy9kb3ducmV2LnhtbERP24rCMBB9X/Afwgi+ranCLqVrFBEEXXyx7gcMzfSC yaQk0da/N4Kwb3M411ltRmvEnXzoHCtYzDMQxJXTHTcK/i77zxxEiMgajWNS8KAAm/XkY4WFdgOf 6V7GRqQQDgUqaGPsCylD1ZLFMHc9ceJq5y3GBH0jtcchhVsjl1n2LS12nBpa7GnXUnUtb1aBvJT7 IS+Nz9zvsj6Z4+Fck1NqNh23PyAijfFf/HYfdJqff8HrmXSBXD8BAAD//wMAUEsBAi0AFAAGAAgA AAAhAPD3irv9AAAA4gEAABMAAAAAAAAAAAAAAAAAAAAAAFtDb250ZW50X1R5cGVzXS54bWxQSwEC LQAUAAYACAAAACEAMd1fYdIAAACPAQAACwAAAAAAAAAAAAAAAAAuAQAAX3JlbHMvLnJlbHNQSwEC LQAUAAYACAAAACEAMy8FnkEAAAA5AAAAEAAAAAAAAAAAAAAAAAApAgAAZHJzL3NoYXBleG1sLnht bFBLAQItABQABgAIAAAAIQAVvx8s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w:t>
                                    </w:r>
                                  </w:p>
                                </w:txbxContent>
                              </v:textbox>
                            </v:rect>
                            <v:rect id="Rectangle 15" o:spid="_x0000_s1032" style="position:absolute;left:13038;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5W2BW74A AADcAAAADwAAAGRycy9kb3ducmV2LnhtbERPzYrCMBC+L/gOYYS9rakepHSNIoKgsherDzA00x82 mZQk2vr2RhC8zcf3O6vNaI24kw+dYwXzWQaCuHK640bB9bL/yUGEiKzROCYFDwqwWU++VlhoN/CZ 7mVsRArhUKCCNsa+kDJULVkMM9cTJ6523mJM0DdSexxSuDVykWVLabHj1NBiT7uWqv/yZhXIS7kf 8tL4zJ0W9Z85Hs41OaW+p+P2F0SkMX7Eb/dBp/n5El7PpAvk+gkAAP//AwBQSwECLQAUAAYACAAA ACEA8PeKu/0AAADiAQAAEwAAAAAAAAAAAAAAAAAAAAAAW0NvbnRlbnRfVHlwZXNdLnhtbFBLAQIt ABQABgAIAAAAIQAx3V9h0gAAAI8BAAALAAAAAAAAAAAAAAAAAC4BAABfcmVscy8ucmVsc1BLAQIt ABQABgAIAAAAIQAzLwWeQQAAADkAAAAQAAAAAAAAAAAAAAAAACkCAABkcnMvc2hhcGV4bWwueG1s UEsBAi0AFAAGAAgAAAAhAOVtgVu+AAAA3AAAAA8AAAAAAAAAAAAAAAAAmAIAAGRycy9kb3ducmV2 LnhtbFBLBQYAAAAABAAEAPUAAACDAwAAAAA= " filled="f" stroked="f">
                              <v:textbox style="mso-fit-shape-to-text:t" inset="0,0,0,0">
                                <w:txbxContent>
                                  <w:p>
                                    <w:pPr>
                                      <w:rPr>
                                        <w:szCs w:val="24"/>
                                        <w:lang w:val="en-GB"/>
                                      </w:rPr>
                                    </w:pPr>
                                    <w:r>
                                      <w:rPr>
                                        <w:color w:val="000000"/>
                                        <w:sz w:val="14"/>
                                        <w:szCs w:val="14"/>
                                        <w:lang w:val="en-GB"/>
                                      </w:rPr>
                                      <w:t>10</w:t>
                                    </w:r>
                                  </w:p>
                                </w:txbxContent>
                              </v:textbox>
                            </v:rect>
                            <v:rect id="Rectangle 16" o:spid="_x0000_s1033" style="position:absolute;left:12765;top:1098;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iEkwL8A AADcAAAADwAAAGRycy9kb3ducmV2LnhtbERPzYrCMBC+L/gOYQRva6qH3dI1igiCLl6s+wBDM/3B ZFKSaOvbG0HY23x8v7PajNaIO/nQOVawmGcgiCunO24U/F32nzmIEJE1Gsek4EEBNuvJxwoL7QY+ 072MjUghHApU0MbYF1KGqiWLYe564sTVzluMCfpGao9DCrdGLrPsS1rsODW02NOupepa3qwCeSn3 Q14an7nfZX0yx8O5JqfUbDpuf0BEGuO/+O0+6DQ//4bXM+kCuX4CAAD//wMAUEsBAi0AFAAGAAgA AAAhAPD3irv9AAAA4gEAABMAAAAAAAAAAAAAAAAAAAAAAFtDb250ZW50X1R5cGVzXS54bWxQSwEC LQAUAAYACAAAACEAMd1fYdIAAACPAQAACwAAAAAAAAAAAAAAAAAuAQAAX3JlbHMvLnJlbHNQSwEC LQAUAAYACAAAACEAMy8FnkEAAAA5AAAAEAAAAAAAAAAAAAAAAAApAgAAZHJzL3NoYXBleG1sLnht bFBLAQItABQABgAIAAAAIQCKISTA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w:t>
                                    </w:r>
                                  </w:p>
                                </w:txbxContent>
                              </v:textbox>
                            </v:rect>
                            <v:rect id="Rectangle 17" o:spid="_x0000_s1034" style="position:absolute;left:9272;top:1098;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6wssMA AADcAAAADwAAAGRycy9kb3ducmV2LnhtbESPzWoDMQyE74G8g1Ght8TbHMKyjRNKIZCGXLLpA4i1 9ofa8mI72e3bR4dCbxIzmvm0O8zeqQfFNAQ28LYuQBE3wQ7cGfi+HVclqJSRLbrAZOCXEhz2y8UO KxsmvtKjzp2SEE4VGuhzHiutU9OTx7QOI7FobYges6yx0zbiJOHe6U1RbLXHgaWhx5E+e2p+6rs3 oG/1cSprF4tw3rQX93W6thSMeX2ZP95BZZrzv/nv+mQFvxRaeUYm0PsnAAAA//8DAFBLAQItABQA BgAIAAAAIQDw94q7/QAAAOIBAAATAAAAAAAAAAAAAAAAAAAAAABbQ29udGVudF9UeXBlc10ueG1s UEsBAi0AFAAGAAgAAAAhADHdX2HSAAAAjwEAAAsAAAAAAAAAAAAAAAAALgEAAF9yZWxzLy5yZWxz UEsBAi0AFAAGAAgAAAAhADMvBZ5BAAAAOQAAABAAAAAAAAAAAAAAAAAAKQIAAGRycy9zaGFwZXht bC54bWxQSwECLQAUAAYACAAAACEA+76wssMAAADcAAAADwAAAAAAAAAAAAAAAACYAgAAZHJzL2Rv d25yZXYueG1sUEsFBgAAAAAEAAQA9QAAAIgDAAAAAA== " filled="f" stroked="f">
                              <v:textbox style="mso-fit-shape-to-text:t" inset="0,0,0,0">
                                <w:txbxContent>
                                  <w:p>
                                    <w:pPr>
                                      <w:rPr>
                                        <w:szCs w:val="24"/>
                                        <w:lang w:val="en-GB"/>
                                      </w:rPr>
                                    </w:pPr>
                                    <w:r>
                                      <w:rPr>
                                        <w:color w:val="000000"/>
                                        <w:sz w:val="14"/>
                                        <w:szCs w:val="14"/>
                                        <w:lang w:val="en-GB"/>
                                      </w:rPr>
                                      <w:t>)</w:t>
                                    </w:r>
                                  </w:p>
                                </w:txbxContent>
                              </v:textbox>
                            </v:rect>
                            <v:rect id="Rectangle 18" o:spid="_x0000_s1035" style="position:absolute;left:8338;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lPIVKb8A AADcAAAADwAAAGRycy9kb3ducmV2LnhtbERPzYrCMBC+L/gOYQRva6qHpds1igiCLl6s+wBDM/3B ZFKSaOvbG0HY23x8v7PajNaIO/nQOVawmGcgiCunO24U/F32nzmIEJE1Gsek4EEBNuvJxwoL7QY+ 072MjUghHApU0MbYF1KGqiWLYe564sTVzluMCfpGao9DCrdGLrPsS1rsODW02NOupepa3qwCeSn3 Q14an7nfZX0yx8O5JqfUbDpuf0BEGuO/+O0+6DQ//4bXM+kCuX4CAAD//wMAUEsBAi0AFAAGAAgA AAAhAPD3irv9AAAA4gEAABMAAAAAAAAAAAAAAAAAAAAAAFtDb250ZW50X1R5cGVzXS54bWxQSwEC LQAUAAYACAAAACEAMd1fYdIAAACPAQAACwAAAAAAAAAAAAAAAAAuAQAAX3JlbHMvLnJlbHNQSwEC LQAUAAYACAAAACEAMy8FnkEAAAA5AAAAEAAAAAAAAAAAAAAAAAApAgAAZHJzL3NoYXBleG1sLnht bFBLAQItABQABgAIAAAAIQCU8hUp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04</w:t>
                                    </w:r>
                                  </w:p>
                                </w:txbxContent>
                              </v:textbox>
                            </v:rect>
                            <v:rect id="Rectangle 19" o:spid="_x0000_s1036" style="position:absolute;left:8065;top:1098;width:22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BEqacMA AADcAAAADwAAAGRycy9kb3ducmV2LnhtbESPT2sCMRDF70K/Q5hCb5qth6Jbo5SCoMWLqx9g2Mz+ oclkSVJ3/fadg+Bthvfmvd9sdpN36kYx9YENvC8KUMR1sD23Bq6X/XwFKmVkiy4wGbhTgt32ZbbB 0oaRz3SrcqskhFOJBrqch1LrVHfkMS3CQCxaE6LHLGtstY04Srh3elkUH9pjz9LQ4UDfHdW/1Z83 oC/VflxVLhbhZ9mc3PFwbigY8/Y6fX2CyjTlp/lxfbCCvxZ8eUYm0Nt/AAAA//8DAFBLAQItABQA BgAIAAAAIQDw94q7/QAAAOIBAAATAAAAAAAAAAAAAAAAAAAAAABbQ29udGVudF9UeXBlc10ueG1s UEsBAi0AFAAGAAgAAAAhADHdX2HSAAAAjwEAAAsAAAAAAAAAAAAAAAAALgEAAF9yZWxzLy5yZWxz UEsBAi0AFAAGAAgAAAAhADMvBZ5BAAAAOQAAABAAAAAAAAAAAAAAAAAAKQIAAGRycy9zaGFwZXht bC54bWxQSwECLQAUAAYACAAAACEAgBEqacMAAADcAAAADwAAAAAAAAAAAAAAAACYAgAAZHJzL2Rv d25yZXYueG1sUEsFBgAAAAAEAAQA9QAAAIgDAAAAAA== " filled="f" stroked="f">
                              <v:textbox style="mso-fit-shape-to-text:t" inset="0,0,0,0">
                                <w:txbxContent>
                                  <w:p>
                                    <w:pPr>
                                      <w:rPr>
                                        <w:szCs w:val="24"/>
                                        <w:lang w:val="en-GB"/>
                                      </w:rPr>
                                    </w:pPr>
                                    <w:r>
                                      <w:rPr>
                                        <w:color w:val="000000"/>
                                        <w:sz w:val="14"/>
                                        <w:szCs w:val="14"/>
                                        <w:lang w:val="en-GB"/>
                                      </w:rPr>
                                      <w:t>,</w:t>
                                    </w:r>
                                  </w:p>
                                </w:txbxContent>
                              </v:textbox>
                            </v:rect>
                            <v:rect id="Rectangle 20" o:spid="_x0000_s1037" style="position:absolute;left:7138;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12P8r8A AADcAAAADwAAAGRycy9kb3ducmV2LnhtbERPzYrCMBC+L/gOYQRva6qHxa1GEUHQxYvVBxia6Q8m k5JEW9/eCMLe5uP7ndVmsEY8yIfWsYLZNANBXDrdcq3getl/L0CEiKzROCYFTwqwWY++Vphr1/OZ HkWsRQrhkKOCJsYulzKUDVkMU9cRJ65y3mJM0NdSe+xTuDVynmU/0mLLqaHBjnYNlbfibhXIS7Hv F4XxmfubVydzPJwrckpNxsN2CSLSEP/FH/dBp/m/M3g/ky6Q6xcAAAD//wMAUEsBAi0AFAAGAAgA AAAhAPD3irv9AAAA4gEAABMAAAAAAAAAAAAAAAAAAAAAAFtDb250ZW50X1R5cGVzXS54bWxQSwEC LQAUAAYACAAAACEAMd1fYdIAAACPAQAACwAAAAAAAAAAAAAAAAAuAQAAX3JlbHMvLnJlbHNQSwEC LQAUAAYACAAAACEAMy8FnkEAAAA5AAAAEAAAAAAAAAAAAAAAAAApAgAAZHJzL3NoYXBleG1sLnht bFBLAQItABQABgAIAAAAIQDvXY/y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10</w:t>
                                    </w:r>
                                  </w:p>
                                </w:txbxContent>
                              </v:textbox>
                            </v:rect>
                            <v:rect id="Rectangle 21" o:spid="_x0000_s1038" style="position:absolute;left:6871;top:1098;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cwtj/MAA AADbAAAADwAAAGRycy9kb3ducmV2LnhtbESPzYoCMRCE7wu+Q2jB25pRRGQ0igiCK14cfYBm0vOD SWdIojP79kZY2GNRVV9Rm91gjXiRD61jBbNpBoK4dLrlWsH9dvxegQgRWaNxTAp+KcBuO/raYK5d z1d6FbEWCcIhRwVNjF0uZSgbshimriNOXuW8xZikr6X22Ce4NXKeZUtpseW00GBHh4bKR/G0CuSt OParwvjMnefVxfycrhU5pSbjYb8GEWmI/+G/9kkrWC7g8yX9ALl9AwAA//8DAFBLAQItABQABgAI AAAAIQDw94q7/QAAAOIBAAATAAAAAAAAAAAAAAAAAAAAAABbQ29udGVudF9UeXBlc10ueG1sUEsB Ai0AFAAGAAgAAAAhADHdX2HSAAAAjwEAAAsAAAAAAAAAAAAAAAAALgEAAF9yZWxzLy5yZWxzUEsB Ai0AFAAGAAgAAAAhADMvBZ5BAAAAOQAAABAAAAAAAAAAAAAAAAAAKQIAAGRycy9zaGFwZXhtbC54 bWxQSwECLQAUAAYACAAAACEAcwtj/M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w:t>
                                    </w:r>
                                  </w:p>
                                </w:txbxContent>
                              </v:textbox>
                            </v:rect>
                            <v:rect id="Rectangle 22" o:spid="_x0000_s1039" style="position:absolute;left:3352;top:1098;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EfGZ8AA AADbAAAADwAAAGRycy9kb3ducmV2LnhtbESPzYoCMRCE7wu+Q2jB25pRUGQ0igiCK14cfYBm0vOD SWdIojP79kZY2GNRVV9Rm91gjXiRD61jBbNpBoK4dLrlWsH9dvxegQgRWaNxTAp+KcBuO/raYK5d z1d6FbEWCcIhRwVNjF0uZSgbshimriNOXuW8xZikr6X22Ce4NXKeZUtpseW00GBHh4bKR/G0CuSt OParwvjMnefVxfycrhU5pSbjYb8GEWmI/+G/9kkrWC7g8yX9ALl9AwAA//8DAFBLAQItABQABgAI AAAAIQDw94q7/QAAAOIBAAATAAAAAAAAAAAAAAAAAAAAAABbQ29udGVudF9UeXBlc10ueG1sUEsB Ai0AFAAGAAgAAAAhADHdX2HSAAAAjwEAAAsAAAAAAAAAAAAAAAAALgEAAF9yZWxzLy5yZWxzUEsB Ai0AFAAGAAgAAAAhADMvBZ5BAAAAOQAAABAAAAAAAAAAAAAAAAAAKQIAAGRycy9zaGFwZXhtbC54 bWxQSwECLQAUAAYACAAAACEAHEfGZ8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w:t>
                                    </w:r>
                                  </w:p>
                                </w:txbxContent>
                              </v:textbox>
                            </v:rect>
                            <v:rect id="Rectangle 23" o:spid="_x0000_s1040" style="position:absolute;left:2419;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JVYEMAA AADbAAAADwAAAGRycy9kb3ducmV2LnhtbESPzYoCMRCE7wu+Q2jB25rRwyCzRhFBUPHiuA/QTHp+ 2KQzJNEZ394Iwh6LqvqKWm9Ha8SDfOgcK1jMMxDEldMdNwp+b4fvFYgQkTUax6TgSQG2m8nXGgvt Br7So4yNSBAOBSpoY+wLKUPVksUwdz1x8mrnLcYkfSO1xyHBrZHLLMulxY7TQos97Vuq/sq7VSBv 5WFYlcZn7rysL+Z0vNbklJpNx90PiEhj/A9/2ketIM/h/SX9ALl5AQAA//8DAFBLAQItABQABgAI AAAAIQDw94q7/QAAAOIBAAATAAAAAAAAAAAAAAAAAAAAAABbQ29udGVudF9UeXBlc10ueG1sUEsB Ai0AFAAGAAgAAAAhADHdX2HSAAAAjwEAAAsAAAAAAAAAAAAAAAAALgEAAF9yZWxzLy5yZWxzUEsB Ai0AFAAGAAgAAAAhADMvBZ5BAAAAOQAAABAAAAAAAAAAAAAAAAAAKQIAAGRycy9zaGFwZXhtbC54 bWxQSwECLQAUAAYACAAAACEA7JVYEM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04</w:t>
                                    </w:r>
                                  </w:p>
                                </w:txbxContent>
                              </v:textbox>
                            </v:rect>
                            <v:rect id="Rectangle 24" o:spid="_x0000_s1041" style="position:absolute;left:2146;top:1098;width:22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9n9i8AA AADbAAAADwAAAGRycy9kb3ducmV2LnhtbESPzYoCMRCE7wu+Q2jB25rRgyujUUQQXPHi6AM0k54f TDpDEp3ZtzeCsMeiqr6i1tvBGvEkH1rHCmbTDARx6XTLtYLb9fC9BBEiskbjmBT8UYDtZvS1xly7 ni/0LGItEoRDjgqaGLtcylA2ZDFMXUecvMp5izFJX0vtsU9wa+Q8yxbSYstpocGO9g2V9+JhFchr ceiXhfGZO82rs/k9XipySk3Gw24FItIQ/8Of9lErWPzA+0v6AXLzAgAA//8DAFBLAQItABQABgAI AAAAIQDw94q7/QAAAOIBAAATAAAAAAAAAAAAAAAAAAAAAABbQ29udGVudF9UeXBlc10ueG1sUEsB Ai0AFAAGAAgAAAAhADHdX2HSAAAAjwEAAAsAAAAAAAAAAAAAAAAALgEAAF9yZWxzLy5yZWxzUEsB Ai0AFAAGAAgAAAAhADMvBZ5BAAAAOQAAABAAAAAAAAAAAAAAAAAAKQIAAGRycy9zaGFwZXhtbC54 bWxQSwECLQAUAAYACAAAACEAg9n9i8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w:t>
                                    </w:r>
                                  </w:p>
                                </w:txbxContent>
                              </v:textbox>
                            </v:rect>
                            <v:rect id="Rectangle 25" o:spid="_x0000_s1042" style="position:absolute;left:1225;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8kZp+b0A AADbAAAADwAAAGRycy9kb3ducmV2LnhtbERPy4rCMBTdC/5DuII7m+pCpBpFBEEHN9b5gEtz+8Dk piTRdv7eLIRZHs57dxitEW/yoXOsYJnlIIgrpztuFPw+zosNiBCRNRrHpOCPAhz208kOC+0GvtO7 jI1IIRwKVNDG2BdShqoliyFzPXHiauctxgR9I7XHIYVbI1d5vpYWO04NLfZ0aql6li+rQD7K87Ap jc/dz6q+mevlXpNTaj4bj1sQkcb4L/66L1rBOo1NX9IPkPsPAAAA//8DAFBLAQItABQABgAIAAAA IQDw94q7/QAAAOIBAAATAAAAAAAAAAAAAAAAAAAAAABbQ29udGVudF9UeXBlc10ueG1sUEsBAi0A FAAGAAgAAAAhADHdX2HSAAAAjwEAAAsAAAAAAAAAAAAAAAAALgEAAF9yZWxzLy5yZWxzUEsBAi0A FAAGAAgAAAAhADMvBZ5BAAAAOQAAABAAAAAAAAAAAAAAAAAAKQIAAGRycy9zaGFwZXhtbC54bWxQ SwECLQAUAAYACAAAACEA8kZp+b0AAADbAAAADwAAAAAAAAAAAAAAAACYAgAAZHJzL2Rvd25yZXYu eG1sUEsFBgAAAAAEAAQA9QAAAIIDAAAAAA== " filled="f" stroked="f">
                              <v:textbox style="mso-fit-shape-to-text:t" inset="0,0,0,0">
                                <w:txbxContent>
                                  <w:p>
                                    <w:pPr>
                                      <w:rPr>
                                        <w:szCs w:val="24"/>
                                        <w:lang w:val="en-GB"/>
                                      </w:rPr>
                                    </w:pPr>
                                    <w:r>
                                      <w:rPr>
                                        <w:color w:val="000000"/>
                                        <w:sz w:val="14"/>
                                        <w:szCs w:val="14"/>
                                        <w:lang w:val="en-GB"/>
                                      </w:rPr>
                                      <w:t>10</w:t>
                                    </w:r>
                                  </w:p>
                                </w:txbxContent>
                              </v:textbox>
                            </v:rect>
                            <v:rect id="Rectangle 26" o:spid="_x0000_s1043" style="position:absolute;left:952;top:1098;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QrMYsAA AADbAAAADwAAAGRycy9kb3ducmV2LnhtbESPzYoCMRCE7wu+Q2jB25rRg7ijUUQQXPHi6AM0k54f TDpDEp3ZtzeCsMeiqr6i1tvBGvEkH1rHCmbTDARx6XTLtYLb9fC9BBEiskbjmBT8UYDtZvS1xly7 ni/0LGItEoRDjgqaGLtcylA2ZDFMXUecvMp5izFJX0vtsU9wa+Q8yxbSYstpocGO9g2V9+JhFchr ceiXhfGZO82rs/k9XipySk3Gw24FItIQ/8Of9lErWPzA+0v6AXLzAgAA//8DAFBLAQItABQABgAI AAAAIQDw94q7/QAAAOIBAAATAAAAAAAAAAAAAAAAAAAAAABbQ29udGVudF9UeXBlc10ueG1sUEsB Ai0AFAAGAAgAAAAhADHdX2HSAAAAjwEAAAsAAAAAAAAAAAAAAAAALgEAAF9yZWxzLy5yZWxzUEsB Ai0AFAAGAAgAAAAhADMvBZ5BAAAAOQAAABAAAAAAAAAAAAAAAAAAKQIAAGRycy9zaGFwZXhtbC54 bWxQSwECLQAUAAYACAAAACEAnQrMYs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w:t>
                                    </w:r>
                                  </w:p>
                                </w:txbxContent>
                              </v:textbox>
                            </v:rect>
                            <v:rect id="Rectangle 27" o:spid="_x0000_s1044" style="position:absolute;left:15509;top:1104;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enzIr8A AADbAAAADwAAAGRycy9kb3ducmV2LnhtbERPS2rDMBDdF3IHMYXsarlepMGxEkohkIZu4uQAgzX+ EGlkJMV2bx8tCl0+3r86LNaIiXwYHCt4z3IQxI3TA3cKbtfj2xZEiMgajWNS8EsBDvvVS4WldjNf aKpjJ1IIhxIV9DGOpZSh6cliyNxInLjWeYsxQd9J7XFO4dbIIs830uLAqaHHkb56au71wyqQ1/o4 b2vjc3cu2h/zfbq05JRavy6fOxCRlvgv/nOftIKPtD59ST9A7p8AAAD//wMAUEsBAi0AFAAGAAgA AAAhAPD3irv9AAAA4gEAABMAAAAAAAAAAAAAAAAAAAAAAFtDb250ZW50X1R5cGVzXS54bWxQSwEC LQAUAAYACAAAACEAMd1fYdIAAACPAQAACwAAAAAAAAAAAAAAAAAuAQAAX3JlbHMvLnJlbHNQSwEC LQAUAAYACAAAACEAMy8FnkEAAAA5AAAAEAAAAAAAAAAAAAAAAAApAgAAZHJzL3NoYXBleG1sLnht bFBLAQItABQABgAIAAAAIQCJ6fMivwAAANsAAAAPAAAAAAAAAAAAAAAAAJgCAABkcnMvZG93bnJl di54bWxQSwUGAAAAAAQABAD1AAAAhAMAAAAA " filled="f" stroked="f">
                              <v:textbox style="mso-fit-shape-to-text:t" inset="0,0,0,0">
                                <w:txbxContent>
                                  <w:p>
                                    <w:pPr>
                                      <w:rPr>
                                        <w:szCs w:val="24"/>
                                        <w:lang w:val="en-GB"/>
                                      </w:rPr>
                                    </w:pPr>
                                    <w:r>
                                      <w:rPr>
                                        <w:i/>
                                        <w:iCs/>
                                        <w:color w:val="000000"/>
                                        <w:sz w:val="14"/>
                                        <w:szCs w:val="14"/>
                                        <w:lang w:val="en-GB"/>
                                      </w:rPr>
                                      <w:t>t</w:t>
                                    </w:r>
                                  </w:p>
                                </w:txbxContent>
                              </v:textbox>
                            </v:rect>
                            <v:rect id="Rectangle 28" o:spid="_x0000_s1045" style="position:absolute;left:9614;top:1104;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5qVWucAA AADbAAAADwAAAGRycy9kb3ducmV2LnhtbESPzYoCMRCE7wu+Q2jB25rRw66MRhFB0MWLow/QTHp+ MOkMSXTGtzeCsMeiqr6iVpvBGvEgH1rHCmbTDARx6XTLtYLrZf+9ABEiskbjmBQ8KcBmPfpaYa5d z2d6FLEWCcIhRwVNjF0uZSgbshimriNOXuW8xZikr6X22Ce4NXKeZT/SYstpocGOdg2Vt+JuFchL se8XhfGZ+5tXJ3M8nCtySk3Gw3YJItIQ/8Of9kEr+J3B+0v6AXL9AgAA//8DAFBLAQItABQABgAI AAAAIQDw94q7/QAAAOIBAAATAAAAAAAAAAAAAAAAAAAAAABbQ29udGVudF9UeXBlc10ueG1sUEsB Ai0AFAAGAAgAAAAhADHdX2HSAAAAjwEAAAsAAAAAAAAAAAAAAAAALgEAAF9yZWxzLy5yZWxzUEsB Ai0AFAAGAAgAAAAhADMvBZ5BAAAAOQAAABAAAAAAAAAAAAAAAAAAKQIAAGRycy9zaGFwZXhtbC54 bWxQSwECLQAUAAYACAAAACEA5qVWucAAAADbAAAADwAAAAAAAAAAAAAAAACYAgAAZHJzL2Rvd25y ZXYueG1sUEsFBgAAAAAEAAQA9QAAAIUDAAAAAA== " filled="f" stroked="f">
                              <v:textbox style="mso-fit-shape-to-text:t" inset="0,0,0,0">
                                <w:txbxContent>
                                  <w:p>
                                    <w:pPr>
                                      <w:rPr>
                                        <w:szCs w:val="24"/>
                                        <w:lang w:val="en-GB"/>
                                      </w:rPr>
                                    </w:pPr>
                                    <w:r>
                                      <w:rPr>
                                        <w:i/>
                                        <w:iCs/>
                                        <w:color w:val="000000"/>
                                        <w:sz w:val="14"/>
                                        <w:szCs w:val="14"/>
                                        <w:lang w:val="en-GB"/>
                                      </w:rPr>
                                      <w:t>t</w:t>
                                    </w:r>
                                  </w:p>
                                </w:txbxContent>
                              </v:textbox>
                            </v:rect>
                            <v:rect id="Rectangle 29" o:spid="_x0000_s1046" style="position:absolute;left:4197;top:1104;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nfIzsEA AADbAAAADwAAAGRycy9kb3ducmV2LnhtbESPzYoCMRCE74LvEFrYm2acgyuzRhFBUNmL4z5AM+n5 waQzJNEZ394sLOyxqKqvqM1utEY8yYfOsYLlIgNBXDndcaPg53acr0GEiKzROCYFLwqw204nGyy0 G/hKzzI2IkE4FKigjbEvpAxVSxbDwvXEyaudtxiT9I3UHocEt0bmWbaSFjtOCy32dGipupcPq0De yuOwLo3P3CWvv835dK3JKfUxG/dfICKN8T/81z5pBZ85/H5JP0Bu3wAAAP//AwBQSwECLQAUAAYA CAAAACEA8PeKu/0AAADiAQAAEwAAAAAAAAAAAAAAAAAAAAAAW0NvbnRlbnRfVHlwZXNdLnhtbFBL AQItABQABgAIAAAAIQAx3V9h0gAAAI8BAAALAAAAAAAAAAAAAAAAAC4BAABfcmVscy8ucmVsc1BL AQItABQABgAIAAAAIQAzLwWeQQAAADkAAAAQAAAAAAAAAAAAAAAAACkCAABkcnMvc2hhcGV4bWwu eG1sUEsBAi0AFAAGAAgAAAAhABZ3yM7BAAAA2wAAAA8AAAAAAAAAAAAAAAAAmAIAAGRycy9kb3du cmV2LnhtbFBLBQYAAAAABAAEAPUAAACGAwAAAAA= " filled="f" stroked="f">
                              <v:textbox style="mso-fit-shape-to-text:t" inset="0,0,0,0">
                                <w:txbxContent>
                                  <w:p>
                                    <w:pPr>
                                      <w:rPr>
                                        <w:szCs w:val="24"/>
                                        <w:lang w:val="en-GB"/>
                                      </w:rPr>
                                    </w:pPr>
                                    <w:r>
                                      <w:rPr>
                                        <w:i/>
                                        <w:iCs/>
                                        <w:color w:val="000000"/>
                                        <w:sz w:val="14"/>
                                        <w:szCs w:val="14"/>
                                        <w:lang w:val="en-GB"/>
                                      </w:rPr>
                                      <w:t>t</w:t>
                                    </w:r>
                                  </w:p>
                                </w:txbxContent>
                              </v:textbox>
                            </v:rect>
                            <v:rect id="Rectangle 30" o:spid="_x0000_s1047" style="position:absolute;left:11608;top:171;width:102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TttVcEA AADbAAAADwAAAGRycy9kb3ducmV2LnhtbESPzYoCMRCE74LvEFrwphkVdmU0igiCLntx9AGaSc8P Jp0hic749puFhT0WVfUVtd0P1ogX+dA6VrCYZyCIS6dbrhXcb6fZGkSIyBqNY1LwpgD73Xi0xVy7 nq/0KmItEoRDjgqaGLtcylA2ZDHMXUecvMp5izFJX0vtsU9wa+Qyyz6kxZbTQoMdHRsqH8XTKpC3 4tSvC+Mz97Wsvs3lfK3IKTWdDIcNiEhD/A//tc9awecKfr+kHyB3PwAAAP//AwBQSwECLQAUAAYA CAAAACEA8PeKu/0AAADiAQAAEwAAAAAAAAAAAAAAAAAAAAAAW0NvbnRlbnRfVHlwZXNdLnhtbFBL AQItABQABgAIAAAAIQAx3V9h0gAAAI8BAAALAAAAAAAAAAAAAAAAAC4BAABfcmVscy8ucmVsc1BL AQItABQABgAIAAAAIQAzLwWeQQAAADkAAAAQAAAAAAAAAAAAAAAAACkCAABkcnMvc2hhcGV4bWwu eG1sUEsBAi0AFAAGAAgAAAAhAHk7bVXBAAAA2wAAAA8AAAAAAAAAAAAAAAAAmAIAAGRycy9kb3du cmV2LnhtbFBLBQYAAAAABAAEAPUAAACGAwAAAAA= " filled="f" stroked="f">
                              <v:textbox style="mso-fit-shape-to-text:t" inset="0,0,0,0">
                                <w:txbxContent>
                                  <w:p>
                                    <w:pPr>
                                      <w:rPr>
                                        <w:szCs w:val="24"/>
                                        <w:lang w:val="en-GB"/>
                                      </w:rPr>
                                    </w:pPr>
                                    <w:r>
                                      <w:rPr>
                                        <w:i/>
                                        <w:iCs/>
                                        <w:color w:val="000000"/>
                                        <w:szCs w:val="24"/>
                                        <w:lang w:val="en-GB"/>
                                      </w:rPr>
                                      <w:t>K</w:t>
                                    </w:r>
                                  </w:p>
                                </w:txbxContent>
                              </v:textbox>
                            </v:rect>
                            <v:rect id="Rectangle 31" o:spid="_x0000_s1048" style="position:absolute;left:6051;top:171;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9tL1IcEA AADbAAAADwAAAGRycy9kb3ducmV2LnhtbESPzYoCMRCE74LvEFrwphlFdmU0igiCLntx9AGaSc8P Jp0hic749puFhT0WVfUVtd0P1ogX+dA6VrCYZyCIS6dbrhXcb6fZGkSIyBqNY1LwpgD73Xi0xVy7 nq/0KmItEoRDjgqaGLtcylA2ZDHMXUecvMp5izFJX0vtsU9wa+Qyyz6kxZbTQoMdHRsqH8XTKpC3 4tSvC+Mz97Wsvs3lfK3IKTWdDIcNiEhD/A//tc9awecKfr+kHyB3PwAAAP//AwBQSwECLQAUAAYA CAAAACEA8PeKu/0AAADiAQAAEwAAAAAAAAAAAAAAAAAAAAAAW0NvbnRlbnRfVHlwZXNdLnhtbFBL AQItABQABgAIAAAAIQAx3V9h0gAAAI8BAAALAAAAAAAAAAAAAAAAAC4BAABfcmVscy8ucmVsc1BL AQItABQABgAIAAAAIQAzLwWeQQAAADkAAAAQAAAAAAAAAAAAAAAAACkCAABkcnMvc2hhcGV4bWwu eG1sUEsBAi0AFAAGAAgAAAAhAPbS9SHBAAAA2wAAAA8AAAAAAAAAAAAAAAAAmAIAAGRycy9kb3du cmV2LnhtbFBLBQYAAAAABAAEAPUAAACGAwAAAAA= " filled="f" stroked="f">
                              <v:textbox style="mso-fit-shape-to-text:t" inset="0,0,0,0">
                                <w:txbxContent>
                                  <w:p>
                                    <w:pPr>
                                      <w:rPr>
                                        <w:szCs w:val="24"/>
                                        <w:lang w:val="en-GB"/>
                                      </w:rPr>
                                    </w:pPr>
                                    <w:r>
                                      <w:rPr>
                                        <w:i/>
                                        <w:iCs/>
                                        <w:color w:val="000000"/>
                                        <w:szCs w:val="24"/>
                                        <w:lang w:val="en-GB"/>
                                      </w:rPr>
                                      <w:t>T</w:t>
                                    </w:r>
                                  </w:p>
                                </w:txbxContent>
                              </v:textbox>
                            </v:rect>
                            <v:rect id="Rectangle 32" o:spid="_x0000_s1049" style="position:absolute;left:133;top:171;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Z5QusEA AADbAAAADwAAAGRycy9kb3ducmV2LnhtbESPzYoCMRCE74LvEFrwphkFd2U0igiCLntx9AGaSc8P Jp0hic749puFhT0WVfUVtd0P1ogX+dA6VrCYZyCIS6dbrhXcb6fZGkSIyBqNY1LwpgD73Xi0xVy7 nq/0KmItEoRDjgqaGLtcylA2ZDHMXUecvMp5izFJX0vtsU9wa+Qyyz6kxZbTQoMdHRsqH8XTKpC3 4tSvC+Mz97Wsvs3lfK3IKTWdDIcNiEhD/A//tc9awecKfr+kHyB3PwAAAP//AwBQSwECLQAUAAYA CAAAACEA8PeKu/0AAADiAQAAEwAAAAAAAAAAAAAAAAAAAAAAW0NvbnRlbnRfVHlwZXNdLnhtbFBL AQItABQABgAIAAAAIQAx3V9h0gAAAI8BAAALAAAAAAAAAAAAAAAAAC4BAABfcmVscy8ucmVsc1BL AQItABQABgAIAAAAIQAzLwWeQQAAADkAAAAQAAAAAAAAAAAAAAAAACkCAABkcnMvc2hhcGV4bWwu eG1sUEsBAi0AFAAGAAgAAAAhAJmeULrBAAAA2wAAAA8AAAAAAAAAAAAAAAAAmAIAAGRycy9kb3du cmV2LnhtbFBLBQYAAAAABAAEAPUAAACGAwAAAAA= " filled="f" stroked="f">
                              <v:textbox style="mso-fit-shape-to-text:t" inset="0,0,0,0">
                                <w:txbxContent>
                                  <w:p>
                                    <w:pPr>
                                      <w:rPr>
                                        <w:szCs w:val="24"/>
                                        <w:lang w:val="en-GB"/>
                                      </w:rPr>
                                    </w:pPr>
                                    <w:r>
                                      <w:rPr>
                                        <w:i/>
                                        <w:iCs/>
                                        <w:color w:val="000000"/>
                                        <w:szCs w:val="24"/>
                                        <w:lang w:val="en-GB"/>
                                      </w:rPr>
                                      <w:t>T</w:t>
                                    </w:r>
                                  </w:p>
                                </w:txbxContent>
                              </v:textbox>
                            </v:rect>
                            <v:rect id="Rectangle 33" o:spid="_x0000_s1050" style="position:absolute;left:10422;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UzOzcAA AADbAAAADwAAAGRycy9kb3ducmV2LnhtbESPzYoCMRCE7wu+Q2jB25rRgyujUUQQXPHi6AM0k54f TDpDEp3ZtzeCsMeiqr6i1tvBGvEkH1rHCmbTDARx6XTLtYLb9fC9BBEiskbjmBT8UYDtZvS1xly7 ni/0LGItEoRDjgqaGLtcylA2ZDFMXUecvMp5izFJX0vtsU9wa+Q8yxbSYstpocGO9g2V9+JhFchr ceiXhfGZO82rs/k9XipySk3Gw24FItIQ/8Of9lEr+FnA+0v6AXLzAgAA//8DAFBLAQItABQABgAI AAAAIQDw94q7/QAAAOIBAAATAAAAAAAAAAAAAAAAAAAAAABbQ29udGVudF9UeXBlc10ueG1sUEsB Ai0AFAAGAAgAAAAhADHdX2HSAAAAjwEAAAsAAAAAAAAAAAAAAAAALgEAAF9yZWxzLy5yZWxzUEsB Ai0AFAAGAAgAAAAhADMvBZ5BAAAAOQAAABAAAAAAAAAAAAAAAAAAKQIAAGRycy9zaGFwZXhtbC54 bWxQSwECLQAUAAYACAAAACEAaUzOzcAAAADbAAAADwAAAAAAAAAAAAAAAACYAgAAZHJzL2Rvd25y ZXYueG1sUEsFBgAAAAAEAAQA9QAAAIUDAAAAAA== " filled="f" stroked="f">
                              <v:textbox style="mso-fit-shape-to-text:t" inset="0,0,0,0">
                                <w:txbxContent>
                                  <w:p>
                                    <w:pPr>
                                      <w:rPr>
                                        <w:szCs w:val="24"/>
                                        <w:lang w:val="en-GB"/>
                                      </w:rPr>
                                    </w:pPr>
                                    <w:r>
                                      <w:rPr>
                                        <w:rFonts w:ascii="Symbol" w:hAnsi="Symbol" w:cs="Symbol"/>
                                        <w:color w:val="000000"/>
                                        <w:szCs w:val="24"/>
                                        <w:lang w:val="en-GB"/>
                                      </w:rPr>
                                      <w:t></w:t>
                                    </w:r>
                                  </w:p>
                                </w:txbxContent>
                              </v:textbox>
                            </v:rect>
                            <v:rect id="Rectangle 34" o:spid="_x0000_s1051" style="position:absolute;left:4908;width:839;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gBrVsAA AADbAAAADwAAAGRycy9kb3ducmV2LnhtbESPzYoCMRCE7wu+Q2jB25rRg8poFBEEV7w4+gDNpOcH k86QRGf27Y2wsMeiqr6iNrvBGvEiH1rHCmbTDARx6XTLtYL77fi9AhEiskbjmBT8UoDddvS1wVy7 nq/0KmItEoRDjgqaGLtcylA2ZDFMXUecvMp5izFJX0vtsU9wa+Q8yxbSYstpocGODg2Vj+JpFchb cexXhfGZO8+ri/k5XStySk3Gw34NItIQ/8N/7ZNWsFzC50v6AXL7BgAA//8DAFBLAQItABQABgAI AAAAIQDw94q7/QAAAOIBAAATAAAAAAAAAAAAAAAAAAAAAABbQ29udGVudF9UeXBlc10ueG1sUEsB Ai0AFAAGAAgAAAAhADHdX2HSAAAAjwEAAAsAAAAAAAAAAAAAAAAALgEAAF9yZWxzLy5yZWxzUEsB Ai0AFAAGAAgAAAAhADMvBZ5BAAAAOQAAABAAAAAAAAAAAAAAAAAAKQIAAGRycy9zaGFwZXhtbC54 bWxQSwECLQAUAAYACAAAACEABgBrVsAAAADbAAAADwAAAAAAAAAAAAAAAACYAgAAZHJzL2Rvd25y ZXYueG1sUEsFBgAAAAAEAAQA9QAAAIUDAAAAAA== " filled="f" stroked="f">
                              <v:textbox style="mso-fit-shape-to-text:t" inset="0,0,0,0">
                                <w:txbxContent>
                                  <w:p>
                                    <w:pPr>
                                      <w:rPr>
                                        <w:szCs w:val="24"/>
                                        <w:lang w:val="en-GB"/>
                                      </w:rPr>
                                    </w:pPr>
                                    <w:r>
                                      <w:rPr>
                                        <w:rFonts w:ascii="Symbol" w:hAnsi="Symbol" w:cs="Symbol"/>
                                        <w:color w:val="000000"/>
                                        <w:szCs w:val="24"/>
                                        <w:lang w:val="en-GB"/>
                                      </w:rPr>
                                      <w:t></w:t>
                                    </w:r>
                                  </w:p>
                                </w:txbxContent>
                              </v:textbox>
                            </v:rect>
                            <w10:anchorlock/>
                          </v:group>
                        </w:pict>
                      </mc:Fallback>
                    </mc:AlternateContent>
                  </w:r>
                  <w:r>
                    <w:rPr>
                      <w:szCs w:val="24"/>
                    </w:rPr>
                    <w:tab/>
                    <w:t>(52)</w:t>
                  </w:r>
                </w:p>
                <w:p>
                  <w:pPr>
                    <w:tabs>
                      <w:tab w:val="left" w:pos="9214"/>
                    </w:tabs>
                    <w:jc w:val="both"/>
                    <w:rPr>
                      <w:szCs w:val="24"/>
                    </w:rPr>
                  </w:pP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(10,04)</w:t>
                  </w:r>
                  <w:r>
                    <w:rPr>
                      <w:szCs w:val="24"/>
                    </w:rPr>
                    <w:t>’</w:t>
                  </w:r>
                  <w:r>
                    <w:rPr>
                      <w:szCs w:val="24"/>
                      <w:vertAlign w:val="subscript"/>
                    </w:rPr>
                    <w:t>t</w:t>
                  </w:r>
                  <w:r>
                    <w:rPr>
                      <w:szCs w:val="24"/>
                    </w:rPr>
                    <w:t xml:space="preserve"> – elektros energijos skirstymo paslaugos atitinkamai VĮ ir ŽĮ tinklais kainų viršutinės ribos metais </w:t>
                  </w:r>
                  <w:r>
                    <w:rPr>
                      <w:i/>
                      <w:szCs w:val="24"/>
                    </w:rPr>
                    <w:t>t</w:t>
                  </w:r>
                  <w:r>
                    <w:rPr>
                      <w:szCs w:val="24"/>
                    </w:rPr>
                    <w:t>, EUR/kWh;</w:t>
                  </w:r>
                </w:p>
                <w:p>
                  <w:pPr>
                    <w:tabs>
                      <w:tab w:val="left" w:pos="1134"/>
                      <w:tab w:val="left" w:pos="1843"/>
                      <w:tab w:val="left" w:pos="2268"/>
                    </w:tabs>
                    <w:jc w:val="both"/>
                    <w:rPr>
                      <w:szCs w:val="24"/>
                    </w:rPr>
                  </w:pPr>
                  <w:r>
                    <w:rPr>
                      <w:szCs w:val="24"/>
                    </w:rPr>
                    <w:t>T</w:t>
                  </w:r>
                  <w:r>
                    <w:rPr>
                      <w:szCs w:val="24"/>
                      <w:vertAlign w:val="subscript"/>
                    </w:rPr>
                    <w:t>(10,04)t</w:t>
                  </w:r>
                  <w:r>
                    <w:rPr>
                      <w:szCs w:val="24"/>
                    </w:rPr>
                    <w:t xml:space="preserve"> – indeksuotos elektros energijos skirstymo paslaugos atitinkamai VĮ ir ŽĮ tinklais kainos viršutinės ribos metais </w:t>
                  </w:r>
                  <w:r>
                    <w:rPr>
                      <w:i/>
                      <w:szCs w:val="24"/>
                    </w:rPr>
                    <w:t>t</w:t>
                  </w:r>
                  <w:r>
                    <w:rPr>
                      <w:szCs w:val="24"/>
                    </w:rPr>
                    <w:t>, EUR/kWh;</w:t>
                  </w:r>
                </w:p>
                <w:p>
                  <w:pPr>
                    <w:tabs>
                      <w:tab w:val="left" w:pos="1134"/>
                      <w:tab w:val="left" w:pos="1843"/>
                      <w:tab w:val="left" w:pos="2268"/>
                    </w:tabs>
                    <w:jc w:val="both"/>
                    <w:rPr>
                      <w:szCs w:val="24"/>
                    </w:rPr>
                  </w:pPr>
                  <w:r>
                    <w:rPr>
                      <w:szCs w:val="24"/>
                    </w:rPr>
                    <w:t>K</w:t>
                  </w:r>
                  <w:r>
                    <w:rPr>
                      <w:szCs w:val="24"/>
                      <w:vertAlign w:val="subscript"/>
                    </w:rPr>
                    <w:t>(10,04)t</w:t>
                  </w:r>
                  <w:r>
                    <w:rPr>
                      <w:szCs w:val="24"/>
                    </w:rPr>
                    <w:t xml:space="preserve"> – korekcijos koeficientas elektros energijos skirstymo atitinkamai VĮ ir ŽĮ tinklais kainų viršutinėms riboms metais </w:t>
                  </w:r>
                  <w:r>
                    <w:rPr>
                      <w:i/>
                      <w:szCs w:val="24"/>
                    </w:rPr>
                    <w:t>t</w:t>
                  </w:r>
                  <w:r>
                    <w:rPr>
                      <w:szCs w:val="24"/>
                    </w:rPr>
                    <w:t>, EUR/kWh.</w:t>
                  </w:r>
                </w:p>
              </w:sdtContent>
            </w:sdt>
            <w:sdt>
              <w:sdtPr>
                <w:alias w:val="85 p."/>
                <w:tag w:val="part_6a53d2a559be45bdb3de7362ebb33ba5"/>
                <w:lock w:val="sdtLocked"/>
                <w:richText/>
              </w:sdtPr>
              <w:sdtContent>
                <w:p>
                  <w:pPr>
                    <w:tabs>
                      <w:tab w:val="left" w:pos="1080"/>
                      <w:tab w:val="left" w:pos="1843"/>
                      <w:tab w:val="left" w:pos="2268"/>
                    </w:tabs>
                    <w:ind w:firstLine="720"/>
                    <w:jc w:val="both"/>
                    <w:rPr>
                      <w:szCs w:val="24"/>
                    </w:rPr>
                  </w:pPr>
                  <w:sdt>
                    <w:sdtPr>
                      <w:alias w:val="Numeris"/>
                      <w:tag w:val="nr_6a53d2a559be45bdb3de7362ebb33ba5"/>
                      <w:lock w:val="sdtLocked"/>
                      <w:richText/>
                    </w:sdtPr>
                    <w:sdtContent>
                      <w:r>
                        <w:rPr>
                          <w:szCs w:val="24"/>
                        </w:rPr>
                        <w:t>85</w:t>
                      </w:r>
                    </w:sdtContent>
                  </w:sdt>
                  <w:r>
                    <w:rPr>
                      <w:szCs w:val="24"/>
                    </w:rPr>
                    <w:t>. Pradinis pajamų lygis apskaičiuojamas pagal formulę:</w:t>
                  </w:r>
                </w:p>
                <w:p>
                  <w:pPr>
                    <w:tabs>
                      <w:tab w:val="left" w:pos="1134"/>
                      <w:tab w:val="left" w:pos="1843"/>
                      <w:tab w:val="left" w:pos="2268"/>
                    </w:tabs>
                    <w:jc w:val="both"/>
                    <w:rPr>
                      <w:szCs w:val="24"/>
                    </w:rPr>
                  </w:pPr>
                </w:p>
                <w:p>
                  <w:pPr>
                    <w:tabs>
                      <w:tab w:val="left" w:pos="9214"/>
                    </w:tabs>
                    <w:jc w:val="both"/>
                    <w:rPr>
                      <w:szCs w:val="24"/>
                    </w:rPr>
                  </w:pPr>
                  <w:r>
                    <w:rPr>
                      <w:szCs w:val="24"/>
                      <w:lang w:eastAsia="lt-LT"/>
                    </w:rPr>
                    <w:drawing>
                      <wp:inline distT="0" distB="0" distL="0" distR="0">
                        <wp:extent cx="1285875" cy="457200"/>
                        <wp:effectExtent l="0" t="0" r="0" b="0"/>
                        <wp:docPr id="42" name="Paveikslėlis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85875" cy="457200"/>
                                </a:xfrm>
                                <a:prstGeom prst="rect">
                                  <a:avLst/>
                                </a:prstGeom>
                                <a:noFill/>
                              </pic:spPr>
                            </pic:pic>
                          </a:graphicData>
                        </a:graphic>
                      </wp:inline>
                    </w:drawing>
                  </w:r>
                  <w:r>
                    <w:rPr>
                      <w:szCs w:val="24"/>
                    </w:rPr>
                    <w:tab/>
                    <w:t>(53)</w:t>
                  </w:r>
                </w:p>
                <w:p>
                  <w:pPr>
                    <w:tabs>
                      <w:tab w:val="left" w:pos="1134"/>
                      <w:tab w:val="left" w:pos="1843"/>
                      <w:tab w:val="left" w:pos="2268"/>
                    </w:tabs>
                    <w:jc w:val="both"/>
                    <w:rPr>
                      <w:i/>
                      <w:szCs w:val="24"/>
                    </w:rPr>
                  </w:pPr>
                </w:p>
                <w:p>
                  <w:pPr>
                    <w:tabs>
                      <w:tab w:val="left" w:pos="1134"/>
                      <w:tab w:val="left" w:pos="1843"/>
                      <w:tab w:val="left" w:pos="2268"/>
                    </w:tabs>
                    <w:jc w:val="both"/>
                    <w:rPr>
                      <w:i/>
                      <w:szCs w:val="24"/>
                    </w:rPr>
                  </w:pPr>
                  <w:r>
                    <w:rPr>
                      <w:i/>
                      <w:szCs w:val="24"/>
                    </w:rPr>
                    <w:t>čia:</w:t>
                  </w:r>
                </w:p>
                <w:p>
                  <w:pPr>
                    <w:widowControl w:val="0"/>
                    <w:tabs>
                      <w:tab w:val="left" w:pos="1134"/>
                      <w:tab w:val="left" w:pos="1843"/>
                      <w:tab w:val="left" w:pos="2268"/>
                    </w:tabs>
                    <w:suppressAutoHyphens/>
                    <w:jc w:val="both"/>
                    <w:rPr>
                      <w:szCs w:val="24"/>
                      <w:lang w:eastAsia="lt-LT"/>
                    </w:rPr>
                  </w:pPr>
                  <w:r>
                    <w:rPr>
                      <w:iCs/>
                      <w:szCs w:val="24"/>
                      <w:lang w:eastAsia="lt-LT"/>
                    </w:rPr>
                    <w:t>P</w:t>
                  </w:r>
                  <w:r>
                    <w:rPr>
                      <w:szCs w:val="24"/>
                      <w:vertAlign w:val="subscript"/>
                      <w:lang w:eastAsia="lt-LT"/>
                    </w:rPr>
                    <w:t>(10,04)</w:t>
                  </w:r>
                  <w:r>
                    <w:rPr>
                      <w:iCs/>
                      <w:szCs w:val="24"/>
                      <w:vertAlign w:val="subscript"/>
                      <w:lang w:eastAsia="lt-LT"/>
                    </w:rPr>
                    <w:t>t</w:t>
                  </w:r>
                  <w:r>
                    <w:rPr>
                      <w:iCs/>
                      <w:szCs w:val="24"/>
                      <w:lang w:eastAsia="lt-LT"/>
                    </w:rPr>
                    <w:t xml:space="preserve"> </w:t>
                  </w:r>
                  <w:r>
                    <w:rPr>
                      <w:szCs w:val="24"/>
                      <w:lang w:eastAsia="lt-LT"/>
                    </w:rPr>
                    <w:t>– planuojamos elektros energijos skirstymo pajamos atitinkamai VĮ tinkluose ir skirstymo ŽĮ tinkluose metais</w:t>
                  </w:r>
                  <w:r>
                    <w:rPr>
                      <w:i/>
                      <w:iCs/>
                      <w:szCs w:val="24"/>
                      <w:lang w:eastAsia="lt-LT"/>
                    </w:rPr>
                    <w:t xml:space="preserve"> t</w:t>
                  </w:r>
                  <w:r>
                    <w:rPr>
                      <w:szCs w:val="24"/>
                      <w:lang w:eastAsia="lt-LT"/>
                    </w:rPr>
                    <w:t>, EUR;</w:t>
                  </w:r>
                </w:p>
                <w:p>
                  <w:pPr>
                    <w:widowControl w:val="0"/>
                    <w:tabs>
                      <w:tab w:val="left" w:pos="1134"/>
                      <w:tab w:val="left" w:pos="1843"/>
                      <w:tab w:val="left" w:pos="2268"/>
                    </w:tabs>
                    <w:suppressAutoHyphens/>
                    <w:jc w:val="both"/>
                    <w:rPr>
                      <w:szCs w:val="24"/>
                      <w:lang w:eastAsia="lt-LT"/>
                    </w:rPr>
                  </w:pPr>
                  <w:r>
                    <w:rPr>
                      <w:i/>
                      <w:iCs/>
                      <w:szCs w:val="24"/>
                      <w:lang w:eastAsia="lt-LT"/>
                    </w:rPr>
                    <w:t>n</w:t>
                  </w:r>
                  <w:r>
                    <w:rPr>
                      <w:szCs w:val="24"/>
                      <w:lang w:eastAsia="lt-LT"/>
                    </w:rPr>
                    <w:t xml:space="preserve"> – viršutinės kainų ribos taikymo trukmė;</w:t>
                  </w:r>
                </w:p>
                <w:p>
                  <w:pPr>
                    <w:tabs>
                      <w:tab w:val="left" w:pos="1134"/>
                      <w:tab w:val="left" w:pos="1843"/>
                      <w:tab w:val="left" w:pos="2268"/>
                    </w:tabs>
                    <w:jc w:val="both"/>
                    <w:rPr>
                      <w:szCs w:val="24"/>
                    </w:rPr>
                  </w:pPr>
                  <w:r>
                    <w:rPr>
                      <w:i/>
                      <w:iCs/>
                      <w:szCs w:val="24"/>
                    </w:rPr>
                    <w:t>t</w:t>
                  </w:r>
                  <w:r>
                    <w:rPr>
                      <w:szCs w:val="24"/>
                    </w:rPr>
                    <w:t xml:space="preserve"> – metų eilės numeris.</w:t>
                  </w:r>
                </w:p>
              </w:sdtContent>
            </w:sdt>
            <w:sdt>
              <w:sdtPr>
                <w:alias w:val="86 p."/>
                <w:tag w:val="part_e2747f539d9a48bdab48dabe18e49a57"/>
                <w:lock w:val="sdtLocked"/>
                <w:richText/>
              </w:sdtPr>
              <w:sdtContent>
                <w:p>
                  <w:pPr>
                    <w:tabs>
                      <w:tab w:val="left" w:pos="1080"/>
                      <w:tab w:val="left" w:pos="1843"/>
                      <w:tab w:val="left" w:pos="2268"/>
                    </w:tabs>
                    <w:ind w:firstLine="720"/>
                    <w:jc w:val="both"/>
                    <w:rPr>
                      <w:szCs w:val="24"/>
                    </w:rPr>
                  </w:pPr>
                  <w:sdt>
                    <w:sdtPr>
                      <w:alias w:val="Numeris"/>
                      <w:tag w:val="nr_e2747f539d9a48bdab48dabe18e49a57"/>
                      <w:lock w:val="sdtLocked"/>
                      <w:richText/>
                    </w:sdtPr>
                    <w:sdtContent>
                      <w:r>
                        <w:rPr>
                          <w:szCs w:val="24"/>
                        </w:rPr>
                        <w:t>86</w:t>
                      </w:r>
                    </w:sdtContent>
                  </w:sdt>
                  <w:r>
                    <w:rPr>
                      <w:szCs w:val="24"/>
                    </w:rPr>
                    <w:t>. Pradiniai planuojamų elektros energijos skirstymo pajamų lygiai VĮ ir ŽĮ tinkluose yra vienodi penkerių metų laikotarpiui.</w:t>
                  </w:r>
                </w:p>
              </w:sdtContent>
            </w:sdt>
            <w:sdt>
              <w:sdtPr>
                <w:alias w:val="87 p."/>
                <w:tag w:val="part_ab3f50929c6a45128ea5405da7c7af01"/>
                <w:lock w:val="sdtLocked"/>
                <w:richText/>
              </w:sdtPr>
              <w:sdtContent>
                <w:p>
                  <w:pPr>
                    <w:tabs>
                      <w:tab w:val="left" w:pos="1080"/>
                      <w:tab w:val="left" w:pos="1843"/>
                      <w:tab w:val="left" w:pos="2268"/>
                    </w:tabs>
                    <w:ind w:firstLine="720"/>
                    <w:jc w:val="both"/>
                    <w:rPr>
                      <w:szCs w:val="24"/>
                    </w:rPr>
                  </w:pPr>
                  <w:sdt>
                    <w:sdtPr>
                      <w:alias w:val="Numeris"/>
                      <w:tag w:val="nr_ab3f50929c6a45128ea5405da7c7af01"/>
                      <w:lock w:val="sdtLocked"/>
                      <w:richText/>
                    </w:sdtPr>
                    <w:sdtContent>
                      <w:r>
                        <w:rPr>
                          <w:szCs w:val="24"/>
                        </w:rPr>
                        <w:t>87</w:t>
                      </w:r>
                    </w:sdtContent>
                  </w:sdt>
                  <w:r>
                    <w:rPr>
                      <w:szCs w:val="24"/>
                    </w:rPr>
                    <w:t xml:space="preserve">. Elektros energijos skirstymo paslaugos VĮ ir ŽĮ tinklais kainos viršutinės ribos, koreguotos nenumatytų pasikeitimų, elektros energijos kiekio poveikio, infliacijos ir efektyvumo koeficientais, </w:t>
                  </w:r>
                  <w:r>
                    <w:rPr>
                      <w:i/>
                      <w:szCs w:val="24"/>
                    </w:rPr>
                    <w:t>t</w:t>
                  </w:r>
                  <w:r>
                    <w:rPr>
                      <w:szCs w:val="24"/>
                    </w:rPr>
                    <w:t xml:space="preserve"> metais skaičiuojamos pagal formulę:</w:t>
                  </w:r>
                </w:p>
                <w:p>
                  <w:pPr>
                    <w:tabs>
                      <w:tab w:val="left" w:pos="1080"/>
                      <w:tab w:val="left" w:pos="1134"/>
                      <w:tab w:val="left" w:pos="1843"/>
                      <w:tab w:val="left" w:pos="2268"/>
                    </w:tabs>
                    <w:jc w:val="both"/>
                    <w:rPr>
                      <w:szCs w:val="24"/>
                    </w:rPr>
                  </w:pPr>
                </w:p>
                <w:p>
                  <w:pPr>
                    <w:tabs>
                      <w:tab w:val="left" w:pos="1080"/>
                      <w:tab w:val="left" w:pos="9214"/>
                    </w:tabs>
                    <w:jc w:val="both"/>
                    <w:rPr>
                      <w:szCs w:val="24"/>
                    </w:rPr>
                  </w:pPr>
                  <w:r>
                    <w:rPr>
                      <w:szCs w:val="24"/>
                      <w:lang w:eastAsia="lt-LT"/>
                    </w:rPr>
                    <mc:AlternateContent>
                      <mc:Choice Requires="wpc">
                        <w:drawing>
                          <wp:inline distT="0" distB="0" distL="0" distR="0">
                            <wp:extent cx="3543300" cy="469900"/>
                            <wp:effectExtent l="0" t="0" r="0" b="6350"/>
                            <wp:docPr id="78" name="Canvas 16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1" name="Line 38"/>
                                    <wps:cNvCnPr/>
                                    <wps:spPr bwMode="auto">
                                      <a:xfrm>
                                        <a:off x="569500" y="230400"/>
                                        <a:ext cx="23464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32" name="Rectangle 41"/>
                                    <wps:cNvSpPr>
                                      <a:spLocks noChangeArrowheads="1"/>
                                    </wps:cNvSpPr>
                                    <wps:spPr bwMode="auto">
                                      <a:xfrm>
                                        <a:off x="2933700" y="133200"/>
                                        <a:ext cx="6921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p>
                                      </w:txbxContent>
                                    </wps:txbx>
                                    <wps:bodyPr rot="0" vert="horz" wrap="none" lIns="0" tIns="0" rIns="0" bIns="0" anchor="t" anchorCtr="0" upright="1">
                                      <a:spAutoFit/>
                                    </wps:bodyPr>
                                  </wps:wsp>
                                  <wps:wsp>
                                    <wps:cNvPr id="133" name="Rectangle 42"/>
                                    <wps:cNvSpPr>
                                      <a:spLocks noChangeArrowheads="1"/>
                                    </wps:cNvSpPr>
                                    <wps:spPr bwMode="auto">
                                      <a:xfrm>
                                        <a:off x="2858100" y="17700"/>
                                        <a:ext cx="508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34" name="Rectangle 43"/>
                                    <wps:cNvSpPr>
                                      <a:spLocks noChangeArrowheads="1"/>
                                    </wps:cNvSpPr>
                                    <wps:spPr bwMode="auto">
                                      <a:xfrm>
                                        <a:off x="577200" y="17700"/>
                                        <a:ext cx="508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35" name="Rectangle 44"/>
                                    <wps:cNvSpPr>
                                      <a:spLocks noChangeArrowheads="1"/>
                                    </wps:cNvSpPr>
                                    <wps:spPr bwMode="auto">
                                      <a:xfrm>
                                        <a:off x="1873800" y="344000"/>
                                        <a:ext cx="299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36" name="Rectangle 45"/>
                                    <wps:cNvSpPr>
                                      <a:spLocks noChangeArrowheads="1"/>
                                    </wps:cNvSpPr>
                                    <wps:spPr bwMode="auto">
                                      <a:xfrm>
                                        <a:off x="1779900" y="344000"/>
                                        <a:ext cx="895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37" name="Rectangle 46"/>
                                    <wps:cNvSpPr>
                                      <a:spLocks noChangeArrowheads="1"/>
                                    </wps:cNvSpPr>
                                    <wps:spPr bwMode="auto">
                                      <a:xfrm>
                                        <a:off x="1753200" y="344000"/>
                                        <a:ext cx="228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38" name="Rectangle 47"/>
                                    <wps:cNvSpPr>
                                      <a:spLocks noChangeArrowheads="1"/>
                                    </wps:cNvSpPr>
                                    <wps:spPr bwMode="auto">
                                      <a:xfrm>
                                        <a:off x="1660500" y="344000"/>
                                        <a:ext cx="895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39" name="Rectangle 48"/>
                                    <wps:cNvSpPr>
                                      <a:spLocks noChangeArrowheads="1"/>
                                    </wps:cNvSpPr>
                                    <wps:spPr bwMode="auto">
                                      <a:xfrm>
                                        <a:off x="1633800" y="344000"/>
                                        <a:ext cx="299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0" name="Rectangle 49"/>
                                    <wps:cNvSpPr>
                                      <a:spLocks noChangeArrowheads="1"/>
                                    </wps:cNvSpPr>
                                    <wps:spPr bwMode="auto">
                                      <a:xfrm>
                                        <a:off x="2773600" y="111000"/>
                                        <a:ext cx="29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1" name="Rectangle 50"/>
                                    <wps:cNvSpPr>
                                      <a:spLocks noChangeArrowheads="1"/>
                                    </wps:cNvSpPr>
                                    <wps:spPr bwMode="auto">
                                      <a:xfrm>
                                        <a:off x="26803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42" name="Rectangle 51"/>
                                    <wps:cNvSpPr>
                                      <a:spLocks noChangeArrowheads="1"/>
                                    </wps:cNvSpPr>
                                    <wps:spPr bwMode="auto">
                                      <a:xfrm>
                                        <a:off x="2653000" y="111000"/>
                                        <a:ext cx="22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4" name="Rectangle 52"/>
                                    <wps:cNvSpPr>
                                      <a:spLocks noChangeArrowheads="1"/>
                                    </wps:cNvSpPr>
                                    <wps:spPr bwMode="auto">
                                      <a:xfrm>
                                        <a:off x="25609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45" name="Rectangle 53"/>
                                    <wps:cNvSpPr>
                                      <a:spLocks noChangeArrowheads="1"/>
                                    </wps:cNvSpPr>
                                    <wps:spPr bwMode="auto">
                                      <a:xfrm>
                                        <a:off x="2533600" y="1110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6" name="Rectangle 54"/>
                                    <wps:cNvSpPr>
                                      <a:spLocks noChangeArrowheads="1"/>
                                    </wps:cNvSpPr>
                                    <wps:spPr bwMode="auto">
                                      <a:xfrm>
                                        <a:off x="2208500" y="1110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7" name="Rectangle 55"/>
                                    <wps:cNvSpPr>
                                      <a:spLocks noChangeArrowheads="1"/>
                                    </wps:cNvSpPr>
                                    <wps:spPr bwMode="auto">
                                      <a:xfrm>
                                        <a:off x="21145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48" name="Rectangle 56"/>
                                    <wps:cNvSpPr>
                                      <a:spLocks noChangeArrowheads="1"/>
                                    </wps:cNvSpPr>
                                    <wps:spPr bwMode="auto">
                                      <a:xfrm>
                                        <a:off x="2087800" y="111000"/>
                                        <a:ext cx="22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9" name="Rectangle 57"/>
                                    <wps:cNvSpPr>
                                      <a:spLocks noChangeArrowheads="1"/>
                                    </wps:cNvSpPr>
                                    <wps:spPr bwMode="auto">
                                      <a:xfrm>
                                        <a:off x="1995100" y="111000"/>
                                        <a:ext cx="896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50" name="Rectangle 58"/>
                                    <wps:cNvSpPr>
                                      <a:spLocks noChangeArrowheads="1"/>
                                    </wps:cNvSpPr>
                                    <wps:spPr bwMode="auto">
                                      <a:xfrm>
                                        <a:off x="1967800" y="111000"/>
                                        <a:ext cx="29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1" name="Rectangle 59"/>
                                    <wps:cNvSpPr>
                                      <a:spLocks noChangeArrowheads="1"/>
                                    </wps:cNvSpPr>
                                    <wps:spPr bwMode="auto">
                                      <a:xfrm>
                                        <a:off x="1599500" y="111000"/>
                                        <a:ext cx="29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2" name="Rectangle 60"/>
                                    <wps:cNvSpPr>
                                      <a:spLocks noChangeArrowheads="1"/>
                                    </wps:cNvSpPr>
                                    <wps:spPr bwMode="auto">
                                      <a:xfrm>
                                        <a:off x="15062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53" name="Rectangle 61"/>
                                    <wps:cNvSpPr>
                                      <a:spLocks noChangeArrowheads="1"/>
                                    </wps:cNvSpPr>
                                    <wps:spPr bwMode="auto">
                                      <a:xfrm>
                                        <a:off x="1478900" y="111000"/>
                                        <a:ext cx="22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4" name="Rectangle 62"/>
                                    <wps:cNvSpPr>
                                      <a:spLocks noChangeArrowheads="1"/>
                                    </wps:cNvSpPr>
                                    <wps:spPr bwMode="auto">
                                      <a:xfrm>
                                        <a:off x="13868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55" name="Rectangle 63"/>
                                    <wps:cNvSpPr>
                                      <a:spLocks noChangeArrowheads="1"/>
                                    </wps:cNvSpPr>
                                    <wps:spPr bwMode="auto">
                                      <a:xfrm>
                                        <a:off x="1359500" y="1110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6" name="Rectangle 64"/>
                                    <wps:cNvSpPr>
                                      <a:spLocks noChangeArrowheads="1"/>
                                    </wps:cNvSpPr>
                                    <wps:spPr bwMode="auto">
                                      <a:xfrm>
                                        <a:off x="949300" y="1110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7" name="Rectangle 65"/>
                                    <wps:cNvSpPr>
                                      <a:spLocks noChangeArrowheads="1"/>
                                    </wps:cNvSpPr>
                                    <wps:spPr bwMode="auto">
                                      <a:xfrm>
                                        <a:off x="855900" y="111000"/>
                                        <a:ext cx="896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58" name="Rectangle 66"/>
                                    <wps:cNvSpPr>
                                      <a:spLocks noChangeArrowheads="1"/>
                                    </wps:cNvSpPr>
                                    <wps:spPr bwMode="auto">
                                      <a:xfrm>
                                        <a:off x="828600" y="111000"/>
                                        <a:ext cx="22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9" name="Rectangle 67"/>
                                    <wps:cNvSpPr>
                                      <a:spLocks noChangeArrowheads="1"/>
                                    </wps:cNvSpPr>
                                    <wps:spPr bwMode="auto">
                                      <a:xfrm>
                                        <a:off x="735900" y="111000"/>
                                        <a:ext cx="896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60" name="Rectangle 68"/>
                                    <wps:cNvSpPr>
                                      <a:spLocks noChangeArrowheads="1"/>
                                    </wps:cNvSpPr>
                                    <wps:spPr bwMode="auto">
                                      <a:xfrm>
                                        <a:off x="709200" y="111000"/>
                                        <a:ext cx="29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61" name="Rectangle 69"/>
                                    <wps:cNvSpPr>
                                      <a:spLocks noChangeArrowheads="1"/>
                                    </wps:cNvSpPr>
                                    <wps:spPr bwMode="auto">
                                      <a:xfrm>
                                        <a:off x="332700" y="2266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62" name="Rectangle 70"/>
                                    <wps:cNvSpPr>
                                      <a:spLocks noChangeArrowheads="1"/>
                                    </wps:cNvSpPr>
                                    <wps:spPr bwMode="auto">
                                      <a:xfrm>
                                        <a:off x="239300" y="226600"/>
                                        <a:ext cx="896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63" name="Rectangle 71"/>
                                    <wps:cNvSpPr>
                                      <a:spLocks noChangeArrowheads="1"/>
                                    </wps:cNvSpPr>
                                    <wps:spPr bwMode="auto">
                                      <a:xfrm>
                                        <a:off x="212000" y="226600"/>
                                        <a:ext cx="22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64" name="Rectangle 72"/>
                                    <wps:cNvSpPr>
                                      <a:spLocks noChangeArrowheads="1"/>
                                    </wps:cNvSpPr>
                                    <wps:spPr bwMode="auto">
                                      <a:xfrm>
                                        <a:off x="120000" y="2266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65" name="Rectangle 73"/>
                                    <wps:cNvSpPr>
                                      <a:spLocks noChangeArrowheads="1"/>
                                    </wps:cNvSpPr>
                                    <wps:spPr bwMode="auto">
                                      <a:xfrm>
                                        <a:off x="92700" y="2266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66" name="Rectangle 74"/>
                                    <wps:cNvSpPr>
                                      <a:spLocks noChangeArrowheads="1"/>
                                    </wps:cNvSpPr>
                                    <wps:spPr bwMode="auto">
                                      <a:xfrm>
                                        <a:off x="1907500" y="344700"/>
                                        <a:ext cx="254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67" name="Rectangle 75"/>
                                    <wps:cNvSpPr>
                                      <a:spLocks noChangeArrowheads="1"/>
                                    </wps:cNvSpPr>
                                    <wps:spPr bwMode="auto">
                                      <a:xfrm>
                                        <a:off x="2807900" y="111600"/>
                                        <a:ext cx="254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68" name="Rectangle 76"/>
                                    <wps:cNvSpPr>
                                      <a:spLocks noChangeArrowheads="1"/>
                                    </wps:cNvSpPr>
                                    <wps:spPr bwMode="auto">
                                      <a:xfrm>
                                        <a:off x="2242100" y="111600"/>
                                        <a:ext cx="254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69" name="Rectangle 77"/>
                                    <wps:cNvSpPr>
                                      <a:spLocks noChangeArrowheads="1"/>
                                    </wps:cNvSpPr>
                                    <wps:spPr bwMode="auto">
                                      <a:xfrm>
                                        <a:off x="1633800" y="111600"/>
                                        <a:ext cx="254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70" name="Rectangle 78"/>
                                    <wps:cNvSpPr>
                                      <a:spLocks noChangeArrowheads="1"/>
                                    </wps:cNvSpPr>
                                    <wps:spPr bwMode="auto">
                                      <a:xfrm>
                                        <a:off x="996900" y="111600"/>
                                        <a:ext cx="450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p</w:t>
                                          </w:r>
                                        </w:p>
                                      </w:txbxContent>
                                    </wps:txbx>
                                    <wps:bodyPr rot="0" vert="horz" wrap="none" lIns="0" tIns="0" rIns="0" bIns="0" anchor="t" anchorCtr="0" upright="1">
                                      <a:spAutoFit/>
                                    </wps:bodyPr>
                                  </wps:wsp>
                                  <wps:wsp>
                                    <wps:cNvPr id="171" name="Rectangle 79"/>
                                    <wps:cNvSpPr>
                                      <a:spLocks noChangeArrowheads="1"/>
                                    </wps:cNvSpPr>
                                    <wps:spPr bwMode="auto">
                                      <a:xfrm>
                                        <a:off x="367000" y="227200"/>
                                        <a:ext cx="254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72" name="Rectangle 80"/>
                                    <wps:cNvSpPr>
                                      <a:spLocks noChangeArrowheads="1"/>
                                    </wps:cNvSpPr>
                                    <wps:spPr bwMode="auto">
                                      <a:xfrm>
                                        <a:off x="1537300" y="251300"/>
                                        <a:ext cx="93300" cy="17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E</w:t>
                                          </w:r>
                                        </w:p>
                                      </w:txbxContent>
                                    </wps:txbx>
                                    <wps:bodyPr rot="0" vert="horz" wrap="none" lIns="0" tIns="0" rIns="0" bIns="0" anchor="t" anchorCtr="0" upright="1">
                                      <a:spAutoFit/>
                                    </wps:bodyPr>
                                  </wps:wsp>
                                  <wps:wsp>
                                    <wps:cNvPr id="173" name="Rectangle 81"/>
                                    <wps:cNvSpPr>
                                      <a:spLocks noChangeArrowheads="1"/>
                                    </wps:cNvSpPr>
                                    <wps:spPr bwMode="auto">
                                      <a:xfrm>
                                        <a:off x="2371100" y="17800"/>
                                        <a:ext cx="1530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IK</w:t>
                                          </w:r>
                                        </w:p>
                                      </w:txbxContent>
                                    </wps:txbx>
                                    <wps:bodyPr rot="0" vert="horz" wrap="none" lIns="0" tIns="0" rIns="0" bIns="0" anchor="t" anchorCtr="0" upright="1">
                                      <a:spAutoFit/>
                                    </wps:bodyPr>
                                  </wps:wsp>
                                  <wps:wsp>
                                    <wps:cNvPr id="174" name="Rectangle 82"/>
                                    <wps:cNvSpPr>
                                      <a:spLocks noChangeArrowheads="1"/>
                                    </wps:cNvSpPr>
                                    <wps:spPr bwMode="auto">
                                      <a:xfrm>
                                        <a:off x="1762800" y="17800"/>
                                        <a:ext cx="19494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EK</w:t>
                                          </w:r>
                                        </w:p>
                                      </w:txbxContent>
                                    </wps:txbx>
                                    <wps:bodyPr rot="0" vert="horz" wrap="none" lIns="0" tIns="0" rIns="0" bIns="0" anchor="t" anchorCtr="0" upright="1">
                                      <a:spAutoFit/>
                                    </wps:bodyPr>
                                  </wps:wsp>
                                  <wps:wsp>
                                    <wps:cNvPr id="175" name="Rectangle 83"/>
                                    <wps:cNvSpPr>
                                      <a:spLocks noChangeArrowheads="1"/>
                                    </wps:cNvSpPr>
                                    <wps:spPr bwMode="auto">
                                      <a:xfrm>
                                        <a:off x="1144900" y="17800"/>
                                        <a:ext cx="2038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NK</w:t>
                                          </w:r>
                                        </w:p>
                                      </w:txbxContent>
                                    </wps:txbx>
                                    <wps:bodyPr rot="0" vert="horz" wrap="none" lIns="0" tIns="0" rIns="0" bIns="0" anchor="t" anchorCtr="0" upright="1">
                                      <a:spAutoFit/>
                                    </wps:bodyPr>
                                  </wps:wsp>
                                  <wps:wsp>
                                    <wps:cNvPr id="176" name="Rectangle 84"/>
                                    <wps:cNvSpPr>
                                      <a:spLocks noChangeArrowheads="1"/>
                                    </wps:cNvSpPr>
                                    <wps:spPr bwMode="auto">
                                      <a:xfrm>
                                        <a:off x="636900" y="17700"/>
                                        <a:ext cx="933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P</w:t>
                                          </w:r>
                                        </w:p>
                                      </w:txbxContent>
                                    </wps:txbx>
                                    <wps:bodyPr rot="0" vert="horz" wrap="none" lIns="0" tIns="0" rIns="0" bIns="0" anchor="t" anchorCtr="0" upright="1">
                                      <a:spAutoFit/>
                                    </wps:bodyPr>
                                  </wps:wsp>
                                  <wps:wsp>
                                    <wps:cNvPr id="177" name="Rectangle 85"/>
                                    <wps:cNvSpPr>
                                      <a:spLocks noChangeArrowheads="1"/>
                                    </wps:cNvSpPr>
                                    <wps:spPr bwMode="auto">
                                      <a:xfrm>
                                        <a:off x="13300" y="133300"/>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178" name="Rectangle 86"/>
                                    <wps:cNvSpPr>
                                      <a:spLocks noChangeArrowheads="1"/>
                                    </wps:cNvSpPr>
                                    <wps:spPr bwMode="auto">
                                      <a:xfrm>
                                        <a:off x="2298009" y="26455"/>
                                        <a:ext cx="863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szCs w:val="24"/>
                                              <w:lang w:val="en-GB"/>
                                            </w:rPr>
                                            <w:t>×</w:t>
                                          </w:r>
                                        </w:p>
                                      </w:txbxContent>
                                    </wps:txbx>
                                    <wps:bodyPr rot="0" vert="horz" wrap="none" lIns="0" tIns="0" rIns="0" bIns="0" anchor="t" anchorCtr="0" upright="1">
                                      <a:spAutoFit/>
                                    </wps:bodyPr>
                                  </wps:wsp>
                                  <wps:wsp>
                                    <wps:cNvPr id="179" name="Rectangle 87"/>
                                    <wps:cNvSpPr>
                                      <a:spLocks noChangeArrowheads="1"/>
                                    </wps:cNvSpPr>
                                    <wps:spPr bwMode="auto">
                                      <a:xfrm>
                                        <a:off x="1693174" y="17800"/>
                                        <a:ext cx="863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szCs w:val="24"/>
                                              <w:lang w:val="en-GB"/>
                                            </w:rPr>
                                            <w:t>×</w:t>
                                          </w:r>
                                        </w:p>
                                      </w:txbxContent>
                                    </wps:txbx>
                                    <wps:bodyPr rot="0" vert="horz" wrap="none" lIns="0" tIns="0" rIns="0" bIns="0" anchor="t" anchorCtr="0" upright="1">
                                      <a:spAutoFit/>
                                    </wps:bodyPr>
                                  </wps:wsp>
                                  <wps:wsp>
                                    <wps:cNvPr id="180" name="Rectangle 88"/>
                                    <wps:cNvSpPr>
                                      <a:spLocks noChangeArrowheads="1"/>
                                    </wps:cNvSpPr>
                                    <wps:spPr bwMode="auto">
                                      <a:xfrm>
                                        <a:off x="1058540" y="38540"/>
                                        <a:ext cx="863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szCs w:val="24"/>
                                              <w:lang w:val="en-GB"/>
                                            </w:rPr>
                                            <w:t>×</w:t>
                                          </w:r>
                                        </w:p>
                                      </w:txbxContent>
                                    </wps:txbx>
                                    <wps:bodyPr rot="0" vert="horz" wrap="none" lIns="0" tIns="0" rIns="0" bIns="0" anchor="t" anchorCtr="0" upright="1">
                                      <a:spAutoFit/>
                                    </wps:bodyPr>
                                  </wps:wsp>
                                  <wps:wsp>
                                    <wps:cNvPr id="181" name="Rectangle 89"/>
                                    <wps:cNvSpPr>
                                      <a:spLocks noChangeArrowheads="1"/>
                                    </wps:cNvSpPr>
                                    <wps:spPr bwMode="auto">
                                      <a:xfrm>
                                        <a:off x="449500" y="115400"/>
                                        <a:ext cx="83900" cy="18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c:wpc>
                              </a:graphicData>
                            </a:graphic>
                          </wp:inline>
                        </w:drawing>
                      </mc:Choice>
                      <mc:Fallback>
                        <w:pict>
                          <v:group id="Canvas 169" o:spid="_x0000_s1052" editas="canvas" style="width:279pt;height:37pt;mso-position-horizontal-relative:char;mso-position-vertical-relative:line" coordsize="35433,4699"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mNspWxgoAAPjOAAAOAAAAZHJzL2Uyb0RvYy54bWzsnW1vo8YWx99f6X4HxHvHPD9pSbW146pS 2ru6bT8AwThGxYCAxN5b9bv3zGAOZj32VtvrSaQ5kXZDbIx5mPnxP+f8Z/jw3WFXaK9Z0+ZVGevm naFrWZlW67x8jvXffl3NAl1ru6RcJ0VVZrH+OWv17+7//a8P+zrKrGpbFeus0WAjZRvt61jfdl0d zedtus12SXtX1VkJb26qZpd08GfzPF83yR62vivmlmF4833VrOumSrO2hVeX/Zv6Pd/+ZpOl3X82 mzbrtCLWYd86/n/D/39i/8/vPyTRc5PU2zw97kbyDXuxS/ISvhQ3tUy6RHtp8rNN7fK0qdpq092l 1W5ebTZ5mvFjgKMxjS+OZpGUr0nLDyaFszPsICz9H7f79Mz2u6xWeVHA2ZjD1iP2Gvu9h+uTwYv7 Gq5OW+N1av/Z9/+yTeqMH1YbpT+/fmq0fA2NxzZ1rUx20Eoe8zLT7IBdHfbVsM6i/NQc/2pr+MDT /qdqDWsmL13FT/xh0+zYgcAp1Q6x7nqha8AF/xzrlm04sAifTqLs0GkpvG3Zjsde1FJYgb83T6Jh E3XTdj9k1U5jC7FewM7wr0heH9sONgOrDqtMTl0SFaW2j3XPdg3+gbYq8jU7r2y1tnl+WhSN9pqw psh/2D7BxiarNdVLueb7us2S9cNxuUvyol+G9YvyeCiwO8NB8bb2R2iED8FD4Mwcy3uYOcZyOfu4 Wjgzb2X67tJeLhZL80+2a6YTbfP1OivZ3g3t3nT+3mU99sC+xWLLH1vQdOv8EOG8D7/5TkMrayN2 IfsL/FStP/Pry1+HliatyVlDk/svoCIpn4tMc8yTdvcL30e4RvVjlf7eamW12MJq2cemqfbsCkFX 4OvzPYeG2n9gOLyvtlMrtG3/2FBN2wakTRuqF1qm2zdTuISW95W22sBR/O22ytrOyVV7p+1q0jsm nWjFf8470fxSA+z7/7GrmJZjfG+Fs5UX+DNn5biz0DeCmWGG34ee4YTOcjXtKhxK/Z0KvuBbuwoD ROha7jcDYpd3cMcs8l2sB0iRJLpEC+zpbPeHPjj8FvXF7vB04Dy2nKEf9N1TayqgITATbvewsK2a /+naHm6dsV7CvV3Xih9L6A3sLjssNMPC07CQlCl8MNY7XesXF11/N36pm/x5C9s1+zNTfwSyr3LO W9ab+n2AHWd/yCSELSCENZwZ7PA3JETgBuZACJ+xYnIncw1oBSMg+rcv38wIEHAzJkCcyIl/AAh3 6AZKA8IRAMIezowEQLi+z2QDk7om8QGCwC+EKQmIaYQhT0B4Qy9Qmg8g3/uo9iTEQGklgQ9m4Ntc IwAgbAei3i8UhBWGqCAMCJYpxBjjdAoxbhti+EQIyHt5AkKgtpJBCN/vGXCBEEGfS2O5MpMIMc3k ESFuSwhMAiutIXwBIVBdSSGEy3OTLMgQaghrzEIQIYgQSSQvyghJQ4CGgDrrWZSB6koGITzPGCpu IkKQhqA8xBvlIWwe0Y5FBEULGaGAEKiupBDCpjzE0fEhLqETId6KEFjyVznKcKCIcKYhUF1JIITl +7Y3lDJMKHpezVQevRJU6+SOIspD3DQPYWPJX2lCoENvrGWA1w0MCUxdySCEFxisQsGLnQJCTKMM IsSp55AIcVtCYM1faUIIDJUuqisphHABEJcJYU0ylUQIIoS0TKWNVX+lCSHwS7mormQQwvUM7nhg 5UzSEGwwDTmmro7JkEcIrPorTQiBY8pFdSWFEPZX8hCn1U7SEKQh5BECq/5KE0LgmHJRXckghGUE Q7VTpCGskAhxaewj5SFum4fAqr/ShBA4plxUVzIIYZrONUJQppKqnW9V7cSqv9KEEDimXFRXMghh BP4wLkOoIazTcRkUZVCUIS/KwKq/0oQQOKZcVFcSCGGGoYtDv4WZSu6WOI7LIEIQIaQRArxCx6q/ yoQA78OZY8pFdSWFEN51DTEZ20mEIELIIwRW/ZUmhMgxhepKBiFcEBHX/BBEiIuztFGm8qaZSger /koTQuCY6qd5k+SpNF3DY8qAPJXZMLko+SHehx/Cwaq/0oQQTEHnobqSoSEcP7jmmCJPJdUy3qiW 4WDVX2lCCDyVHqorGYSwAxiZQRqCzeZNYzvH+bN4/MBThV/Ocy0vD4FVf6UJIfBUeqiupBDC/Uoe ghxT5Jg6TcXIIwRW/ZUmhMBT6aG6kkCI0AmvDe0kSyUFGW8VZGDRX2lACCyVHoorCYAIXPdaFiKA xzZABEJuCMHzZqiScdtKBtb8lQaEwFHpobaSAQgruDp9DBkqT/U1PUtH3iSVDpb8lQaEwFDpobaS AAjfJgVBM9Cx555N4PcOspTjLEoqAwJ8D2d+Sg+1lQxAGOE1K8T0URlkpyQ7pbQk5TiJktKAENgp PdRWEgABj+gcHtdpWTDl9dkMlVTFoCrGaZQlDxBY71caEAI3pY9jVSQAwrKxiiECBCUpqYrxRlWM cQolpQEhMFP6Ms2UlglxQ++UEgHCoiTl6e1zEqdTFeOmVYxxBiWlASHwUvqorSQoCM6Hy4CgiWNI QbyVgsBqv9KAEFgpfZlWypBSEFTEeJdFDCz2K80HgZHSl2mkNEPDH4Z8w6P4WL4S5upIouzQaekh 1i0XHgKORil64DdVMeQlKbHarzQhBE5KH7WVhBADnoHhn1gpz8sYE0JQnZMIIY8QWO5XmhACK6WP 6koGISzHOpl6jghBD8ngjxl8D1YprPcrTQiBl9JHdSWBEKY3Ps4Xpq8lQhAh3gshxumTVCYE2B7O zJQ+qisJhAhD71qQwabHH9MQFGRQkCEtyBhnT1IaEAIzpY/iSgIgbA9yk0Ol0z8S4FKekgBBgJAH CCz4Kw0IgZkykGmmNF3bH+aEsFzzWKoYCRHa/F0+5Ntnz/1lhQ6YaeiwaXas4lE3bfdDVu00thDr TZZ2Ons9eX1su37VYRX2clmt8qLgtZKinLwA2+xfgRoKfJS9x6opL00e63+ERvgQPATOzLG8h5lj LJezj6uFM/NWpu8u7eVisTT/ZN9rOtE2X6+zkn2NdtgVZRvBi7G+7bo6ms/bdJvtkvZul6dN1Vab 7i6tdnOqdbLTPTGCvYMsxDh5ktKEELgpA6luSttnD8boJ6/lU+FPSp0AkDHI8F3SEKQh5GkIrPkr TQiBnTJAdSUhyDB9D8qdlwkB006xd48agghBhJBHCKz5K00IgZ8ykOmnhCd19gz4HOvmuYawDHsc 1EkaYqrEaUgGj0V6g902S9YP5Zor0C7Ji355PsZ9j3mZ8QAVgsfhNw8n5+xZD239qbn/wJa6w9NB y9exPk6fpDQhBI7KANWVBA3h2WMlwz/zU06zEKQgSEHIUxBY8VeaDwI/ZYDaSgIfzD4PyfSDzRcn SYjgpNBJ+oH0QyJv3rlx8iSl+SBwUwZy3ZQhhBDg2AJCWJ7jcjaNZYwA9MVJCqK3r1AZg9uJKMC4 bYCB9X6lASEwUwYorWQICC+0TRgkxp/Bd56CIEDQmO83GvM9Tp6kMiDA9XDmpQxkeilNww1gUBYH hM2XpiEGKQiaNWbCSGkpiHHyJKUBIfBSBqitJCgIKGEMY75Nkw/fnALCHqucAbNdklNqUTQahRj5 LtYhNoWfW9UwxsmT3icgoPaSRvCPF2Sem6Te5uky6ZLTv2F5X0eZVW2rYp01938BAAD//wMAUEsD BBQABgAIAAAAIQDcHjaC3AAAAAQBAAAPAAAAZHJzL2Rvd25yZXYueG1sTI9PS8NAEMXvgt9hGcFL aXf9k1piNkUEEREP1l68TbPTJJidDdltm/bTO3rRy4PHG977TbEcfaf2NMQ2sIWrmQFFXAXXcm1h /fE0XYCKCdlhF5gsHCnCsjw/KzB34cDvtF+lWkkJxxwtNCn1udaxashjnIWeWLJtGDwmsUOt3YAH KfedvjZmrj22LAsN9vTYUPW12nkLN0d+fXme9wZPn3rYnjIa3yYTay8vxod7UInG9HcMP/iCDqUw bcKOXVSdBXkk/apkWbYQu7Fwd2tAl4X+D19+AwAA//8DAFBLAQItABQABgAIAAAAIQC2gziS/gAA AOEBAAATAAAAAAAAAAAAAAAAAAAAAABbQ29udGVudF9UeXBlc10ueG1sUEsBAi0AFAAGAAgAAAAh ADj9If/WAAAAlAEAAAsAAAAAAAAAAAAAAAAALwEAAF9yZWxzLy5yZWxzUEsBAi0AFAAGAAgAAAAh AOY2ylbGCgAA+M4AAA4AAAAAAAAAAAAAAAAALgIAAGRycy9lMm9Eb2MueG1sUEsBAi0AFAAGAAgA AAAhANweNoLcAAAABAEAAA8AAAAAAAAAAAAAAAAAIA0AAGRycy9kb3ducmV2LnhtbFBLBQYAAAAA BAAEAPMAAAApDgAAAAA= ">
                            <v:shape id="_x0000_s1053" type="#_x0000_t75" style="position:absolute;width:35433;height:4699;visibility:visible;mso-wrap-style:square">
                              <v:fill o:detectmouseclick="t"/>
                              <v:path o:connecttype="none"/>
                            </v:shape>
                            <v:line id="Line 38" o:spid="_x0000_s1054" style="position:absolute;visibility:visible;mso-wrap-style:square" from="5695,2304" to="29159,2304"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tj9PrsIAAADcAAAADwAAAGRycy9kb3ducmV2LnhtbERPS4vCMBC+C/6HMII3TX2wSDWKuggL e5CqF29DM7bVZlKSrNb99Rthwdt8fM9ZrFpTizs5X1lWMBomIIhzqysuFJyOu8EMhA/IGmvLpOBJ HlbLbmeBqbYPzuh+CIWIIexTVFCG0KRS+rwkg35oG+LIXawzGCJ0hdQOHzHc1HKcJB/SYMWxocSG tiXlt8OPUTA7Nv7zuT3v7N5df7PvaUZT3CjV77XrOYhAbXiL/91fOs6fjOD1TLxALv8AAAD//wMA UEsBAi0AFAAGAAgAAAAhAP4l66UAAQAA6gEAABMAAAAAAAAAAAAAAAAAAAAAAFtDb250ZW50X1R5 cGVzXS54bWxQSwECLQAUAAYACAAAACEAlgUzWNQAAACXAQAACwAAAAAAAAAAAAAAAAAxAQAAX3Jl bHMvLnJlbHNQSwECLQAUAAYACAAAACEAMy8FnkEAAAA5AAAAFAAAAAAAAAAAAAAAAAAuAgAAZHJz L2Nvbm5lY3RvcnhtbC54bWxQSwECLQAUAAYACAAAACEAtj9PrsIAAADcAAAADwAAAAAAAAAAAAAA AAChAgAAZHJzL2Rvd25yZXYueG1sUEsFBgAAAAAEAAQA+QAAAJADAAAAAA== " strokeweight=".5pt"/>
                            <v:rect id="Rectangle 41" o:spid="_x0000_s1055" style="position:absolute;left:29337;top:1332;width:69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OelOv78A AADcAAAADwAAAGRycy9kb3ducmV2LnhtbERP24rCMBB9F/yHMMK+aWqFRbpGEUFQ2RfrfsDQTC+Y TEoSbf17s7Cwb3M419nsRmvEk3zoHCtYLjIQxJXTHTcKfm7H+RpEiMgajWNS8KIAu+10ssFCu4Gv 9CxjI1IIhwIVtDH2hZShasliWLieOHG18xZjgr6R2uOQwq2ReZZ9Sosdp4YWezq0VN3Lh1Ugb+Vx WJfGZ+6S19/mfLrW5JT6mI37LxCRxvgv/nOfdJq/yuH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A56U6/vwAAANwAAAAPAAAAAAAAAAAAAAAAAJgCAABkcnMvZG93bnJl di54bWxQSwUGAAAAAAQABAD1AAAAhAMAAAAA " filled="f" stroked="f">
                              <v:textbox style="mso-fit-shape-to-text:t" inset="0,0,0,0">
                                <w:txbxContent>
                                  <w:p>
                                    <w:pPr>
                                      <w:rPr>
                                        <w:szCs w:val="24"/>
                                        <w:lang w:val="en-GB"/>
                                      </w:rPr>
                                    </w:pPr>
                                  </w:p>
                                </w:txbxContent>
                              </v:textbox>
                            </v:rect>
                            <v:rect id="Rectangle 42" o:spid="_x0000_s1056" style="position:absolute;left:28581;top:177;width:508;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qXrJL4A AADcAAAADwAAAGRycy9kb3ducmV2LnhtbERP24rCMBB9X/Afwgi+rakKi1SjiCC44ovVDxia6QWT SUmi7f69EYR9m8O5zno7WCOe5EPrWMFsmoEgLp1uuVZwux6+lyBCRNZoHJOCPwqw3Yy+1phr1/OF nkWsRQrhkKOCJsYulzKUDVkMU9cRJ65y3mJM0NdSe+xTuDVynmU/0mLLqaHBjvYNlffiYRXIa3Ho l4XxmTvNq7P5PV4qckpNxsNuBSLSEP/FH/dRp/mLBbyfSRfIzQsAAP//AwBQSwECLQAUAAYACAAA ACEA8PeKu/0AAADiAQAAEwAAAAAAAAAAAAAAAAAAAAAAW0NvbnRlbnRfVHlwZXNdLnhtbFBLAQIt ABQABgAIAAAAIQAx3V9h0gAAAI8BAAALAAAAAAAAAAAAAAAAAC4BAABfcmVscy8ucmVsc1BLAQIt ABQABgAIAAAAIQAzLwWeQQAAADkAAAAQAAAAAAAAAAAAAAAAACkCAABkcnMvc2hhcGV4bWwueG1s UEsBAi0AFAAGAAgAAAAhAFal6yS+AAAA3AAAAA8AAAAAAAAAAAAAAAAAmAIAAGRycy9kb3ducmV2 LnhtbFBLBQYAAAAABAAEAPUAAACDAwAAAAA= " filled="f" stroked="f">
                              <v:textbox style="mso-fit-shape-to-text:t" inset="0,0,0,0">
                                <w:txbxContent>
                                  <w:p>
                                    <w:pPr>
                                      <w:rPr>
                                        <w:szCs w:val="24"/>
                                        <w:lang w:val="en-GB"/>
                                      </w:rPr>
                                    </w:pPr>
                                    <w:r>
                                      <w:rPr>
                                        <w:color w:val="000000"/>
                                        <w:szCs w:val="24"/>
                                        <w:lang w:val="en-US"/>
                                      </w:rPr>
                                      <w:t>)</w:t>
                                    </w:r>
                                  </w:p>
                                </w:txbxContent>
                              </v:textbox>
                            </v:rect>
                            <v:rect id="Rectangle 43" o:spid="_x0000_s1057" style="position:absolute;left:5772;top:177;width:508;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2UxzUL8A AADcAAAADwAAAGRycy9kb3ducmV2LnhtbERP24rCMBB9F/yHMIJvmqrLItUoIgi67IvVDxia6QWT SUmirX+/WVjYtzmc62z3gzXiRT60jhUs5hkI4tLplmsF99tptgYRIrJG45gUvCnAfjcebTHXrucr vYpYixTCIUcFTYxdLmUoG7IY5q4jTlzlvMWYoK+l9tincGvkMss+pcWWU0ODHR0bKh/F0yqQt+LU rwvjM/e1rL7N5XytyCk1nQyHDYhIQ/wX/7nPOs1ffcD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DZTHNQvwAAANwAAAAPAAAAAAAAAAAAAAAAAJgCAABkcnMvZG93bnJl di54bWxQSwUGAAAAAAQABAD1AAAAhAMAAAAA " filled="f" stroked="f">
                              <v:textbox style="mso-fit-shape-to-text:t" inset="0,0,0,0">
                                <w:txbxContent>
                                  <w:p>
                                    <w:pPr>
                                      <w:rPr>
                                        <w:szCs w:val="24"/>
                                        <w:lang w:val="en-GB"/>
                                      </w:rPr>
                                    </w:pPr>
                                    <w:r>
                                      <w:rPr>
                                        <w:color w:val="000000"/>
                                        <w:szCs w:val="24"/>
                                        <w:lang w:val="en-US"/>
                                      </w:rPr>
                                      <w:t>(</w:t>
                                    </w:r>
                                  </w:p>
                                </w:txbxContent>
                              </v:textbox>
                            </v:rect>
                            <v:rect id="Rectangle 44" o:spid="_x0000_s1058" style="position:absolute;left:18738;top:3440;width:299;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gDWy78A AADcAAAADwAAAGRycy9kb3ducmV2LnhtbERP24rCMBB9F/yHMIJvmqrsItUoIgi67IvVDxia6QWT SUmirX+/WVjYtzmc62z3gzXiRT60jhUs5hkI4tLplmsF99tptgYRIrJG45gUvCnAfjcebTHXrucr vYpYixTCIUcFTYxdLmUoG7IY5q4jTlzlvMWYoK+l9tincGvkMss+pcWWU0ODHR0bKh/F0yqQt+LU rwvjM/e1rL7N5XytyCk1nQyHDYhIQ/wX/7nPOs1ffcD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C2ANbL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45" o:spid="_x0000_s1059" style="position:absolute;left:17799;top:3440;width:895;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tJIvL4A AADcAAAADwAAAGRycy9kb3ducmV2LnhtbERP24rCMBB9X/Afwgi+rakKItUoIgiu+GL1A4ZmesFk UpJou39vhIV9m8O5zmY3WCNe5EPrWMFsmoEgLp1uuVZwvx2/VyBCRNZoHJOCXwqw246+Nphr1/OV XkWsRQrhkKOCJsYulzKUDVkMU9cRJ65y3mJM0NdSe+xTuDVynmVLabHl1NBgR4eGykfxtArkrTj2 q8L4zJ3n1cX8nK4VOaUm42G/BhFpiP/iP/dJp/mLJ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EbSSLy+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04</w:t>
                                    </w:r>
                                  </w:p>
                                </w:txbxContent>
                              </v:textbox>
                            </v:rect>
                            <v:rect id="Rectangle 46" o:spid="_x0000_s1060" style="position:absolute;left:17532;top:3440;width:228;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Z7tJ78A AADcAAAADwAAAGRycy9kb3ducmV2LnhtbERP24rCMBB9F/yHMIJvmqqwK9UoIgi67IvVDxia6QWT SUmirX+/WVjYtzmc62z3gzXiRT60jhUs5hkI4tLplmsF99tptgYRIrJG45gUvCnAfjcebTHXrucr vYpYixTCIUcFTYxdLmUoG7IY5q4jTlzlvMWYoK+l9tincGvkMss+pMWWU0ODHR0bKh/F0yqQt+LU rwvjM/e1rL7N5XytyCk1nQyHDYhIQ/wX/7nPOs1ffcL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Apnu0n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47" o:spid="_x0000_s1061" style="position:absolute;left:16605;top:3440;width:895;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WAF5VcMA AADcAAAADwAAAGRycy9kb3ducmV2LnhtbESP3WoCMRCF74W+Q5hC7zRbCyJbo5SCoMUbVx9g2Mz+ 0GSyJKm7vn3nQvBuhnPmnG82u8k7daOY+sAG3hcFKOI62J5bA9fLfr4GlTKyRReYDNwpwW77Mttg acPIZ7pVuVUSwqlEA13OQ6l1qjvymBZhIBatCdFjljW22kYcJdw7vSyKlfbYszR0ONB3R/Vv9ecN 6Eu1H9eVi0X4WTYndzycGwrGvL1OX5+gMk35aX5cH6zgfwit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WAF5Vc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10</w:t>
                                    </w:r>
                                  </w:p>
                                </w:txbxContent>
                              </v:textbox>
                            </v:rect>
                            <v:rect id="Rectangle 48" o:spid="_x0000_s1062" style="position:absolute;left:16338;top:3440;width:299;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03czr8A AADcAAAADwAAAGRycy9kb3ducmV2LnhtbERP24rCMBB9X/Afwgi+rakKi1ajiCCo7IvVDxia6QWT SUmytvv3RljYtzmc62x2gzXiST60jhXMphkI4tLplmsF99vxcwkiRGSNxjEp+KUAu+3oY4O5dj1f 6VnEWqQQDjkqaGLscilD2ZDFMHUdceIq5y3GBH0ttcc+hVsj51n2JS22nBoa7OjQUPkofqwCeSuO /bIwPnOXefVtzqdrRU6pyXjYr0FEGuK/+M990mn+YgXvZ9IFcvsCAAD//wMAUEsBAi0AFAAGAAgA AAAhAPD3irv9AAAA4gEAABMAAAAAAAAAAAAAAAAAAAAAAFtDb250ZW50X1R5cGVzXS54bWxQSwEC LQAUAAYACAAAACEAMd1fYdIAAACPAQAACwAAAAAAAAAAAAAAAAAuAQAAX3JlbHMvLnJlbHNQSwEC LQAUAAYACAAAACEAMy8FnkEAAAA5AAAAEAAAAAAAAAAAAAAAAAApAgAAZHJzL3NoYXBleG1sLnht bFBLAQItABQABgAIAAAAIQA3TdzO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49" o:spid="_x0000_s1063" style="position:absolute;left:27736;top:1110;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EGLsMA AADcAAAADwAAAGRycy9kb3ducmV2LnhtbESP3WoCMRCF74W+Q5hC7zRbKSJbo5SCoMUbVx9g2Mz+ 0GSyJKm7vn3nQvBuhnPmnG82u8k7daOY+sAG3hcFKOI62J5bA9fLfr4GlTKyRReYDNwpwW77Mttg acPIZ7pVuVUSwqlEA13OQ6l1qjvymBZhIBatCdFjljW22kYcJdw7vSyKlfbYszR0ONB3R/Vv9ecN 6Eu1H9eVi0X4WTYndzycGwrGvL1OX5+gMk35aX5cH6zgfwi+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nEGLs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50" o:spid="_x0000_s1064" style="position:absolute;left:26803;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T2jtb4A AADcAAAADwAAAGRycy9kb3ducmV2LnhtbERP24rCMBB9X/Afwgi+ramyLFKNIoKgiy9WP2BophdM JiWJtv69EYR9m8O5zmozWCMe5EPrWMFsmoEgLp1uuVZwvey/FyBCRNZoHJOCJwXYrEdfK8y16/lM jyLWIoVwyFFBE2OXSxnKhiyGqeuIE1c5bzEm6GupPfYp3Bo5z7JfabHl1NBgR7uGyltxtwrkpdj3 i8L4zP3Nq5M5Hs4VOaUm42G7BBFpiP/ij/ug0/yfGbyfSRfI9QsAAP//AwBQSwECLQAUAAYACAAA ACEA8PeKu/0AAADiAQAAEwAAAAAAAAAAAAAAAAAAAAAAW0NvbnRlbnRfVHlwZXNdLnhtbFBLAQIt ABQABgAIAAAAIQAx3V9h0gAAAI8BAAALAAAAAAAAAAAAAAAAAC4BAABfcmVscy8ucmVsc1BLAQIt ABQABgAIAAAAIQAzLwWeQQAAADkAAAAQAAAAAAAAAAAAAAAAACkCAABkcnMvc2hhcGV4bWwueG1s UEsBAi0AFAAGAAgAAAAhAJE9o7W+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04</w:t>
                                    </w:r>
                                  </w:p>
                                </w:txbxContent>
                              </v:textbox>
                            </v:rect>
                            <v:rect id="Rectangle 51" o:spid="_x0000_s1065" style="position:absolute;left:26530;top:1110;width:22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e89wr8A AADcAAAADwAAAGRycy9kb3ducmV2LnhtbERP24rCMBB9F/yHMMK+aWqRRbpGEUFQ2RfrfsDQTC+Y TEoSbf17s7Cwb3M419nsRmvEk3zoHCtYLjIQxJXTHTcKfm7H+RpEiMgajWNS8KIAu+10ssFCu4Gv 9CxjI1IIhwIVtDH2hZShasliWLieOHG18xZjgr6R2uOQwq2ReZZ9Sosdp4YWezq0VN3Lh1Ugb+Vx WJfGZ+6S19/mfLrW5JT6mI37LxCRxvgv/nOfdJq/yuH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Bh7z3C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52" o:spid="_x0000_s1066" style="position:absolute;left:25609;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UoALb4A AADcAAAADwAAAGRycy9kb3ducmV2LnhtbERP24rCMBB9X/Afwgi+rakii1SjiCC44ovVDxia6QWT SUmi7f69EYR9m8O5zno7WCOe5EPrWMFsmoEgLp1uuVZwux6+lyBCRNZoHJOCPwqw3Yy+1phr1/OF nkWsRQrhkKOCJsYulzKUDVkMU9cRJ65y3mJM0NdSe+xTuDVynmU/0mLLqaHBjvYNlffiYRXIa3Ho l4XxmTvNq7P5PV4qckpNxsNuBSLSEP/FH/dRp/mLBbyfSRfIzQsAAP//AwBQSwECLQAUAAYACAAA ACEA8PeKu/0AAADiAQAAEwAAAAAAAAAAAAAAAAAAAAAAW0NvbnRlbnRfVHlwZXNdLnhtbFBLAQIt ABQABgAIAAAAIQAx3V9h0gAAAI8BAAALAAAAAAAAAAAAAAAAAC4BAABfcmVscy8ucmVsc1BLAQIt ABQABgAIAAAAIQAzLwWeQQAAADkAAAAQAAAAAAAAAAAAAAAAACkCAABkcnMvc2hhcGV4bWwueG1s UEsBAi0AFAAGAAgAAAAhAIFKAC2+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10</w:t>
                                    </w:r>
                                  </w:p>
                                </w:txbxContent>
                              </v:textbox>
                            </v:rect>
                            <v:rect id="Rectangle 53" o:spid="_x0000_s1067" style="position:absolute;left:25336;top:1110;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galtr8A AADcAAAADwAAAGRycy9kb3ducmV2LnhtbERP24rCMBB9F/yHMIJvmiruItUoIgi67IvVDxia6QWT SUmirX+/WVjYtzmc62z3gzXiRT60jhUs5hkI4tLplmsF99tptgYRIrJG45gUvCnAfjcebTHXrucr vYpYixTCIUcFTYxdLmUoG7IY5q4jTlzlvMWYoK+l9tincGvkMss+pcWWU0ODHR0bKh/F0yqQt+LU rwvjM/e1rL7N5XytyCk1nQyHDYhIQ/wX/7nPOs1ffcD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DuBqW2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54" o:spid="_x0000_s1068" style="position:absolute;left:22085;top:1110;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tQ7wb4A AADcAAAADwAAAGRycy9kb3ducmV2LnhtbERP24rCMBB9X/Afwgi+rakiItUoIgiu+GL1A4ZmesFk UpJou39vhIV9m8O5zmY3WCNe5EPrWMFsmoEgLp1uuVZwvx2/VyBCRNZoHJOCXwqw246+Nphr1/OV XkWsRQrhkKOCJsYulzKUDVkMU9cRJ65y3mJM0NdSe+xTuDVynmVLabHl1NBgR4eGykfxtArkrTj2 q8L4zJ3n1cX8nK4VOaUm42G/BhFpiP/iP/dJp/mLJ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B7UO8G+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55" o:spid="_x0000_s1069" style="position:absolute;left:21145;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cZieWr8A AADcAAAADwAAAGRycy9kb3ducmV2LnhtbERP24rCMBB9F/yHMIJvmiqyK9UoIgi67IvVDxia6QWT SUmirX+/WVjYtzmc62z3gzXiRT60jhUs5hkI4tLplmsF99tptgYRIrJG45gUvCnAfjcebTHXrucr vYpYixTCIUcFTYxdLmUoG7IY5q4jTlzlvMWYoK+l9tincGvkMss+pMWWU0ODHR0bKh/F0yqQt+LU rwvjM/e1rL7N5XytyCk1nQyHDYhIQ/wX/7nPOs1ffcL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BxmJ5a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04</w:t>
                                    </w:r>
                                  </w:p>
                                </w:txbxContent>
                              </v:textbox>
                            </v:rect>
                            <v:rect id="Rectangle 56" o:spid="_x0000_s1070" style="position:absolute;left:20878;top:1110;width:22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AcKKMMA AADcAAAADwAAAGRycy9kb3ducmV2LnhtbESP3WoCMRCF74W+Q5hC7zRbKSJbo5SCoMUbVx9g2Mz+ 0GSyJKm7vn3nQvBuhnPmnG82u8k7daOY+sAG3hcFKOI62J5bA9fLfr4GlTKyRReYDNwpwW77Mttg acPIZ7pVuVUSwqlEA13OQ6l1qjvymBZhIBatCdFjljW22kYcJdw7vSyKlfbYszR0ONB3R/Vv9ecN 6Eu1H9eVi0X4WTYndzycGwrGvL1OX5+gMk35aX5cH6zgfwit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AAcKKM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57" o:spid="_x0000_s1071" style="position:absolute;left:19951;top:1110;width:896;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0uvs78A AADcAAAADwAAAGRycy9kb3ducmV2LnhtbERP24rCMBB9X/Afwgi+rakii1ajiCCo7IvVDxia6QWT SUmytvv3RljYtzmc62x2gzXiST60jhXMphkI4tLplmsF99vxcwkiRGSNxjEp+KUAu+3oY4O5dj1f 6VnEWqQQDjkqaGLscilD2ZDFMHUdceIq5y3GBH0ttcc+hVsj51n2JS22nBoa7OjQUPkofqwCeSuO /bIwPnOXefVtzqdrRU6pyXjYr0FEGuK/+M990mn+YgXvZ9IFcvsCAAD//wMAUEsBAi0AFAAGAAgA AAAhAPD3irv9AAAA4gEAABMAAAAAAAAAAAAAAAAAAAAAAFtDb250ZW50X1R5cGVzXS54bWxQSwEC LQAUAAYACAAAACEAMd1fYdIAAACPAQAACwAAAAAAAAAAAAAAAAAuAQAAX3JlbHMvLnJlbHNQSwEC LQAUAAYACAAAACEAMy8FnkEAAAA5AAAAEAAAAAAAAAAAAAAAAAApAgAAZHJzL3NoYXBleG1sLnht bFBLAQItABQABgAIAAAAIQBvS6+z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10</w:t>
                                    </w:r>
                                  </w:p>
                                </w:txbxContent>
                              </v:textbox>
                            </v:rect>
                            <v:rect id="Rectangle 58" o:spid="_x0000_s1072" style="position:absolute;left:19678;top:1110;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6iQ88MA AADcAAAADwAAAGRycy9kb3ducmV2LnhtbESP3WoCMRCF74W+Q5hC7zRboSJbo5SCoMUbVx9g2Mz+ 0GSyJKm7vn3nQvBuhnPmnG82u8k7daOY+sAG3hcFKOI62J5bA9fLfr4GlTKyRReYDNwpwW77Mttg acPIZ7pVuVUSwqlEA13OQ6l1qjvymBZhIBatCdFjljW22kYcJdw7vSyKlfbYszR0ONB3R/Vv9ecN 6Eu1H9eVi0X4WTYndzycGwrGvL1OX5+gMk35aX5cH6zgfwi+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e6iQ88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59" o:spid="_x0000_s1073" style="position:absolute;left:15995;top:1110;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OQ1aL4A AADcAAAADwAAAGRycy9kb3ducmV2LnhtbERP24rCMBB9X/Afwgi+ranCLlKNIoKgiy9WP2BophdM JiWJtv69EYR9m8O5zmozWCMe5EPrWMFsmoEgLp1uuVZwvey/FyBCRNZoHJOCJwXYrEdfK8y16/lM jyLWIoVwyFFBE2OXSxnKhiyGqeuIE1c5bzEm6GupPfYp3Bo5z7JfabHl1NBgR7uGyltxtwrkpdj3 i8L4zP3Nq5M5Hs4VOaUm42G7BBFpiP/ij/ug0/yfGbyfSRfI9QsAAP//AwBQSwECLQAUAAYACAAA ACEA8PeKu/0AAADiAQAAEwAAAAAAAAAAAAAAAAAAAAAAW0NvbnRlbnRfVHlwZXNdLnhtbFBLAQIt ABQABgAIAAAAIQAx3V9h0gAAAI8BAAALAAAAAAAAAAAAAAAAAC4BAABfcmVscy8ucmVsc1BLAQIt ABQABgAIAAAAIQAzLwWeQQAAADkAAAAQAAAAAAAAAAAAAAAAACkCAABkcnMvc2hhcGV4bWwueG1s UEsBAi0AFAAGAAgAAAAhABTkNWi+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60" o:spid="_x0000_s1074" style="position:absolute;left:15062;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5DarH78A AADcAAAADwAAAGRycy9kb3ducmV2LnhtbERP24rCMBB9F/yHMMK+aWrBRbpGEUFQ2RfrfsDQTC+Y TEoSbf17s7Cwb3M419nsRmvEk3zoHCtYLjIQxJXTHTcKfm7H+RpEiMgajWNS8KIAu+10ssFCu4Gv 9CxjI1IIhwIVtDH2hZShasliWLieOHG18xZjgr6R2uOQwq2ReZZ9Sosdp4YWezq0VN3Lh1Ugb+Vx WJfGZ+6S19/mfLrW5JT6mI37LxCRxvgv/nOfdJq/yuH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DkNqsf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04</w:t>
                                    </w:r>
                                  </w:p>
                                </w:txbxContent>
                              </v:textbox>
                            </v:rect>
                            <v:rect id="Rectangle 61" o:spid="_x0000_s1075" style="position:absolute;left:14789;top:1110;width:22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3oOhL8A AADcAAAADwAAAGRycy9kb3ducmV2LnhtbERP24rCMBB9F/yHMIJvmqrsItUoIgi67IvVDxia6QWT SUmirX+/WVjYtzmc62z3gzXiRT60jhUs5hkI4tLplmsF99tptgYRIrJG45gUvCnAfjcebTHXrucr vYpYixTCIUcFTYxdLmUoG7IY5q4jTlzlvMWYoK+l9tincGvkMss+pcWWU0ODHR0bKh/F0yqQt+LU rwvjM/e1rL7N5XytyCk1nQyHDYhIQ/wX/7nPOs3/W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CLeg6E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62" o:spid="_x0000_s1076" style="position:absolute;left:13868;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JOW8L8A AADcAAAADwAAAGRycy9kb3ducmV2LnhtbERP24rCMBB9F/yHMIJvmiruItUoIgi67IvVDxia6QWT SUmirX+/WVjYtzmc62z3gzXiRT60jhUs5hkI4tLplmsF99tptgYRIrJG45gUvCnAfjcebTHXrucr vYpYixTCIUcFTYxdLmUoG7IY5q4jTlzlvMWYoK+l9tincGvkMss+pcWWU0ODHR0bKh/F0yqQt+LU rwvjM/e1rL7N5XytyCk1nQyHDYhIQ/wX/7nPOs3/W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AEk5bw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10</w:t>
                                    </w:r>
                                  </w:p>
                                </w:txbxContent>
                              </v:textbox>
                            </v:rect>
                            <v:rect id="Rectangle 63" o:spid="_x0000_s1077" style="position:absolute;left:13595;top:1110;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98za74A AADcAAAADwAAAGRycy9kb3ducmV2LnhtbERP24rCMBB9X/Afwgi+ramCi1SjiCC44ovVDxia6QWT SUmi7f69EYR9m8O5zno7WCOe5EPrWMFsmoEgLp1uuVZwux6+lyBCRNZoHJOCPwqw3Yy+1phr1/OF nkWsRQrhkKOCJsYulzKUDVkMU9cRJ65y3mJM0NdSe+xTuDVynmU/0mLLqaHBjvYNlffiYRXIa3Ho l4XxmTvNq7P5PV4qckpNxsNuBSLSEP/FH/dRp/mLBbyfSRfIzQsAAP//AwBQSwECLQAUAAYACAAA ACEA8PeKu/0AAADiAQAAEwAAAAAAAAAAAAAAAAAAAAAAW0NvbnRlbnRfVHlwZXNdLnhtbFBLAQIt ABQABgAIAAAAIQAx3V9h0gAAAI8BAAALAAAAAAAAAAAAAAAAAC4BAABfcmVscy8ucmVsc1BLAQIt ABQABgAIAAAAIQAzLwWeQQAAADkAAAAQAAAAAAAAAAAAAAAAACkCAABkcnMvc2hhcGV4bWwueG1s UEsBAi0AFAAGAAgAAAAhAGvfM2u+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64" o:spid="_x0000_s1078" style="position:absolute;left:9493;top:1110;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w2tHL4A AADcAAAADwAAAGRycy9kb3ducmV2LnhtbERP24rCMBB9X/Afwgi+ramCItUoIgiu+GL1A4ZmesFk UpJou39vhIV9m8O5zmY3WCNe5EPrWMFsmoEgLp1uuVZwvx2/VyBCRNZoHJOCXwqw246+Nphr1/OV XkWsRQrhkKOCJsYulzKUDVkMU9cRJ65y3mJM0NdSe+xTuDVynmVLabHl1NBgR4eGykfxtArkrTj2 q8L4zJ3n1cX8nK4VOaUm42G/BhFpiP/iP/dJp/mLJ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JsNrRy+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65" o:spid="_x0000_s1079" style="position:absolute;left:8559;top:1110;width:896;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9EEIh78A AADcAAAADwAAAGRycy9kb3ducmV2LnhtbERP24rCMBB9F/yHMIJvmiq4K9UoIgi67IvVDxia6QWT SUmirX+/WVjYtzmc62z3gzXiRT60jhUs5hkI4tLplmsF99tptgYRIrJG45gUvCnAfjcebTHXrucr vYpYixTCIUcFTYxdLmUoG7IY5q4jTlzlvMWYoK+l9tincGvkMss+pMWWU0ODHR0bKh/F0yqQt+LU rwvjM/e1rL7N5XytyCk1nQyHDYhIQ/wX/7nPOs1ffcL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D0QQiH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04</w:t>
                                    </w:r>
                                  </w:p>
                                </w:txbxContent>
                              </v:textbox>
                            </v:rect>
                            <v:rect id="Rectangle 66" o:spid="_x0000_s1080" style="position:absolute;left:8286;top:1110;width:22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d6c9cMA AADcAAAADwAAAGRycy9kb3ducmV2LnhtbESP3WoCMRCF74W+Q5hC7zRboSJbo5SCoMUbVx9g2Mz+ 0GSyJKm7vn3nQvBuhnPmnG82u8k7daOY+sAG3hcFKOI62J5bA9fLfr4GlTKyRReYDNwpwW77Mttg acPIZ7pVuVUSwqlEA13OQ6l1qjvymBZhIBatCdFjljW22kYcJdw7vSyKlfbYszR0ONB3R/Vv9ecN 6Eu1H9eVi0X4WTYndzycGwrGvL1OX5+gMk35aX5cH6zgfwit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hd6c9c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67" o:spid="_x0000_s1081" style="position:absolute;left:7359;top:1110;width:896;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6pI5br8A AADcAAAADwAAAGRycy9kb3ducmV2LnhtbERP24rCMBB9X/Afwgi+ramCi1ajiCCo7IvVDxia6QWT SUmytvv3RljYtzmc62x2gzXiST60jhXMphkI4tLplmsF99vxcwkiRGSNxjEp+KUAu+3oY4O5dj1f 6VnEWqQQDjkqaGLscilD2ZDFMHUdceIq5y3GBH0ttcc+hVsj51n2JS22nBoa7OjQUPkofqwCeSuO /bIwPnOXefVtzqdrRU6pyXjYr0FEGuK/+M990mn+YgXvZ9IFcvsCAAD//wMAUEsBAi0AFAAGAAgA AAAhAPD3irv9AAAA4gEAABMAAAAAAAAAAAAAAAAAAAAAAFtDb250ZW50X1R5cGVzXS54bWxQSwEC LQAUAAYACAAAACEAMd1fYdIAAACPAQAACwAAAAAAAAAAAAAAAAAuAQAAX3JlbHMvLnJlbHNQSwEC LQAUAAYACAAAACEAMy8FnkEAAAA5AAAAEAAAAAAAAAAAAAAAAAApAgAAZHJzL3NoYXBleG1sLnht bFBLAQItABQABgAIAAAAIQDqkjlu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10</w:t>
                                    </w:r>
                                  </w:p>
                                </w:txbxContent>
                              </v:textbox>
                            </v:rect>
                            <v:rect id="Rectangle 68" o:spid="_x0000_s1082" style="position:absolute;left:7092;top:1110;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cRaTsMA AADcAAAADwAAAGRycy9kb3ducmV2LnhtbESPzWoDMQyE74G8g1Ggt6y3OYSwiRNKIZCWXLLpA4i1 9ofa8mK72e3bR4dCbxIzmvl0OM3eqQfFNAQ28FqUoIibYAfuDHzdz+sdqJSRLbrAZOCXEpyOy8UB KxsmvtGjzp2SEE4VGuhzHiutU9OTx1SEkVi0NkSPWdbYaRtxknDv9KYst9rjwNLQ40jvPTXf9Y83 oO/1edrVLpbhc9Ne3cfl1lIw5mU1v+1BZZrzv/nv+mIFfyv48oxMoI9PAAAA//8DAFBLAQItABQA BgAIAAAAIQDw94q7/QAAAOIBAAATAAAAAAAAAAAAAAAAAAAAAABbQ29udGVudF9UeXBlc10ueG1s UEsBAi0AFAAGAAgAAAAhADHdX2HSAAAAjwEAAAsAAAAAAAAAAAAAAAAALgEAAF9yZWxzLy5yZWxz UEsBAi0AFAAGAAgAAAAhADMvBZ5BAAAAOQAAABAAAAAAAAAAAAAAAAAAKQIAAGRycy9zaGFwZXht bC54bWxQSwECLQAUAAYACAAAACEAtcRaTs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69" o:spid="_x0000_s1083" style="position:absolute;left:3327;top:2266;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2oj/1b4A AADcAAAADwAAAGRycy9kb3ducmV2LnhtbERPy6rCMBDdC/5DGOHuNNWFSDWKCIJX7sbqBwzN9IHJ pCTR9v69EQR3czjP2ewGa8STfGgdK5jPMhDEpdMt1wpu1+N0BSJEZI3GMSn4pwC77Xi0wVy7ni/0 LGItUgiHHBU0MXa5lKFsyGKYuY44cZXzFmOCvpbaY5/CrZGLLFtKiy2nhgY7OjRU3ouHVSCvxbFf FcZn7ryo/szv6VKRU+pnMuzXICIN8Sv+uE86zV/O4f1MukBuXwAAAP//AwBQSwECLQAUAAYACAAA ACEA8PeKu/0AAADiAQAAEwAAAAAAAAAAAAAAAAAAAAAAW0NvbnRlbnRfVHlwZXNdLnhtbFBLAQIt ABQABgAIAAAAIQAx3V9h0gAAAI8BAAALAAAAAAAAAAAAAAAAAC4BAABfcmVscy8ucmVsc1BLAQIt ABQABgAIAAAAIQAzLwWeQQAAADkAAAAQAAAAAAAAAAAAAAAAACkCAABkcnMvc2hhcGV4bWwueG1s UEsBAi0AFAAGAAgAAAAhANqI/9W+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70" o:spid="_x0000_s1084" style="position:absolute;left:2393;top:2266;width:896;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lphor4A AADcAAAADwAAAGRycy9kb3ducmV2LnhtbERPzYrCMBC+C75DGGFvmtqDSDWKCIIre7HuAwzN9AeT SUmi7b69EYS9zcf3O9v9aI14kg+dYwXLRQaCuHK640bB7+00X4MIEVmjcUwK/ijAfjedbLHQbuAr PcvYiBTCoUAFbYx9IWWoWrIYFq4nTlztvMWYoG+k9jikcGtknmUrabHj1NBiT8eWqnv5sArkrTwN 69L4zF3y+sd8n681OaW+ZuNhAyLSGP/FH/dZp/mrHN7PpAvk7gUAAP//AwBQSwECLQAUAAYACAAA ACEA8PeKu/0AAADiAQAAEwAAAAAAAAAAAAAAAAAAAAAAW0NvbnRlbnRfVHlwZXNdLnhtbFBLAQIt ABQABgAIAAAAIQAx3V9h0gAAAI8BAAALAAAAAAAAAAAAAAAAAC4BAABfcmVscy8ucmVsc1BLAQIt ABQABgAIAAAAIQAzLwWeQQAAADkAAAAQAAAAAAAAAAAAAAAAACkCAABkcnMvc2hhcGV4bWwueG1s UEsBAi0AFAAGAAgAAAAhACpaYaK+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04</w:t>
                                    </w:r>
                                  </w:p>
                                </w:txbxContent>
                              </v:textbox>
                            </v:rect>
                            <v:rect id="Rectangle 71" o:spid="_x0000_s1085" style="position:absolute;left:2120;top:2266;width:22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RbEOb4A AADcAAAADwAAAGRycy9kb3ducmV2LnhtbERP24rCMBB9X/Afwgi+rakKItUoIgiu+GL1A4ZmesFk UpJou39vhIV9m8O5zmY3WCNe5EPrWMFsmoEgLp1uuVZwvx2/VyBCRNZoHJOCXwqw246+Nphr1/OV XkWsRQrhkKOCJsYulzKUDVkMU9cRJ65y3mJM0NdSe+xTuDVynmVLabHl1NBgR4eGykfxtArkrTj2 q8L4zJ3n1cX8nK4VOaUm42G/BhFpiP/iP/dJp/nLB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EUWxDm+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72" o:spid="_x0000_s1086" style="position:absolute;left:1200;top:2266;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v9cTb4A AADcAAAADwAAAGRycy9kb3ducmV2LnhtbERP24rCMBB9X/Afwgi+rakiItUoIgiu+GL1A4ZmesFk UpJou39vhIV9m8O5zmY3WCNe5EPrWMFsmoEgLp1uuVZwvx2/VyBCRNZoHJOCXwqw246+Nphr1/OV XkWsRQrhkKOCJsYulzKUDVkMU9cRJ65y3mJM0NdSe+xTuDVynmVLabHl1NBgR4eGykfxtArkrTj2 q8L4zJ3n1cX8nK4VOaUm42G/BhFpiP/iP/dJp/nLB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Mr/XE2+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10</w:t>
                                    </w:r>
                                  </w:p>
                                </w:txbxContent>
                              </v:textbox>
                            </v:rect>
                            <v:rect id="Rectangle 73" o:spid="_x0000_s1087" style="position:absolute;left:927;top:2266;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pbP51r4A AADcAAAADwAAAGRycy9kb3ducmV2LnhtbERP24rCMBB9X/Afwgi+ramCItUoIgiu+GL1A4ZmesFk UpJou39vhIV9m8O5zmY3WCNe5EPrWMFsmoEgLp1uuVZwvx2/VyBCRNZoHJOCXwqw246+Nphr1/OV XkWsRQrhkKOCJsYulzKUDVkMU9cRJ65y3mJM0NdSe+xTuDVynmVLabHl1NBgR4eGykfxtArkrTj2 q8L4zJ3n1cX8nK4VOaUm42G/BhFpiP/iP/dJp/nLB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KWz+da+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74" o:spid="_x0000_s1088" style="position:absolute;left:19075;top:3447;width:254;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WFnob4A AADcAAAADwAAAGRycy9kb3ducmV2LnhtbERPzYrCMBC+L/gOYQRva6qHIl2jiCCoeLHuAwzN9IdN JiWJtr69EYS9zcf3O+vtaI14kA+dYwWLeQaCuHK640bB7+3wvQIRIrJG45gUPCnAdjP5WmOh3cBX epSxESmEQ4EK2hj7QspQtWQxzF1PnLjaeYsxQd9I7XFI4dbIZZbl0mLHqaHFnvYtVX/l3SqQt/Iw rErjM3de1hdzOl5rckrNpuPuB0SkMf6LP+6jTvPzHN7PpAvk5gUAAP//AwBQSwECLQAUAAYACAAA ACEA8PeKu/0AAADiAQAAEwAAAAAAAAAAAAAAAAAAAAAAW0NvbnRlbnRfVHlwZXNdLnhtbFBLAQIt ABQABgAIAAAAIQAx3V9h0gAAAI8BAAALAAAAAAAAAAAAAAAAAC4BAABfcmVscy8ucmVsc1BLAQIt ABQABgAIAAAAIQAzLwWeQQAAADkAAAAQAAAAAAAAAAAAAAAAACkCAABkcnMvc2hhcGV4bWwueG1s UEsBAi0AFAAGAAgAAAAhAFVhZ6G+AAAA3AAAAA8AAAAAAAAAAAAAAAAAmAIAAGRycy9kb3ducmV2 LnhtbFBLBQYAAAAABAAEAPUAAACDAwAAAAA= " filled="f" stroked="f">
                              <v:textbox style="mso-fit-shape-to-text:t" inset="0,0,0,0">
                                <w:txbxContent>
                                  <w:p>
                                    <w:pPr>
                                      <w:rPr>
                                        <w:szCs w:val="24"/>
                                        <w:lang w:val="en-GB"/>
                                      </w:rPr>
                                    </w:pPr>
                                    <w:r>
                                      <w:rPr>
                                        <w:i/>
                                        <w:iCs/>
                                        <w:color w:val="000000"/>
                                        <w:sz w:val="14"/>
                                        <w:szCs w:val="14"/>
                                        <w:lang w:val="en-US"/>
                                      </w:rPr>
                                      <w:t>t</w:t>
                                    </w:r>
                                  </w:p>
                                </w:txbxContent>
                              </v:textbox>
                            </v:rect>
                            <v:rect id="Rectangle 75" o:spid="_x0000_s1089" style="position:absolute;left:28079;top:1116;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Oi3COr8A AADcAAAADwAAAGRycy9kb3ducmV2LnhtbERPzYrCMBC+L/gOYQRva6oHV6pRRBBc8WL1AYZm+oPJ pCTRdt/eCMLe5uP7nfV2sEY8yYfWsYLZNANBXDrdcq3gdj18L0GEiKzROCYFfxRguxl9rTHXrucL PYtYixTCIUcFTYxdLmUoG7IYpq4jTlzlvMWYoK+l9tincGvkPMsW0mLLqaHBjvYNlffiYRXIa3Ho l4XxmTvNq7P5PV4qckpNxsNuBSLSEP/FH/dRp/mLH3g/ky6QmxcAAAD//wMAUEsBAi0AFAAGAAgA AAAhAPD3irv9AAAA4gEAABMAAAAAAAAAAAAAAAAAAAAAAFtDb250ZW50X1R5cGVzXS54bWxQSwEC LQAUAAYACAAAACEAMd1fYdIAAACPAQAACwAAAAAAAAAAAAAAAAAuAQAAX3JlbHMvLnJlbHNQSwEC LQAUAAYACAAAACEAMy8FnkEAAAA5AAAAEAAAAAAAAAAAAAAAAAApAgAAZHJzL3NoYXBleG1sLnht bFBLAQItABQABgAIAAAAIQA6LcI6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US"/>
                                      </w:rPr>
                                      <w:t>t</w:t>
                                    </w:r>
                                  </w:p>
                                </w:txbxContent>
                              </v:textbox>
                            </v:rect>
                            <v:rect id="Rectangle 76" o:spid="_x0000_s1090" style="position:absolute;left:22421;top:1116;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S7JWSMMA AADcAAAADwAAAGRycy9kb3ducmV2LnhtbESPzWoDMQyE74G8g1Ggt6y3OYSwiRNKIZCWXLLpA4i1 9ofa8mK72e3bR4dCbxIzmvl0OM3eqQfFNAQ28FqUoIibYAfuDHzdz+sdqJSRLbrAZOCXEpyOy8UB KxsmvtGjzp2SEE4VGuhzHiutU9OTx1SEkVi0NkSPWdbYaRtxknDv9KYst9rjwNLQ40jvPTXf9Y83 oO/1edrVLpbhc9Ne3cfl1lIw5mU1v+1BZZrzv/nv+mIFfyu08oxMoI9PAAAA//8DAFBLAQItABQA BgAIAAAAIQDw94q7/QAAAOIBAAATAAAAAAAAAAAAAAAAAAAAAABbQ29udGVudF9UeXBlc10ueG1s UEsBAi0AFAAGAAgAAAAhADHdX2HSAAAAjwEAAAsAAAAAAAAAAAAAAAAALgEAAF9yZWxzLy5yZWxz UEsBAi0AFAAGAAgAAAAhADMvBZ5BAAAAOQAAABAAAAAAAAAAAAAAAAAAKQIAAGRycy9zaGFwZXht bC54bWxQSwECLQAUAAYACAAAACEAS7JWSMMAAADcAAAADwAAAAAAAAAAAAAAAACYAgAAZHJzL2Rv d25yZXYueG1sUEsFBgAAAAAEAAQA9QAAAIgDAAAAAA== " filled="f" stroked="f">
                              <v:textbox style="mso-fit-shape-to-text:t" inset="0,0,0,0">
                                <w:txbxContent>
                                  <w:p>
                                    <w:pPr>
                                      <w:rPr>
                                        <w:szCs w:val="24"/>
                                        <w:lang w:val="en-GB"/>
                                      </w:rPr>
                                    </w:pPr>
                                    <w:r>
                                      <w:rPr>
                                        <w:i/>
                                        <w:iCs/>
                                        <w:color w:val="000000"/>
                                        <w:sz w:val="14"/>
                                        <w:szCs w:val="14"/>
                                        <w:lang w:val="en-US"/>
                                      </w:rPr>
                                      <w:t>t</w:t>
                                    </w:r>
                                  </w:p>
                                </w:txbxContent>
                              </v:textbox>
                            </v:rect>
                            <v:rect id="Rectangle 77" o:spid="_x0000_s1091" style="position:absolute;left:16338;top:1116;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JP7z078A AADcAAAADwAAAGRycy9kb3ducmV2LnhtbERPzYrCMBC+L/gOYQRva6oHcatRRBBc8WL1AYZm+oPJ pCTRdt/eCMLe5uP7nfV2sEY8yYfWsYLZNANBXDrdcq3gdj18L0GEiKzROCYFfxRguxl9rTHXrucL PYtYixTCIUcFTYxdLmUoG7IYpq4jTlzlvMWYoK+l9tincGvkPMsW0mLLqaHBjvYNlffiYRXIa3Ho l4XxmTvNq7P5PV4qckpNxsNuBSLSEP/FH/dRp/mLH3g/ky6QmxcAAAD//wMAUEsBAi0AFAAGAAgA AAAhAPD3irv9AAAA4gEAABMAAAAAAAAAAAAAAAAAAAAAAFtDb250ZW50X1R5cGVzXS54bWxQSwEC LQAUAAYACAAAACEAMd1fYdIAAACPAQAACwAAAAAAAAAAAAAAAAAuAQAAX3JlbHMvLnJlbHNQSwEC LQAUAAYACAAAACEAMy8FnkEAAAA5AAAAEAAAAAAAAAAAAAAAAAApAgAAZHJzL3NoYXBleG1sLnht bFBLAQItABQABgAIAAAAIQAk/vPT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US"/>
                                      </w:rPr>
                                      <w:t>t</w:t>
                                    </w:r>
                                  </w:p>
                                </w:txbxContent>
                              </v:textbox>
                            </v:rect>
                            <v:rect id="Rectangle 78" o:spid="_x0000_s1092" style="position:absolute;left:9969;top:1116;width:45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B3Mk8MA AADcAAAADwAAAGRycy9kb3ducmV2LnhtbESPT2sCMRDF70K/Q5hCb5qthypbo5SCoMWLqx9g2Mz+ oclkSVJ3/fadg+Bthvfmvd9sdpN36kYx9YENvC8KUMR1sD23Bq6X/XwNKmVkiy4wGbhTgt32ZbbB 0oaRz3SrcqskhFOJBrqch1LrVHfkMS3CQCxaE6LHLGtstY04Srh3elkUH9pjz9LQ4UDfHdW/1Z83 oC/VflxXLhbhZ9mc3PFwbigY8/Y6fX2CyjTlp/lxfbCCvxJ8eUYm0Nt/AAAA//8DAFBLAQItABQA BgAIAAAAIQDw94q7/QAAAOIBAAATAAAAAAAAAAAAAAAAAAAAAABbQ29udGVudF9UeXBlc10ueG1s UEsBAi0AFAAGAAgAAAAhADHdX2HSAAAAjwEAAAsAAAAAAAAAAAAAAAAALgEAAF9yZWxzLy5yZWxz UEsBAi0AFAAGAAgAAAAhADMvBZ5BAAAAOQAAABAAAAAAAAAAAAAAAAAAKQIAAGRycy9zaGFwZXht bC54bWxQSwECLQAUAAYACAAAACEAMB3Mk8MAAADcAAAADwAAAAAAAAAAAAAAAACYAgAAZHJzL2Rv d25yZXYueG1sUEsFBgAAAAAEAAQA9QAAAIgDAAAAAA== " filled="f" stroked="f">
                              <v:textbox style="mso-fit-shape-to-text:t" inset="0,0,0,0">
                                <w:txbxContent>
                                  <w:p>
                                    <w:pPr>
                                      <w:rPr>
                                        <w:szCs w:val="24"/>
                                        <w:lang w:val="en-GB"/>
                                      </w:rPr>
                                    </w:pPr>
                                    <w:r>
                                      <w:rPr>
                                        <w:i/>
                                        <w:iCs/>
                                        <w:color w:val="000000"/>
                                        <w:sz w:val="14"/>
                                        <w:szCs w:val="14"/>
                                        <w:lang w:val="en-US"/>
                                      </w:rPr>
                                      <w:t>p</w:t>
                                    </w:r>
                                  </w:p>
                                </w:txbxContent>
                              </v:textbox>
                            </v:rect>
                            <v:rect id="Rectangle 79" o:spid="_x0000_s1093" style="position:absolute;left:3670;top:2272;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1FpCL8A AADcAAAADwAAAGRycy9kb3ducmV2LnhtbERPzYrCMBC+L/gOYQRva6qHXalGEUHQxYvVBxia6Q8m k5JEW9/eCMLe5uP7ndVmsEY8yIfWsYLZNANBXDrdcq3getl/L0CEiKzROCYFTwqwWY++Vphr1/OZ HkWsRQrhkKOCJsYulzKUDVkMU9cRJ65y3mJM0NdSe+xTuDVynmU/0mLLqaHBjnYNlbfibhXIS7Hv F4XxmfubVydzPJwrckpNxsN2CSLSEP/FH/dBp/m/M3g/ky6Q6xcAAAD//wMAUEsBAi0AFAAGAAgA AAAhAPD3irv9AAAA4gEAABMAAAAAAAAAAAAAAAAAAAAAAFtDb250ZW50X1R5cGVzXS54bWxQSwEC LQAUAAYACAAAACEAMd1fYdIAAACPAQAACwAAAAAAAAAAAAAAAAAuAQAAX3JlbHMvLnJlbHNQSwEC LQAUAAYACAAAACEAMy8FnkEAAAA5AAAAEAAAAAAAAAAAAAAAAAApAgAAZHJzL3NoYXBleG1sLnht bFBLAQItABQABgAIAAAAIQBfUWkI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US"/>
                                      </w:rPr>
                                      <w:t>t</w:t>
                                    </w:r>
                                  </w:p>
                                </w:txbxContent>
                              </v:textbox>
                            </v:rect>
                            <v:rect id="Rectangle 80" o:spid="_x0000_s1094" style="position:absolute;left:15373;top:2513;width:933;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4P3f78A AADcAAAADwAAAGRycy9kb3ducmV2LnhtbERPzYrCMBC+C75DGGFvmtqDK12jiCCo7MW6DzA00x9M JiWJtr69WVjY23x8v7PZjdaIJ/nQOVawXGQgiCunO24U/NyO8zWIEJE1Gsek4EUBdtvpZIOFdgNf 6VnGRqQQDgUqaGPsCylD1ZLFsHA9ceJq5y3GBH0jtcchhVsj8yxbSYsdp4YWezq0VN3Lh1Ugb+Vx WJfGZ+6S19/mfLrW5JT6mI37LxCRxvgv/nOfdJr/mcPvM+kCuX0DAAD//wMAUEsBAi0AFAAGAAgA AAAhAPD3irv9AAAA4gEAABMAAAAAAAAAAAAAAAAAAAAAAFtDb250ZW50X1R5cGVzXS54bWxQSwEC LQAUAAYACAAAACEAMd1fYdIAAACPAQAACwAAAAAAAAAAAAAAAAAuAQAAX3JlbHMvLnJlbHNQSwEC LQAUAAYACAAAACEAMy8FnkEAAAA5AAAAEAAAAAAAAAAAAAAAAAApAgAAZHJzL3NoYXBleG1sLnht bFBLAQItABQABgAIAAAAIQCvg/d/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E</w:t>
                                    </w:r>
                                  </w:p>
                                </w:txbxContent>
                              </v:textbox>
                            </v:rect>
                            <v:rect id="Rectangle 81" o:spid="_x0000_s1095" style="position:absolute;left:23711;top:178;width:153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wM9S5L8A AADcAAAADwAAAGRycy9kb3ducmV2LnhtbERP24rCMBB9F/yHMIJvmqqwK9UoIgi67IvVDxia6QWT SUmirX+/WVjYtzmc62z3gzXiRT60jhUs5hkI4tLplmsF99tptgYRIrJG45gUvCnAfjcebTHXrucr vYpYixTCIUcFTYxdLmUoG7IY5q4jTlzlvMWYoK+l9tincGvkMss+pMWWU0ODHR0bKh/F0yqQt+LU rwvjM/e1rL7N5XytyCk1nQyHDYhIQ/wX/7nPOs3/X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DAz1Lk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IK</w:t>
                                    </w:r>
                                  </w:p>
                                </w:txbxContent>
                              </v:textbox>
                            </v:rect>
                            <v:rect id="Rectangle 82" o:spid="_x0000_s1096" style="position:absolute;left:17628;top:178;width:1949;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ybKkL8A AADcAAAADwAAAGRycy9kb3ducmV2LnhtbERP24rCMBB9F/yHMIJvmiqyK9UoIgi67IvVDxia6QWT SUmirX+/WVjYtzmc62z3gzXiRT60jhUs5hkI4tLplmsF99tptgYRIrJG45gUvCnAfjcebTHXrucr vYpYixTCIUcFTYxdLmUoG7IY5q4jTlzlvMWYoK+l9tincGvkMss+pMWWU0ODHR0bKh/F0yqQt+LU rwvjM/e1rL7N5XytyCk1nQyHDYhIQ/wX/7nPOs3/X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BPJsqQ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EK</w:t>
                                    </w:r>
                                  </w:p>
                                </w:txbxContent>
                              </v:textbox>
                            </v:rect>
                            <v:rect id="Rectangle 83" o:spid="_x0000_s1097" style="position:absolute;left:11449;top:178;width:2038;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GpvC78A AADcAAAADwAAAGRycy9kb3ducmV2LnhtbERP24rCMBB9F/yHMIJvmiq4K9UoIgi67IvVDxia6QWT SUmirX+/WVjYtzmc62z3gzXiRT60jhUs5hkI4tLplmsF99tptgYRIrJG45gUvCnAfjcebTHXrucr vYpYixTCIUcFTYxdLmUoG7IY5q4jTlzlvMWYoK+l9tincGvkMss+pMWWU0ODHR0bKh/F0yqQt+LU rwvjM/e1rL7N5XytyCk1nQyHDYhIQ/wX/7nPOs3/X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Agam8L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NK</w:t>
                                    </w:r>
                                  </w:p>
                                </w:txbxContent>
                              </v:textbox>
                            </v:rect>
                            <v:rect id="Rectangle 84" o:spid="_x0000_s1098" style="position:absolute;left:6369;top:177;width:933;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0LjxfL8A AADcAAAADwAAAGRycy9kb3ducmV2LnhtbERPzYrCMBC+L/gOYQRva6oHV6pRRBBc8WL1AYZm+oPJ pCTRdt/eCMLe5uP7nfV2sEY8yYfWsYLZNANBXDrdcq3gdj18L0GEiKzROCYFfxRguxl9rTHXrucL PYtYixTCIUcFTYxdLmUoG7IYpq4jTlzlvMWYoK+l9tincGvkPMsW0mLLqaHBjvYNlffiYRXIa3Ho l4XxmTvNq7P5PV4qckpNxsNuBSLSEP/FH/dRp/k/C3g/ky6QmxcAAAD//wMAUEsBAi0AFAAGAAgA AAAhAPD3irv9AAAA4gEAABMAAAAAAAAAAAAAAAAAAAAAAFtDb250ZW50X1R5cGVzXS54bWxQSwEC LQAUAAYACAAAACEAMd1fYdIAAACPAQAACwAAAAAAAAAAAAAAAAAuAQAAX3JlbHMvLnJlbHNQSwEC LQAUAAYACAAAACEAMy8FnkEAAAA5AAAAEAAAAAAAAAAAAAAAAAApAgAAZHJzL3NoYXBleG1sLnht bFBLAQItABQABgAIAAAAIQDQuPF8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P</w:t>
                                    </w:r>
                                  </w:p>
                                </w:txbxContent>
                              </v:textbox>
                            </v:rect>
                            <v:rect id="Rectangle 85" o:spid="_x0000_s1099" style="position:absolute;left:133;top:1333;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RU578A AADcAAAADwAAAGRycy9kb3ducmV2LnhtbERPzYrCMBC+L/gOYQRva6oHlWoUEQRXvFh9gKGZ/mAy KUm03bc3wsLe5uP7nc1usEa8yIfWsYLZNANBXDrdcq3gfjt+r0CEiKzROCYFvxRgtx19bTDXrucr vYpYixTCIUcFTYxdLmUoG7IYpq4jTlzlvMWYoK+l9tincGvkPMsW0mLLqaHBjg4NlY/iaRXIW3Hs V4XxmTvPq4v5OV0rckpNxsN+DSLSEP/Ff+6TTvOXS/g8ky6Q2zcAAAD//wMAUEsBAi0AFAAGAAgA AAAhAPD3irv9AAAA4gEAABMAAAAAAAAAAAAAAAAAAAAAAFtDb250ZW50X1R5cGVzXS54bWxQSwEC LQAUAAYACAAAACEAMd1fYdIAAACPAQAACwAAAAAAAAAAAAAAAAAuAQAAX3JlbHMvLnJlbHNQSwEC LQAUAAYACAAAACEAMy8FnkEAAAA5AAAAEAAAAAAAAAAAAAAAAAApAgAAZHJzL3NoYXBleG1sLnht bFBLAQItABQABgAIAAAAIQC/9FTn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T</w:t>
                                    </w:r>
                                  </w:p>
                                </w:txbxContent>
                              </v:textbox>
                            </v:rect>
                            <v:rect id="Rectangle 86" o:spid="_x0000_s1100" style="position:absolute;left:22980;top:264;width:863;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zmvAlcMA AADcAAAADwAAAGRycy9kb3ducmV2LnhtbESPT2sCMRDF70K/Q5hCb5qthypbo5SCoMWLqx9g2Mz+ oclkSVJ3/fadg+Bthvfmvd9sdpN36kYx9YENvC8KUMR1sD23Bq6X/XwNKmVkiy4wGbhTgt32ZbbB 0oaRz3SrcqskhFOJBrqch1LrVHfkMS3CQCxaE6LHLGtstY04Srh3elkUH9pjz9LQ4UDfHdW/1Z83 oC/VflxXLhbhZ9mc3PFwbigY8/Y6fX2CyjTlp/lxfbCCvxJaeUYm0Nt/AAAA//8DAFBLAQItABQA BgAIAAAAIQDw94q7/QAAAOIBAAATAAAAAAAAAAAAAAAAAAAAAABbQ29udGVudF9UeXBlc10ueG1s UEsBAi0AFAAGAAgAAAAhADHdX2HSAAAAjwEAAAsAAAAAAAAAAAAAAAAALgEAAF9yZWxzLy5yZWxz UEsBAi0AFAAGAAgAAAAhADMvBZ5BAAAAOQAAABAAAAAAAAAAAAAAAAAAKQIAAGRycy9zaGFwZXht bC54bWxQSwECLQAUAAYACAAAACEAzmvAlcMAAADcAAAADwAAAAAAAAAAAAAAAACYAgAAZHJzL2Rv d25yZXYueG1sUEsFBgAAAAAEAAQA9QAAAIgDAAAAAA== " filled="f" stroked="f">
                              <v:textbox style="mso-fit-shape-to-text:t" inset="0,0,0,0">
                                <w:txbxContent>
                                  <w:p>
                                    <w:pPr>
                                      <w:rPr>
                                        <w:szCs w:val="24"/>
                                        <w:lang w:val="en-GB"/>
                                      </w:rPr>
                                    </w:pPr>
                                    <w:r>
                                      <w:rPr>
                                        <w:szCs w:val="24"/>
                                        <w:lang w:val="en-GB"/>
                                      </w:rPr>
                                      <w:t>×</w:t>
                                    </w:r>
                                  </w:p>
                                </w:txbxContent>
                              </v:textbox>
                            </v:rect>
                            <v:rect id="Rectangle 87" o:spid="_x0000_s1101" style="position:absolute;left:16931;top:178;width:864;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oSdlDr8A AADcAAAADwAAAGRycy9kb3ducmV2LnhtbERPzYrCMBC+L/gOYQRva6oHV6tRRBBU9mL1AYZm+oPJ pCRZ2317IyzsbT6+39nsBmvEk3xoHSuYTTMQxKXTLdcK7rfj5xJEiMgajWNS8EsBdtvRxwZz7Xq+ 0rOItUghHHJU0MTY5VKGsiGLYeo64sRVzluMCfpaao99CrdGzrNsIS22nBoa7OjQUPkofqwCeSuO /bIwPnOXefVtzqdrRU6pyXjYr0FEGuK/+M990mn+1wrez6QL5PYFAAD//wMAUEsBAi0AFAAGAAgA AAAhAPD3irv9AAAA4gEAABMAAAAAAAAAAAAAAAAAAAAAAFtDb250ZW50X1R5cGVzXS54bWxQSwEC LQAUAAYACAAAACEAMd1fYdIAAACPAQAACwAAAAAAAAAAAAAAAAAuAQAAX3JlbHMvLnJlbHNQSwEC LQAUAAYACAAAACEAMy8FnkEAAAA5AAAAEAAAAAAAAAAAAAAAAAApAgAAZHJzL3NoYXBleG1sLnht bFBLAQItABQABgAIAAAAIQChJ2UOvwAAANwAAAAPAAAAAAAAAAAAAAAAAJgCAABkcnMvZG93bnJl di54bWxQSwUGAAAAAAQABAD1AAAAhAMAAAAA " filled="f" stroked="f">
                              <v:textbox style="mso-fit-shape-to-text:t" inset="0,0,0,0">
                                <w:txbxContent>
                                  <w:p>
                                    <w:pPr>
                                      <w:rPr>
                                        <w:szCs w:val="24"/>
                                        <w:lang w:val="en-GB"/>
                                      </w:rPr>
                                    </w:pPr>
                                    <w:r>
                                      <w:rPr>
                                        <w:szCs w:val="24"/>
                                        <w:lang w:val="en-GB"/>
                                      </w:rPr>
                                      <w:t>×</w:t>
                                    </w:r>
                                  </w:p>
                                </w:txbxContent>
                              </v:textbox>
                            </v:rect>
                            <v:rect id="Rectangle 88" o:spid="_x0000_s1102" style="position:absolute;left:10585;top:385;width:864;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ci8tMMA AADcAAAADwAAAGRycy9kb3ducmV2LnhtbESPzWoDMQyE74G8g1Ght8TbHMKyjRNKIZCGXLLpA4i1 9ofa8mI72e3bR4dCbxIzmvm0O8zeqQfFNAQ28LYuQBE3wQ7cGfi+HVclqJSRLbrAZOCXEhz2y8UO KxsmvtKjzp2SEE4VGuhzHiutU9OTx7QOI7FobYges6yx0zbiJOHe6U1RbLXHgaWhx5E+e2p+6rs3 oG/1cSprF4tw3rQX93W6thSMeX2ZP95BZZrzv/nv+mQFvxR8eUYm0PsnAAAA//8DAFBLAQItABQA BgAIAAAAIQDw94q7/QAAAOIBAAATAAAAAAAAAAAAAAAAAAAAAABbQ29udGVudF9UeXBlc10ueG1s UEsBAi0AFAAGAAgAAAAhADHdX2HSAAAAjwEAAAsAAAAAAAAAAAAAAAAALgEAAF9yZWxzLy5yZWxz UEsBAi0AFAAGAAgAAAAhADMvBZ5BAAAAOQAAABAAAAAAAAAAAAAAAAAAKQIAAGRycy9zaGFwZXht bC54bWxQSwECLQAUAAYACAAAACEABci8tMMAAADcAAAADwAAAAAAAAAAAAAAAACYAgAAZHJzL2Rv d25yZXYueG1sUEsFBgAAAAAEAAQA9QAAAIgDAAAAAA== " filled="f" stroked="f">
                              <v:textbox style="mso-fit-shape-to-text:t" inset="0,0,0,0">
                                <w:txbxContent>
                                  <w:p>
                                    <w:pPr>
                                      <w:rPr>
                                        <w:szCs w:val="24"/>
                                        <w:lang w:val="en-GB"/>
                                      </w:rPr>
                                    </w:pPr>
                                    <w:r>
                                      <w:rPr>
                                        <w:szCs w:val="24"/>
                                        <w:lang w:val="en-GB"/>
                                      </w:rPr>
                                      <w:t>×</w:t>
                                    </w:r>
                                  </w:p>
                                </w:txbxContent>
                              </v:textbox>
                            </v:rect>
                            <v:rect id="Rectangle 89" o:spid="_x0000_s1103" style="position:absolute;left:4495;top:1154;width:839;height:1867;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oQZL78A AADcAAAADwAAAGRycy9kb3ducmV2LnhtbERPzYrCMBC+L/gOYQRv21QPUqpRRBB02Yt1H2Bopj+Y TEoSbfftN4Kwt/n4fme7n6wRT/Khd6xgmeUgiGune24V/NxOnwWIEJE1Gsek4JcC7Hezjy2W2o18 pWcVW5FCOJSooItxKKUMdUcWQ+YG4sQ1zluMCfpWao9jCrdGrvJ8LS32nBo6HOjYUX2vHlaBvFWn saiMz93Xqvk2l/O1IafUYj4dNiAiTfFf/HafdZpfLOH1TLpA7v4AAAD//wMAUEsBAi0AFAAGAAgA AAAhAPD3irv9AAAA4gEAABMAAAAAAAAAAAAAAAAAAAAAAFtDb250ZW50X1R5cGVzXS54bWxQSwEC LQAUAAYACAAAACEAMd1fYdIAAACPAQAACwAAAAAAAAAAAAAAAAAuAQAAX3JlbHMvLnJlbHNQSwEC LQAUAAYACAAAACEAMy8FnkEAAAA5AAAAEAAAAAAAAAAAAAAAAAApAgAAZHJzL3NoYXBleG1sLnht bFBLAQItABQABgAIAAAAIQBqhBkvvwAAANwAAAAPAAAAAAAAAAAAAAAAAJgCAABkcnMvZG93bnJl di54bWxQSwUGAAAAAAQABAD1AAAAhAMAAAAA " filled="f" stroked="f">
                              <v:textbox style="mso-fit-shape-to-text:t" inset="0,0,0,0">
                                <w:txbxContent>
                                  <w:p>
                                    <w:pPr>
                                      <w:rPr>
                                        <w:szCs w:val="24"/>
                                        <w:lang w:val="en-GB"/>
                                      </w:rPr>
                                    </w:pPr>
                                    <w:r>
                                      <w:rPr>
                                        <w:rFonts w:ascii="Symbol" w:hAnsi="Symbol" w:cs="Symbol"/>
                                        <w:color w:val="000000"/>
                                        <w:szCs w:val="24"/>
                                        <w:lang w:val="en-US"/>
                                      </w:rPr>
                                      <w:t></w:t>
                                    </w:r>
                                  </w:p>
                                </w:txbxContent>
                              </v:textbox>
                            </v:rect>
                            <w10:anchorlock/>
                          </v:group>
                        </w:pict>
                      </mc:Fallback>
                    </mc:AlternateContent>
                  </w:r>
                  <w:r>
                    <w:rPr>
                      <w:szCs w:val="24"/>
                    </w:rPr>
                    <w:tab/>
                    <w:t>(54)</w:t>
                  </w:r>
                </w:p>
                <w:p>
                  <w:pPr>
                    <w:tabs>
                      <w:tab w:val="left" w:pos="1080"/>
                      <w:tab w:val="left" w:pos="1134"/>
                      <w:tab w:val="left" w:pos="1843"/>
                      <w:tab w:val="left" w:pos="2268"/>
                    </w:tabs>
                    <w:jc w:val="both"/>
                    <w:rPr>
                      <w:szCs w:val="24"/>
                    </w:rPr>
                  </w:pPr>
                </w:p>
                <w:p>
                  <w:pPr>
                    <w:tabs>
                      <w:tab w:val="left" w:pos="1080"/>
                      <w:tab w:val="left" w:pos="1134"/>
                      <w:tab w:val="left" w:pos="1843"/>
                      <w:tab w:val="left" w:pos="2268"/>
                    </w:tabs>
                    <w:jc w:val="both"/>
                    <w:rPr>
                      <w:i/>
                      <w:szCs w:val="24"/>
                    </w:rPr>
                  </w:pPr>
                  <w:r>
                    <w:rPr>
                      <w:i/>
                      <w:szCs w:val="24"/>
                    </w:rPr>
                    <w:t>čia:</w:t>
                  </w:r>
                </w:p>
                <w:p>
                  <w:pPr>
                    <w:tabs>
                      <w:tab w:val="left" w:pos="1080"/>
                      <w:tab w:val="left" w:pos="1134"/>
                      <w:tab w:val="left" w:pos="1843"/>
                      <w:tab w:val="left" w:pos="2268"/>
                    </w:tabs>
                    <w:jc w:val="both"/>
                    <w:rPr>
                      <w:szCs w:val="24"/>
                    </w:rPr>
                  </w:pPr>
                  <w:r>
                    <w:rPr>
                      <w:szCs w:val="24"/>
                    </w:rPr>
                    <w:t>P</w:t>
                  </w:r>
                  <w:r>
                    <w:rPr>
                      <w:szCs w:val="24"/>
                      <w:vertAlign w:val="subscript"/>
                    </w:rPr>
                    <w:t>(10,04)p</w:t>
                  </w:r>
                  <w:r>
                    <w:rPr>
                      <w:szCs w:val="24"/>
                    </w:rPr>
                    <w:t xml:space="preserve"> – pradinis planuojamų elektros energijos skirstymo veiklos pajamų lygis atitinkamai VĮ ir ŽĮ tinkluose,EUR;</w:t>
                  </w:r>
                </w:p>
                <w:p>
                  <w:pPr>
                    <w:tabs>
                      <w:tab w:val="left" w:pos="1080"/>
                      <w:tab w:val="left" w:pos="1134"/>
                      <w:tab w:val="left" w:pos="1843"/>
                      <w:tab w:val="left" w:pos="2268"/>
                    </w:tabs>
                    <w:jc w:val="both"/>
                    <w:rPr>
                      <w:szCs w:val="24"/>
                    </w:rPr>
                  </w:pPr>
                  <w:r>
                    <w:rPr>
                      <w:szCs w:val="24"/>
                    </w:rPr>
                    <w:t>NK</w:t>
                  </w:r>
                  <w:r>
                    <w:rPr>
                      <w:szCs w:val="24"/>
                      <w:vertAlign w:val="subscript"/>
                    </w:rPr>
                    <w:t>(10,04)t</w:t>
                  </w:r>
                  <w:r>
                    <w:rPr>
                      <w:szCs w:val="24"/>
                    </w:rPr>
                    <w:t xml:space="preserve"> – nenumatytų pasikeitimų koeficientas atitinkamai NK</w:t>
                  </w:r>
                  <w:r>
                    <w:rPr>
                      <w:szCs w:val="24"/>
                      <w:vertAlign w:val="subscript"/>
                    </w:rPr>
                    <w:t>10t</w:t>
                  </w:r>
                  <w:r>
                    <w:rPr>
                      <w:szCs w:val="24"/>
                    </w:rPr>
                    <w:t xml:space="preserve"> ir NK</w:t>
                  </w:r>
                  <w:r>
                    <w:rPr>
                      <w:szCs w:val="24"/>
                      <w:vertAlign w:val="subscript"/>
                    </w:rPr>
                    <w:t>04t</w:t>
                  </w:r>
                  <w:r>
                    <w:rPr>
                      <w:szCs w:val="24"/>
                    </w:rPr>
                    <w:t>.;</w:t>
                  </w:r>
                </w:p>
                <w:p>
                  <w:pPr>
                    <w:tabs>
                      <w:tab w:val="left" w:pos="1080"/>
                      <w:tab w:val="left" w:pos="1134"/>
                      <w:tab w:val="left" w:pos="1843"/>
                      <w:tab w:val="left" w:pos="2268"/>
                    </w:tabs>
                    <w:jc w:val="both"/>
                    <w:rPr>
                      <w:szCs w:val="24"/>
                    </w:rPr>
                  </w:pPr>
                  <w:r>
                    <w:rPr>
                      <w:szCs w:val="24"/>
                    </w:rPr>
                    <w:t>EK</w:t>
                  </w:r>
                  <w:r>
                    <w:rPr>
                      <w:szCs w:val="24"/>
                      <w:vertAlign w:val="subscript"/>
                    </w:rPr>
                    <w:t>(10,04)t</w:t>
                  </w:r>
                  <w:r>
                    <w:rPr>
                      <w:szCs w:val="24"/>
                    </w:rPr>
                    <w:t xml:space="preserve"> – elektros energijos kiekio poveikio koeficientas atitinkamai EK</w:t>
                  </w:r>
                  <w:r>
                    <w:rPr>
                      <w:szCs w:val="24"/>
                      <w:vertAlign w:val="subscript"/>
                    </w:rPr>
                    <w:t>10t</w:t>
                  </w:r>
                  <w:r>
                    <w:rPr>
                      <w:szCs w:val="24"/>
                    </w:rPr>
                    <w:t xml:space="preserve"> ir EK</w:t>
                  </w:r>
                  <w:r>
                    <w:rPr>
                      <w:szCs w:val="24"/>
                      <w:vertAlign w:val="subscript"/>
                    </w:rPr>
                    <w:t>04t</w:t>
                  </w:r>
                  <w:r>
                    <w:rPr>
                      <w:szCs w:val="24"/>
                    </w:rPr>
                    <w:t>.;</w:t>
                  </w:r>
                </w:p>
                <w:p>
                  <w:pPr>
                    <w:tabs>
                      <w:tab w:val="left" w:pos="1080"/>
                      <w:tab w:val="left" w:pos="1134"/>
                      <w:tab w:val="left" w:pos="1843"/>
                      <w:tab w:val="left" w:pos="2268"/>
                      <w:tab w:val="left" w:pos="6461"/>
                    </w:tabs>
                    <w:jc w:val="both"/>
                    <w:rPr>
                      <w:strike/>
                      <w:szCs w:val="24"/>
                    </w:rPr>
                  </w:pPr>
                  <w:r>
                    <w:rPr>
                      <w:szCs w:val="24"/>
                    </w:rPr>
                    <w:t>IK</w:t>
                  </w:r>
                  <w:r>
                    <w:rPr>
                      <w:szCs w:val="24"/>
                      <w:vertAlign w:val="subscript"/>
                    </w:rPr>
                    <w:t>(10,04)t</w:t>
                  </w:r>
                  <w:r>
                    <w:rPr>
                      <w:szCs w:val="24"/>
                    </w:rPr>
                    <w:t xml:space="preserve"> – indeksavimo koeficientas atitinkamai IK</w:t>
                  </w:r>
                  <w:r>
                    <w:rPr>
                      <w:szCs w:val="24"/>
                      <w:vertAlign w:val="subscript"/>
                    </w:rPr>
                    <w:t>10t</w:t>
                  </w:r>
                  <w:r>
                    <w:rPr>
                      <w:szCs w:val="24"/>
                    </w:rPr>
                    <w:t xml:space="preserve"> ir IK</w:t>
                  </w:r>
                  <w:r>
                    <w:rPr>
                      <w:szCs w:val="24"/>
                      <w:vertAlign w:val="subscript"/>
                    </w:rPr>
                    <w:t>04t</w:t>
                  </w:r>
                  <w:r>
                    <w:rPr>
                      <w:szCs w:val="24"/>
                    </w:rPr>
                    <w:t>.;</w:t>
                    <w:tab/>
                  </w:r>
                </w:p>
                <w:p>
                  <w:pPr>
                    <w:tabs>
                      <w:tab w:val="left" w:pos="1080"/>
                      <w:tab w:val="left" w:pos="1134"/>
                      <w:tab w:val="left" w:pos="1843"/>
                      <w:tab w:val="left" w:pos="2268"/>
                    </w:tabs>
                    <w:jc w:val="both"/>
                    <w:rPr>
                      <w:szCs w:val="24"/>
                    </w:rPr>
                  </w:pPr>
                  <w:r>
                    <w:rPr>
                      <w:szCs w:val="24"/>
                    </w:rPr>
                    <w:t>E</w:t>
                  </w:r>
                  <w:r>
                    <w:rPr>
                      <w:szCs w:val="24"/>
                      <w:vertAlign w:val="subscript"/>
                    </w:rPr>
                    <w:t>(10,04)t</w:t>
                  </w:r>
                  <w:r>
                    <w:rPr>
                      <w:szCs w:val="24"/>
                    </w:rPr>
                    <w:t xml:space="preserve"> – planuojamas paskirstyti energijos kiekis atitinkamai E</w:t>
                  </w:r>
                  <w:r>
                    <w:rPr>
                      <w:szCs w:val="24"/>
                      <w:vertAlign w:val="subscript"/>
                    </w:rPr>
                    <w:t xml:space="preserve">10t </w:t>
                  </w:r>
                  <w:r>
                    <w:rPr>
                      <w:szCs w:val="24"/>
                    </w:rPr>
                    <w:t>ir E</w:t>
                  </w:r>
                  <w:r>
                    <w:rPr>
                      <w:szCs w:val="24"/>
                      <w:vertAlign w:val="subscript"/>
                    </w:rPr>
                    <w:t>04t</w:t>
                  </w:r>
                  <w:r>
                    <w:rPr>
                      <w:szCs w:val="24"/>
                    </w:rPr>
                    <w:t>.</w:t>
                  </w:r>
                </w:p>
              </w:sdtContent>
            </w:sdt>
            <w:sdt>
              <w:sdtPr>
                <w:alias w:val="88 p."/>
                <w:tag w:val="part_bf718c36da2b4221a17943a036206c3d"/>
                <w:lock w:val="sdtLocked"/>
                <w:richText/>
              </w:sdtPr>
              <w:sdtContent>
                <w:p>
                  <w:pPr>
                    <w:tabs>
                      <w:tab w:val="left" w:pos="1080"/>
                      <w:tab w:val="left" w:pos="1843"/>
                      <w:tab w:val="left" w:pos="2268"/>
                    </w:tabs>
                    <w:suppressAutoHyphens/>
                    <w:ind w:firstLine="720"/>
                    <w:jc w:val="both"/>
                    <w:rPr>
                      <w:szCs w:val="24"/>
                    </w:rPr>
                  </w:pPr>
                  <w:sdt>
                    <w:sdtPr>
                      <w:alias w:val="Numeris"/>
                      <w:tag w:val="nr_bf718c36da2b4221a17943a036206c3d"/>
                      <w:lock w:val="sdtLocked"/>
                      <w:richText/>
                    </w:sdtPr>
                    <w:sdtContent>
                      <w:r>
                        <w:rPr>
                          <w:szCs w:val="24"/>
                        </w:rPr>
                        <w:t>88</w:t>
                      </w:r>
                    </w:sdtContent>
                  </w:sdt>
                  <w:r>
                    <w:rPr>
                      <w:szCs w:val="24"/>
                    </w:rPr>
                    <w:t>. Nenumatytų pasikeitimų koeficientas, gali būti taikomas leidžiamoms pajamoms padidinti ar sumažinti per reguliavimo periodą dėl Metodikos 33 punkte nurodytų veiksnių.</w:t>
                  </w:r>
                </w:p>
              </w:sdtContent>
            </w:sdt>
            <w:sdt>
              <w:sdtPr>
                <w:alias w:val="89 p."/>
                <w:tag w:val="part_f093d3297cf0418abc54577c92dbde10"/>
                <w:lock w:val="sdtLocked"/>
                <w:richText/>
              </w:sdtPr>
              <w:sdtContent>
                <w:p>
                  <w:pPr>
                    <w:tabs>
                      <w:tab w:val="left" w:pos="1080"/>
                      <w:tab w:val="left" w:pos="1276"/>
                      <w:tab w:val="left" w:pos="1843"/>
                      <w:tab w:val="left" w:pos="2268"/>
                    </w:tabs>
                    <w:suppressAutoHyphens/>
                    <w:ind w:firstLine="720"/>
                    <w:jc w:val="both"/>
                    <w:rPr>
                      <w:szCs w:val="24"/>
                    </w:rPr>
                  </w:pPr>
                  <w:sdt>
                    <w:sdtPr>
                      <w:alias w:val="Numeris"/>
                      <w:tag w:val="nr_f093d3297cf0418abc54577c92dbde10"/>
                      <w:lock w:val="sdtLocked"/>
                      <w:richText/>
                    </w:sdtPr>
                    <w:sdtContent>
                      <w:r>
                        <w:rPr>
                          <w:szCs w:val="24"/>
                        </w:rPr>
                        <w:t>89</w:t>
                      </w:r>
                    </w:sdtContent>
                  </w:sdt>
                  <w:r>
                    <w:rPr>
                      <w:szCs w:val="24"/>
                    </w:rPr>
                    <w:t>. Nenumatytų pasikeitimų koeficientas metais</w:t>
                  </w:r>
                  <w:r>
                    <w:rPr>
                      <w:i/>
                      <w:iCs/>
                      <w:szCs w:val="24"/>
                    </w:rPr>
                    <w:t xml:space="preserve"> t</w:t>
                  </w:r>
                  <w:r>
                    <w:rPr>
                      <w:szCs w:val="24"/>
                    </w:rPr>
                    <w:t xml:space="preserve"> skaičiuojamas pagal formulę:</w:t>
                  </w:r>
                </w:p>
                <w:p>
                  <w:pPr>
                    <w:tabs>
                      <w:tab w:val="left" w:pos="1134"/>
                      <w:tab w:val="left" w:pos="1843"/>
                      <w:tab w:val="left" w:pos="2268"/>
                    </w:tabs>
                    <w:suppressAutoHyphens/>
                    <w:jc w:val="both"/>
                    <w:rPr>
                      <w:szCs w:val="24"/>
                    </w:rPr>
                  </w:pPr>
                </w:p>
                <w:p>
                  <w:pPr>
                    <w:tabs>
                      <w:tab w:val="left" w:pos="9214"/>
                    </w:tabs>
                    <w:suppressAutoHyphens/>
                    <w:ind w:firstLine="9214"/>
                    <w:jc w:val="both"/>
                    <w:rPr>
                      <w:szCs w:val="24"/>
                    </w:rPr>
                  </w:pPr>
                  <w:r>
                    <w:t xml:space="preserve">  </w:t>
                  </w:r>
                  <m:oMath>
                    <m:sSub>
                      <m:sSubPr>
                        <m:ctrlPr>
                          <w:rPr>
                            <w:rFonts w:ascii="Cambria Math" w:hAnsi="Cambria Math"/>
                            <w:i/>
                          </w:rPr>
                        </m:ctrlPr>
                      </m:sSubPr>
                      <m:e>
                        <m:r>
                          <w:rPr>
                            <w:rFonts w:ascii="Cambria Math" w:hAnsi="Cambria Math"/>
                          </w:rPr>
                          <m:t>NK</m:t>
                        </m:r>
                      </m:e>
                      <m:sub>
                        <m:d>
                          <m:dPr>
                            <m:ctrlPr>
                              <w:rPr>
                                <w:rFonts w:ascii="Cambria Math" w:hAnsi="Cambria Math"/>
                                <w:i/>
                              </w:rPr>
                            </m:ctrlPr>
                          </m:dPr>
                          <m:e>
                            <m:r>
                              <w:rPr>
                                <w:rFonts w:ascii="Cambria Math" w:hAnsi="Cambria Math"/>
                              </w:rPr>
                              <m:t>10,04</m:t>
                            </m:r>
                          </m:e>
                        </m:d>
                        <m:r>
                          <w:rPr>
                            <w:rFonts w:ascii="Cambria Math" w:hAnsi="Cambria Math"/>
                          </w:rPr>
                          <m:t>t</m:t>
                        </m:r>
                      </m:sub>
                    </m:sSub>
                    <m:r>
                      <w:rPr>
                        <w:rFonts w:ascii="Cambria Math" w:hAnsi="Cambria Math"/>
                      </w:rPr>
                      <m:t>=1+</m:t>
                    </m:r>
                    <m:nary>
                      <m:naryPr>
                        <m:chr m:val="∑"/>
                        <m:limLoc m:val="undOvr"/>
                        <m:ctrlPr>
                          <w:rPr>
                            <w:rFonts w:ascii="Cambria Math" w:hAnsi="Cambria Math"/>
                            <w:i/>
                          </w:rPr>
                        </m:ctrlPr>
                      </m:naryPr>
                      <m:sub>
                        <m:r>
                          <w:rPr>
                            <w:rFonts w:ascii="Cambria Math" w:hAnsi="Cambria Math"/>
                          </w:rPr>
                          <m:t>f</m:t>
                        </m:r>
                        <m:r>
                          <w:rPr>
                            <w:rFonts w:ascii="Cambria Math" w:hAnsi="Cambria Math"/>
                          </w:rPr>
                          <m:t>=1</m:t>
                        </m:r>
                      </m:sub>
                      <m:sup>
                        <m:r>
                          <w:rPr>
                            <w:rFonts w:ascii="Cambria Math" w:hAnsi="Cambria Math"/>
                          </w:rPr>
                          <m:t>g</m:t>
                        </m:r>
                      </m:sup>
                      <m:e>
                        <m:f>
                          <m:fPr>
                            <m:ctrlPr>
                              <w:rPr>
                                <w:rFonts w:ascii="Cambria Math" w:hAnsi="Cambria Math"/>
                                <w:i/>
                              </w:rPr>
                            </m:ctrlPr>
                          </m:fPr>
                          <m:num>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(10,04)</m:t>
                                    </m:r>
                                    <m:r>
                                      <w:rPr>
                                        <w:rFonts w:ascii="Cambria Math" w:hAnsi="Cambria Math"/>
                                      </w:rPr>
                                      <m:t>tf</m:t>
                                    </m:r>
                                    <m:r>
                                      <w:rPr>
                                        <w:rFonts w:ascii="Cambria Math" w:hAnsi="Cambria Math"/>
                                      </w:rPr>
                                      <m:t>-</m:t>
                                    </m:r>
                                  </m:sub>
                                </m:sSub>
                                <m:sSub>
                                  <m:sSubPr>
                                    <m:ctrlPr>
                                      <w:rPr>
                                        <w:rFonts w:ascii="Cambria Math" w:hAnsi="Cambria Math"/>
                                        <w:i/>
                                      </w:rPr>
                                    </m:ctrlPr>
                                  </m:sSubPr>
                                  <m:e>
                                    <m:r>
                                      <w:rPr>
                                        <w:rFonts w:ascii="Cambria Math" w:hAnsi="Cambria Math"/>
                                      </w:rPr>
                                      <m:t>S</m:t>
                                    </m:r>
                                  </m:e>
                                  <m:sub>
                                    <m:d>
                                      <m:dPr>
                                        <m:ctrlPr>
                                          <w:rPr>
                                            <w:rFonts w:ascii="Cambria Math" w:hAnsi="Cambria Math"/>
                                            <w:i/>
                                          </w:rPr>
                                        </m:ctrlPr>
                                      </m:dPr>
                                      <m:e>
                                        <m:r>
                                          <w:rPr>
                                            <w:rFonts w:ascii="Cambria Math" w:hAnsi="Cambria Math"/>
                                          </w:rPr>
                                          <m:t>10,04</m:t>
                                        </m:r>
                                      </m:e>
                                    </m:d>
                                    <m:r>
                                      <w:rPr>
                                        <w:rFonts w:ascii="Cambria Math" w:hAnsi="Cambria Math"/>
                                      </w:rPr>
                                      <m:t>t</m:t>
                                    </m:r>
                                    <m:r>
                                      <w:rPr>
                                        <w:rFonts w:ascii="Cambria Math" w:hAnsi="Cambria Math"/>
                                      </w:rPr>
                                      <m:t>-</m:t>
                                    </m:r>
                                    <m:r>
                                      <w:rPr>
                                        <w:rFonts w:ascii="Cambria Math" w:hAnsi="Cambria Math"/>
                                      </w:rPr>
                                      <m:t>2</m:t>
                                    </m:r>
                                    <m:r>
                                      <w:rPr>
                                        <w:rFonts w:ascii="Cambria Math" w:hAnsi="Cambria Math"/>
                                      </w:rPr>
                                      <m:t>f</m:t>
                                    </m:r>
                                  </m:sub>
                                </m:sSub>
                                <m:r>
                                  <w:rPr>
                                    <w:rFonts w:ascii="Cambria Math" w:hAnsi="Cambria Math"/>
                                  </w:rPr>
                                  <m:t>)</m:t>
                                </m:r>
                              </m:e>
                              <m:sub/>
                            </m:sSub>
                          </m:num>
                          <m:den>
                            <m:sSub>
                              <m:sSubPr>
                                <m:ctrlPr>
                                  <w:rPr>
                                    <w:rFonts w:ascii="Cambria Math" w:hAnsi="Cambria Math"/>
                                    <w:i/>
                                  </w:rPr>
                                </m:ctrlPr>
                              </m:sSubPr>
                              <m:e>
                                <m:r>
                                  <w:rPr>
                                    <w:rFonts w:ascii="Cambria Math" w:hAnsi="Cambria Math"/>
                                  </w:rPr>
                                  <m:t>P</m:t>
                                </m:r>
                              </m:e>
                              <m:sub>
                                <m:d>
                                  <m:dPr>
                                    <m:ctrlPr>
                                      <w:rPr>
                                        <w:rFonts w:ascii="Cambria Math" w:hAnsi="Cambria Math"/>
                                        <w:i/>
                                      </w:rPr>
                                    </m:ctrlPr>
                                  </m:dPr>
                                  <m:e>
                                    <m:r>
                                      <w:rPr>
                                        <w:rFonts w:ascii="Cambria Math" w:hAnsi="Cambria Math"/>
                                      </w:rPr>
                                      <m:t>10,04</m:t>
                                    </m:r>
                                  </m:e>
                                </m:d>
                                <m:r>
                                  <w:rPr>
                                    <w:rFonts w:ascii="Cambria Math" w:hAnsi="Cambria Math"/>
                                  </w:rPr>
                                  <m:t>p</m:t>
                                </m:r>
                              </m:sub>
                            </m:sSub>
                          </m:den>
                        </m:f>
                      </m:e>
                    </m:nary>
                  </m:oMath>
                  <w:r>
                    <w:tab/>
                  </w:r>
                  <w:r>
                    <w:rPr>
                      <w:szCs w:val="24"/>
                    </w:rPr>
                    <w:t>(55)</w:t>
                  </w:r>
                </w:p>
                <w:p>
                  <w:pPr>
                    <w:tabs>
                      <w:tab w:val="left" w:pos="9214"/>
                    </w:tabs>
                    <w:suppressAutoHyphens/>
                    <w:jc w:val="both"/>
                    <w:rPr>
                      <w:szCs w:val="24"/>
                    </w:rPr>
                  </w:pPr>
                </w:p>
                <w:p>
                  <w:pPr>
                    <w:tabs>
                      <w:tab w:val="left" w:pos="1134"/>
                      <w:tab w:val="left" w:pos="1843"/>
                      <w:tab w:val="left" w:pos="2268"/>
                    </w:tabs>
                    <w:suppressAutoHyphens/>
                    <w:jc w:val="both"/>
                    <w:rPr>
                      <w:i/>
                      <w:szCs w:val="24"/>
                    </w:rPr>
                  </w:pPr>
                  <w:r>
                    <w:rPr>
                      <w:i/>
                      <w:szCs w:val="24"/>
                    </w:rPr>
                    <w:t>čia:</w:t>
                  </w:r>
                </w:p>
                <w:p>
                  <w:pPr>
                    <w:tabs>
                      <w:tab w:val="left" w:pos="1134"/>
                      <w:tab w:val="left" w:pos="1843"/>
                      <w:tab w:val="left" w:pos="2268"/>
                    </w:tabs>
                    <w:suppressAutoHyphens/>
                    <w:jc w:val="both"/>
                    <w:rPr>
                      <w:szCs w:val="24"/>
                    </w:rPr>
                  </w:pPr>
                  <w:r>
                    <w:rPr>
                      <w:i/>
                      <w:iCs/>
                      <w:szCs w:val="24"/>
                    </w:rPr>
                    <w:t>S</w:t>
                  </w:r>
                  <w:r>
                    <w:rPr>
                      <w:szCs w:val="24"/>
                      <w:vertAlign w:val="subscript"/>
                    </w:rPr>
                    <w:t>(10,04)(</w:t>
                  </w:r>
                  <w:r>
                    <w:rPr>
                      <w:i/>
                      <w:iCs/>
                      <w:szCs w:val="24"/>
                      <w:vertAlign w:val="subscript"/>
                    </w:rPr>
                    <w:t>t, t</w:t>
                  </w:r>
                  <w:r>
                    <w:rPr>
                      <w:szCs w:val="24"/>
                      <w:vertAlign w:val="subscript"/>
                    </w:rPr>
                    <w:t>-1)f</w:t>
                  </w:r>
                  <w:r>
                    <w:rPr>
                      <w:szCs w:val="24"/>
                    </w:rPr>
                    <w:t xml:space="preserve"> –,kaštų rūšis, kurią lemia nenumatyti pasikeitimai nurodyti Metodikos 33 punkte </w:t>
                  </w:r>
                  <w:r>
                    <w:rPr>
                      <w:i/>
                      <w:szCs w:val="24"/>
                    </w:rPr>
                    <w:t>t</w:t>
                  </w:r>
                  <w:r>
                    <w:rPr>
                      <w:szCs w:val="24"/>
                    </w:rPr>
                    <w:t xml:space="preserve"> arba </w:t>
                  </w:r>
                  <w:r>
                    <w:rPr>
                      <w:i/>
                      <w:szCs w:val="24"/>
                    </w:rPr>
                    <w:t>t-1</w:t>
                  </w:r>
                  <w:r>
                    <w:rPr>
                      <w:szCs w:val="24"/>
                    </w:rPr>
                    <w:t xml:space="preserve"> metais atitinkamai </w:t>
                  </w:r>
                  <w:r>
                    <w:rPr>
                      <w:i/>
                      <w:iCs/>
                      <w:szCs w:val="24"/>
                    </w:rPr>
                    <w:t>s</w:t>
                  </w:r>
                  <w:r>
                    <w:rPr>
                      <w:szCs w:val="24"/>
                      <w:vertAlign w:val="subscript"/>
                    </w:rPr>
                    <w:t>10(</w:t>
                  </w:r>
                  <w:r>
                    <w:rPr>
                      <w:i/>
                      <w:iCs/>
                      <w:szCs w:val="24"/>
                      <w:vertAlign w:val="subscript"/>
                    </w:rPr>
                    <w:t>t, t</w:t>
                  </w:r>
                  <w:r>
                    <w:rPr>
                      <w:szCs w:val="24"/>
                      <w:vertAlign w:val="subscript"/>
                    </w:rPr>
                    <w:t>-1)</w:t>
                  </w:r>
                  <w:r>
                    <w:rPr>
                      <w:szCs w:val="24"/>
                    </w:rPr>
                    <w:t xml:space="preserve"> ir </w:t>
                  </w:r>
                  <w:r>
                    <w:rPr>
                      <w:i/>
                      <w:iCs/>
                      <w:szCs w:val="24"/>
                    </w:rPr>
                    <w:t>s</w:t>
                  </w:r>
                  <w:r>
                    <w:rPr>
                      <w:szCs w:val="24"/>
                      <w:vertAlign w:val="subscript"/>
                    </w:rPr>
                    <w:t>04(</w:t>
                  </w:r>
                  <w:r>
                    <w:rPr>
                      <w:i/>
                      <w:iCs/>
                      <w:szCs w:val="24"/>
                      <w:vertAlign w:val="subscript"/>
                    </w:rPr>
                    <w:t>t, t</w:t>
                  </w:r>
                  <w:r>
                    <w:rPr>
                      <w:szCs w:val="24"/>
                      <w:vertAlign w:val="subscript"/>
                    </w:rPr>
                    <w:t>-1)</w:t>
                  </w:r>
                  <w:r>
                    <w:rPr>
                      <w:szCs w:val="24"/>
                    </w:rPr>
                    <w:t xml:space="preserve">, EUR. Esant konkretaus šių kaštų rūšies tęstinumui, </w:t>
                    <w:br/>
                  </w:r>
                  <w:r>
                    <w:rPr>
                      <w:i/>
                      <w:szCs w:val="24"/>
                    </w:rPr>
                    <w:t xml:space="preserve">t </w:t>
                  </w:r>
                  <w:r>
                    <w:rPr>
                      <w:szCs w:val="24"/>
                    </w:rPr>
                    <w:t>metais įvertinti kaštai įskaičiuojami ir kitais metais;</w:t>
                  </w:r>
                </w:p>
                <w:p>
                  <w:pPr>
                    <w:tabs>
                      <w:tab w:val="left" w:pos="1080"/>
                      <w:tab w:val="left" w:pos="1134"/>
                      <w:tab w:val="left" w:pos="1843"/>
                      <w:tab w:val="left" w:pos="2268"/>
                    </w:tabs>
                    <w:jc w:val="both"/>
                    <w:rPr>
                      <w:szCs w:val="24"/>
                    </w:rPr>
                  </w:pPr>
                  <w:r>
                    <w:rPr>
                      <w:szCs w:val="24"/>
                    </w:rPr>
                    <w:t>P</w:t>
                  </w:r>
                  <w:r>
                    <w:rPr>
                      <w:szCs w:val="24"/>
                      <w:vertAlign w:val="subscript"/>
                    </w:rPr>
                    <w:t>(10,04)p</w:t>
                  </w:r>
                  <w:r>
                    <w:rPr>
                      <w:szCs w:val="24"/>
                    </w:rPr>
                    <w:t xml:space="preserve"> – pradinis planuojamų elektros energijos skirstymo veiklos pajamų lygis atitinkamai VĮ ir ŽĮ tinkluose, EUR;</w:t>
                  </w:r>
                </w:p>
                <w:p>
                  <w:pPr>
                    <w:tabs>
                      <w:tab w:val="left" w:pos="1134"/>
                      <w:tab w:val="left" w:pos="1843"/>
                      <w:tab w:val="left" w:pos="2268"/>
                    </w:tabs>
                    <w:suppressAutoHyphens/>
                    <w:jc w:val="both"/>
                    <w:rPr>
                      <w:szCs w:val="24"/>
                    </w:rPr>
                  </w:pPr>
                  <w:r>
                    <w:rPr>
                      <w:i/>
                      <w:iCs/>
                      <w:szCs w:val="24"/>
                    </w:rPr>
                    <w:t>g</w:t>
                  </w:r>
                  <w:r>
                    <w:rPr>
                      <w:szCs w:val="24"/>
                    </w:rPr>
                    <w:t xml:space="preserve"> – elektros energijos skirstymo kaštų rūšies skaičius;</w:t>
                  </w:r>
                </w:p>
                <w:p>
                  <w:pPr>
                    <w:tabs>
                      <w:tab w:val="left" w:pos="1134"/>
                      <w:tab w:val="left" w:pos="1843"/>
                      <w:tab w:val="left" w:pos="2268"/>
                    </w:tabs>
                    <w:jc w:val="both"/>
                    <w:rPr>
                      <w:szCs w:val="24"/>
                    </w:rPr>
                  </w:pPr>
                  <w:r>
                    <w:rPr>
                      <w:i/>
                      <w:iCs/>
                      <w:szCs w:val="24"/>
                    </w:rPr>
                    <w:t>f</w:t>
                  </w:r>
                  <w:r>
                    <w:rPr>
                      <w:szCs w:val="24"/>
                    </w:rPr>
                    <w:t xml:space="preserve"> – elektros energijos skirstymo kaštų rūšies numeris.</w:t>
                  </w:r>
                </w:p>
              </w:sdtContent>
            </w:sdt>
            <w:sdt>
              <w:sdtPr>
                <w:alias w:val="90 p."/>
                <w:tag w:val="part_a37e9823c87547dd86f9fb71af9e36f5"/>
                <w:lock w:val="sdtLocked"/>
                <w:richText/>
              </w:sdtPr>
              <w:sdtContent>
                <w:p>
                  <w:pPr>
                    <w:tabs>
                      <w:tab w:val="left" w:pos="1080"/>
                      <w:tab w:val="left" w:pos="1843"/>
                      <w:tab w:val="left" w:pos="2268"/>
                    </w:tabs>
                    <w:ind w:firstLine="720"/>
                    <w:jc w:val="both"/>
                    <w:rPr>
                      <w:szCs w:val="24"/>
                    </w:rPr>
                  </w:pPr>
                  <w:sdt>
                    <w:sdtPr>
                      <w:alias w:val="Numeris"/>
                      <w:tag w:val="nr_a37e9823c87547dd86f9fb71af9e36f5"/>
                      <w:lock w:val="sdtLocked"/>
                      <w:richText/>
                    </w:sdtPr>
                    <w:sdtContent>
                      <w:r>
                        <w:rPr>
                          <w:szCs w:val="24"/>
                        </w:rPr>
                        <w:t>90</w:t>
                      </w:r>
                    </w:sdtContent>
                  </w:sdt>
                  <w:r>
                    <w:rPr>
                      <w:szCs w:val="24"/>
                    </w:rPr>
                    <w:t>. Indeksavimo koeficientas, įvertinantis infliaciją bei Įmonei Komisijos nustatytą efektyvumą,</w:t>
                  </w:r>
                  <w:r>
                    <w:rPr>
                      <w:i/>
                      <w:szCs w:val="24"/>
                    </w:rPr>
                    <w:t xml:space="preserve"> t</w:t>
                  </w:r>
                  <w:r>
                    <w:rPr>
                      <w:szCs w:val="24"/>
                    </w:rPr>
                    <w:t xml:space="preserve"> metais skaičiuojamas pagal formulę:</w:t>
                  </w:r>
                </w:p>
                <w:p>
                  <w:pPr>
                    <w:tabs>
                      <w:tab w:val="left" w:pos="1080"/>
                      <w:tab w:val="left" w:pos="1843"/>
                      <w:tab w:val="left" w:pos="2268"/>
                    </w:tabs>
                    <w:ind w:firstLine="720"/>
                    <w:jc w:val="both"/>
                    <w:rPr>
                      <w:szCs w:val="24"/>
                    </w:rPr>
                  </w:pPr>
                </w:p>
                <w:p>
                  <w:pPr>
                    <w:tabs>
                      <w:tab w:val="left" w:pos="1134"/>
                      <w:tab w:val="left" w:pos="1843"/>
                      <w:tab w:val="left" w:pos="2268"/>
                      <w:tab w:val="left" w:pos="9214"/>
                    </w:tabs>
                    <w:ind w:firstLine="1134"/>
                    <w:jc w:val="both"/>
                    <w:rPr>
                      <w:szCs w:val="24"/>
                    </w:rPr>
                  </w:pPr>
                  <m:oMath>
                    <m:sSub>
                      <m:sSubPr>
                        <m:ctrlPr>
                          <w:rPr>
                            <w:rFonts w:ascii="Cambria Math" w:hAnsi="Cambria Math"/>
                            <w:i/>
                          </w:rPr>
                        </m:ctrlPr>
                      </m:sSubPr>
                      <m:e>
                        <m:r>
                          <w:rPr>
                            <w:rFonts w:ascii="Cambria Math" w:hAnsi="Cambria Math"/>
                          </w:rPr>
                          <m:t>IK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r>
                      <w:rPr>
                        <w:rFonts w:ascii="Cambria Math" w:hAnsi="Cambria Math"/>
                      </w:rPr>
                      <m:t>=</m:t>
                    </m:r>
                    <m:d>
                      <m:dPr>
                        <m:ctrlPr>
                          <w:rPr>
                            <w:rFonts w:ascii="Cambria Math" w:hAnsi="Cambria Math"/>
                            <w:i/>
                          </w:rPr>
                        </m:ctrlPr>
                      </m:dPr>
                      <m:e>
                        <m:r>
                          <w:rPr>
                            <w:rFonts w:ascii="Cambria Math" w:hAnsi="Cambria Math"/>
                          </w:rPr>
                          <m:t>1+</m:t>
                        </m:r>
                        <m:f>
                          <m:fPr>
                            <m:ctrlPr>
                              <w:rPr>
                                <w:rFonts w:ascii="Cambria Math" w:hAnsi="Cambria Math"/>
                                <w:i/>
                              </w:rPr>
                            </m:ctrlPr>
                          </m:fPr>
                          <m:num>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t</m:t>
                                    </m:r>
                                    <m:r>
                                      <w:rPr>
                                        <w:rFonts w:ascii="Cambria Math" w:hAnsi="Cambria Math"/>
                                      </w:rPr>
                                      <m:t>-</m:t>
                                    </m:r>
                                  </m:sub>
                                </m:sSub>
                                <m:sSub>
                                  <m:sSubPr>
                                    <m:ctrlPr>
                                      <w:rPr>
                                        <w:rFonts w:ascii="Cambria Math" w:hAnsi="Cambria Math"/>
                                        <w:i/>
                                      </w:rPr>
                                    </m:ctrlPr>
                                  </m:sSubPr>
                                  <m:e>
                                    <m:r>
                                      <w:rPr>
                                        <w:rFonts w:ascii="Cambria Math" w:hAnsi="Cambria Math"/>
                                      </w:rPr>
                                      <m:t>e</m:t>
                                    </m:r>
                                  </m:e>
                                  <m:sub>
                                    <m:r>
                                      <w:rPr>
                                        <w:rFonts w:ascii="Cambria Math" w:hAnsi="Cambria Math"/>
                                      </w:rPr>
                                      <m:t>(10,04)</m:t>
                                    </m:r>
                                  </m:sub>
                                </m:sSub>
                                <m:r>
                                  <w:rPr>
                                    <w:rFonts w:ascii="Cambria Math" w:hAnsi="Cambria Math"/>
                                  </w:rPr>
                                  <m:t>)</m:t>
                                </m:r>
                              </m:e>
                              <m:sub/>
                            </m:sSub>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m:t>
                            </m:r>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e>
                    </m:d>
                    <m:r>
                      <w:rPr>
                        <w:rFonts w:ascii="Cambria Math" w:hAnsi="Cambria Math"/>
                      </w:rPr>
                      <m:t>×</m:t>
                    </m:r>
                    <m:sSub>
                      <m:sSubPr>
                        <m:ctrlPr>
                          <w:rPr>
                            <w:rFonts w:ascii="Cambria Math" w:hAnsi="Cambria Math"/>
                            <w:i/>
                          </w:rPr>
                        </m:ctrlPr>
                      </m:sSubPr>
                      <m:e>
                        <m:r>
                          <w:rPr>
                            <w:rFonts w:ascii="Cambria Math" w:hAnsi="Cambria Math"/>
                          </w:rPr>
                          <m:t>IK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-1</m:t>
                        </m:r>
                      </m:sub>
                    </m:sSub>
                  </m:oMath>
                  <w:r>
                    <w:tab/>
                  </w:r>
                  <w:r>
                    <w:rPr>
                      <w:szCs w:val="24"/>
                    </w:rPr>
                    <w:t>(56)</w:t>
                  </w:r>
                </w:p>
                <w:p>
                  <w:pPr>
                    <w:tabs>
                      <w:tab w:val="left" w:pos="9214"/>
                    </w:tabs>
                    <w:jc w:val="both"/>
                    <w:rPr>
                      <w:szCs w:val="24"/>
                    </w:rPr>
                  </w:pPr>
                </w:p>
                <w:p>
                  <w:pPr>
                    <w:tabs>
                      <w:tab w:val="left" w:pos="9214"/>
                    </w:tabs>
                    <w:jc w:val="both"/>
                    <w:rPr>
                      <w:i/>
                      <w:szCs w:val="24"/>
                    </w:rPr>
                  </w:pPr>
                  <w:r>
                    <w:rPr>
                      <w:i/>
                      <w:szCs w:val="24"/>
                    </w:rPr>
                    <w:t>čia:</w:t>
                  </w:r>
                </w:p>
                <w:p>
                  <w:pPr>
                    <w:tabs>
                      <w:tab w:val="left" w:pos="9214"/>
                    </w:tabs>
                    <w:jc w:val="both"/>
                    <w:rPr>
                      <w:i/>
                      <w:szCs w:val="24"/>
                    </w:rPr>
                  </w:pPr>
                  <w:r>
                    <w:rPr>
                      <w:szCs w:val="24"/>
                    </w:rPr>
                    <w:t>IK</w:t>
                  </w:r>
                  <w:r>
                    <w:rPr>
                      <w:szCs w:val="24"/>
                      <w:vertAlign w:val="subscript"/>
                    </w:rPr>
                    <w:t>(10,04),t</w:t>
                  </w:r>
                  <w:r>
                    <w:rPr>
                      <w:i/>
                      <w:szCs w:val="24"/>
                    </w:rPr>
                    <w:t xml:space="preserve"> - </w:t>
                  </w:r>
                  <w:r>
                    <w:rPr>
                      <w:szCs w:val="24"/>
                    </w:rPr>
                    <w:t>indeksavimo koeficientas atitinkamai IK</w:t>
                  </w:r>
                  <w:r>
                    <w:rPr>
                      <w:szCs w:val="24"/>
                      <w:vertAlign w:val="subscript"/>
                    </w:rPr>
                    <w:t>10t</w:t>
                  </w:r>
                  <w:r>
                    <w:rPr>
                      <w:szCs w:val="24"/>
                    </w:rPr>
                    <w:t xml:space="preserve"> ir IK</w:t>
                  </w:r>
                  <w:r>
                    <w:rPr>
                      <w:szCs w:val="24"/>
                      <w:vertAlign w:val="subscript"/>
                    </w:rPr>
                    <w:t>04t</w:t>
                  </w:r>
                  <w:r>
                    <w:rPr>
                      <w:szCs w:val="24"/>
                    </w:rPr>
                    <w:t>;</w:t>
                  </w:r>
                </w:p>
                <w:p>
                  <w:pPr>
                    <w:tabs>
                      <w:tab w:val="left" w:pos="1134"/>
                      <w:tab w:val="left" w:pos="1843"/>
                      <w:tab w:val="left" w:pos="2268"/>
                    </w:tabs>
                    <w:jc w:val="both"/>
                    <w:rPr>
                      <w:szCs w:val="24"/>
                    </w:rPr>
                  </w:pPr>
                  <w:r>
                    <w:rPr>
                      <w:i/>
                      <w:szCs w:val="24"/>
                    </w:rPr>
                    <w:t>i</w:t>
                  </w:r>
                  <w:r>
                    <w:rPr>
                      <w:i/>
                      <w:szCs w:val="24"/>
                      <w:vertAlign w:val="subscript"/>
                    </w:rPr>
                    <w:t>t</w:t>
                  </w:r>
                  <w:r>
                    <w:rPr>
                      <w:i/>
                      <w:szCs w:val="24"/>
                    </w:rPr>
                    <w:t xml:space="preserve"> </w:t>
                  </w:r>
                  <w:r>
                    <w:rPr>
                      <w:szCs w:val="24"/>
                    </w:rPr>
                    <w:t xml:space="preserve">– prognozuojamas vidutinio metinio vartotojų kainų indekso (VKI) pokytis </w:t>
                  </w:r>
                  <w:r>
                    <w:rPr>
                      <w:i/>
                      <w:szCs w:val="24"/>
                    </w:rPr>
                    <w:t xml:space="preserve">t </w:t>
                  </w:r>
                  <w:r>
                    <w:rPr>
                      <w:szCs w:val="24"/>
                    </w:rPr>
                    <w:t xml:space="preserve">metais, palyginti su atitinkamu indeksu </w:t>
                  </w:r>
                  <w:r>
                    <w:rPr>
                      <w:i/>
                      <w:szCs w:val="24"/>
                    </w:rPr>
                    <w:t xml:space="preserve">t-1 </w:t>
                  </w:r>
                  <w:r>
                    <w:rPr>
                      <w:szCs w:val="24"/>
                    </w:rPr>
                    <w:t>metais, proc. Jis nustatomas pagal Finansų ministerijos duomenis. Nesant Finansų ministerijos duomenų, nustatoma pagal Lietuvos banko duomenis;</w:t>
                  </w:r>
                </w:p>
                <w:p>
                  <w:pPr>
                    <w:tabs>
                      <w:tab w:val="left" w:pos="709"/>
                      <w:tab w:val="left" w:pos="1134"/>
                      <w:tab w:val="left" w:pos="1843"/>
                      <w:tab w:val="left" w:pos="2268"/>
                    </w:tabs>
                    <w:jc w:val="both"/>
                    <w:rPr>
                      <w:szCs w:val="24"/>
                    </w:rPr>
                  </w:pPr>
                  <w:r>
                    <w:rPr>
                      <w:i/>
                      <w:szCs w:val="24"/>
                    </w:rPr>
                    <w:t>e</w:t>
                  </w:r>
                  <w:r>
                    <w:rPr>
                      <w:szCs w:val="24"/>
                      <w:vertAlign w:val="subscript"/>
                    </w:rPr>
                    <w:t>(10,04)</w:t>
                  </w:r>
                  <w:r>
                    <w:rPr>
                      <w:szCs w:val="24"/>
                    </w:rPr>
                    <w:t xml:space="preserve"> – efektyvumo koeficientas elektros energijos skirstymo atitinkamai VĮ tinklais ir ŽĮ tinklais veikloms, proc.;</w:t>
                  </w:r>
                </w:p>
                <w:p>
                  <w:pPr>
                    <w:tabs>
                      <w:tab w:val="left" w:pos="1134"/>
                      <w:tab w:val="left" w:pos="1843"/>
                      <w:tab w:val="left" w:pos="2268"/>
                    </w:tabs>
                    <w:jc w:val="both"/>
                    <w:rPr>
                      <w:szCs w:val="24"/>
                    </w:rPr>
                  </w:pPr>
                  <w:r>
                    <w:rPr>
                      <w:szCs w:val="24"/>
                    </w:rPr>
                    <w:t>L</w:t>
                  </w:r>
                  <w:r>
                    <w:rPr>
                      <w:szCs w:val="24"/>
                      <w:vertAlign w:val="subscript"/>
                    </w:rPr>
                    <w:t>k(10,04),t</w:t>
                  </w:r>
                  <w:r>
                    <w:rPr>
                      <w:szCs w:val="24"/>
                    </w:rPr>
                    <w:t xml:space="preserve"> – skirstymo paslaugų </w:t>
                  </w:r>
                  <w:r>
                    <w:rPr>
                      <w:bCs/>
                      <w:szCs w:val="24"/>
                    </w:rPr>
                    <w:t>kainų viršutinių ribų skaičiavimuose numatyta koreguojama OPEX dalis, t. y. darbo užmokesčio, socialinio draudimo, eksploatacinės, remonto ir kiti materialiniai kaštai</w:t>
                  </w:r>
                  <w:r>
                    <w:rPr>
                      <w:szCs w:val="24"/>
                    </w:rPr>
                    <w:t>,</w:t>
                  </w:r>
                  <w:r>
                    <w:rPr>
                      <w:bCs/>
                      <w:szCs w:val="24"/>
                    </w:rPr>
                    <w:t xml:space="preserve"> visose pajamose metais </w:t>
                  </w:r>
                  <w:r>
                    <w:rPr>
                      <w:bCs/>
                      <w:i/>
                      <w:szCs w:val="24"/>
                    </w:rPr>
                    <w:t>t</w:t>
                  </w:r>
                  <w:r>
                    <w:rPr>
                      <w:szCs w:val="24"/>
                    </w:rPr>
                    <w:t>.;</w:t>
                  </w:r>
                </w:p>
                <w:p>
                  <w:pPr>
                    <w:tabs>
                      <w:tab w:val="left" w:pos="9214"/>
                    </w:tabs>
                    <w:jc w:val="both"/>
                    <w:rPr>
                      <w:szCs w:val="24"/>
                    </w:rPr>
                  </w:pPr>
                  <w:r>
                    <w:rPr>
                      <w:szCs w:val="24"/>
                    </w:rPr>
                    <w:t>IK</w:t>
                  </w:r>
                  <w:r>
                    <w:rPr>
                      <w:szCs w:val="24"/>
                      <w:vertAlign w:val="subscript"/>
                    </w:rPr>
                    <w:t xml:space="preserve">(10,04),t–1 </w:t>
                  </w:r>
                  <w:r>
                    <w:rPr>
                      <w:szCs w:val="24"/>
                    </w:rPr>
                    <w:t>– atitinkamai IK</w:t>
                  </w:r>
                  <w:r>
                    <w:rPr>
                      <w:szCs w:val="24"/>
                      <w:vertAlign w:val="subscript"/>
                    </w:rPr>
                    <w:t>10t–1</w:t>
                  </w:r>
                  <w:r>
                    <w:rPr>
                      <w:szCs w:val="24"/>
                    </w:rPr>
                    <w:t xml:space="preserve"> ir IK</w:t>
                  </w:r>
                  <w:r>
                    <w:rPr>
                      <w:szCs w:val="24"/>
                      <w:vertAlign w:val="subscript"/>
                    </w:rPr>
                    <w:t>04t–1</w:t>
                  </w:r>
                  <w:r>
                    <w:rPr>
                      <w:szCs w:val="24"/>
                    </w:rPr>
                    <w:t>;</w:t>
                  </w:r>
                </w:p>
              </w:sdtContent>
            </w:sdt>
            <w:sdt>
              <w:sdtPr>
                <w:alias w:val="91 p."/>
                <w:tag w:val="part_e770bff15cb443e8b94ae66ed388f027"/>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2 p."/>
                <w:tag w:val="part_9c40e40bb9024d149402fa2d458e35b9"/>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3 p."/>
                <w:tag w:val="part_f699c80005d246a8a1c5487161c22981"/>
                <w:lock w:val="sdtLocked"/>
                <w:richText/>
              </w:sdtPr>
              <w:sdtContent>
                <w:p>
                  <w:pPr>
                    <w:tabs>
                      <w:tab w:val="left" w:pos="1080"/>
                      <w:tab w:val="left" w:pos="1843"/>
                      <w:tab w:val="left" w:pos="2268"/>
                    </w:tabs>
                    <w:ind w:firstLine="720"/>
                    <w:jc w:val="both"/>
                    <w:rPr>
                      <w:szCs w:val="24"/>
                    </w:rPr>
                  </w:pPr>
                  <w:sdt>
                    <w:sdtPr>
                      <w:alias w:val="Numeris"/>
                      <w:tag w:val="nr_f699c80005d246a8a1c5487161c22981"/>
                      <w:lock w:val="sdtLocked"/>
                      <w:richText/>
                    </w:sdtPr>
                    <w:sdtContent>
                      <w:r>
                        <w:rPr>
                          <w:szCs w:val="24"/>
                        </w:rPr>
                        <w:t>93</w:t>
                      </w:r>
                    </w:sdtContent>
                  </w:sdt>
                  <w:r>
                    <w:rPr>
                      <w:szCs w:val="24"/>
                    </w:rPr>
                    <w:t xml:space="preserve">. Elektros energijos kiekio poveikio koeficientas </w:t>
                  </w:r>
                  <w:r>
                    <w:rPr>
                      <w:i/>
                      <w:szCs w:val="24"/>
                    </w:rPr>
                    <w:t xml:space="preserve">t </w:t>
                  </w:r>
                  <w:r>
                    <w:rPr>
                      <w:szCs w:val="24"/>
                    </w:rPr>
                    <w:t>metais apskaičiuojamas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sSub>
                          <m:sSubPr>
                            <m:ctrlPr>
                              <w:rPr>
                                <w:rFonts w:ascii="Cambria Math" w:hAnsi="Cambria Math"/>
                                <w:i/>
                              </w:rPr>
                            </m:ctrlPr>
                          </m:sSubPr>
                          <m:e>
                            <m:r>
                              <w:rPr>
                                <w:rFonts w:ascii="Cambria Math" w:hAnsi="Cambria Math"/>
                              </w:rPr>
                              <m:t>EK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r>
                          <w:rPr>
                            <w:rFonts w:ascii="Cambria Math" w:hAnsi="Cambria Math"/>
                          </w:rPr>
                          <m:t>=0,5</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E</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-2</m:t>
                                    </m:r>
                                  </m:sub>
                                </m:sSub>
                              </m:num>
                              <m:den>
                                <m:sSub>
                                  <m:sSubPr>
                                    <m:ctrlPr>
                                      <w:rPr>
                                        <w:rFonts w:ascii="Cambria Math" w:hAnsi="Cambria Math"/>
                                        <w:i/>
                                      </w:rPr>
                                    </m:ctrlPr>
                                  </m:sSubPr>
                                  <m:e>
                                    <m:r>
                                      <w:rPr>
                                        <w:rFonts w:ascii="Cambria Math" w:hAnsi="Cambria Math"/>
                                      </w:rPr>
                                      <m:t>E</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den>
                            </m:f>
                            <m:r>
                              <w:rPr>
                                <w:rFonts w:ascii="Cambria Math" w:hAnsi="Cambria Math"/>
                              </w:rPr>
                              <m:t>+1</m:t>
                            </m:r>
                          </m:e>
                        </m:d>
                        <m:r>
                          <w:rPr>
                            <w:rFonts w:ascii="Cambria Math" w:hAnsi="Cambria Math"/>
                          </w:rPr>
                          <m:t>×</m:t>
                        </m:r>
                        <m:sSub>
                          <m:sSubPr>
                            <m:ctrlPr>
                              <w:rPr>
                                <w:rFonts w:ascii="Cambria Math" w:hAnsi="Cambria Math"/>
                                <w:i/>
                              </w:rPr>
                            </m:ctrlPr>
                          </m:sSubPr>
                          <m:e>
                            <m:r>
                              <w:rPr>
                                <w:rFonts w:ascii="Cambria Math" w:hAnsi="Cambria Math"/>
                              </w:rPr>
                              <m:t>EK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-2</m:t>
                            </m:r>
                          </m:sub>
                        </m:sSub>
                      </m:e>
                      <m:sub/>
                    </m:sSub>
                  </m:oMath>
                  <w:r>
                    <w:tab/>
                  </w:r>
                  <w:r>
                    <w:rPr>
                      <w:szCs w:val="24"/>
                    </w:rPr>
                    <w:t>(57)</w:t>
                  </w:r>
                </w:p>
                <w:p>
                  <w:pPr>
                    <w:tabs>
                      <w:tab w:val="left" w:pos="9214"/>
                    </w:tabs>
                    <w:jc w:val="both"/>
                    <w:rPr>
                      <w:szCs w:val="24"/>
                    </w:rPr>
                  </w:pPr>
                </w:p>
                <w:p>
                  <w:pPr>
                    <w:tabs>
                      <w:tab w:val="left" w:pos="1134"/>
                      <w:tab w:val="left" w:pos="1843"/>
                      <w:tab w:val="left" w:pos="2268"/>
                    </w:tabs>
                    <w:suppressAutoHyphens/>
                    <w:jc w:val="both"/>
                    <w:rPr>
                      <w:i/>
                      <w:szCs w:val="24"/>
                    </w:rPr>
                  </w:pPr>
                  <w:r>
                    <w:rPr>
                      <w:i/>
                      <w:szCs w:val="24"/>
                    </w:rPr>
                    <w:t>čia:</w:t>
                  </w:r>
                </w:p>
                <w:p>
                  <w:pPr>
                    <w:tabs>
                      <w:tab w:val="left" w:pos="1134"/>
                      <w:tab w:val="left" w:pos="1843"/>
                      <w:tab w:val="left" w:pos="2268"/>
                    </w:tabs>
                    <w:suppressAutoHyphens/>
                    <w:jc w:val="both"/>
                    <w:rPr>
                      <w:szCs w:val="24"/>
                    </w:rPr>
                  </w:pPr>
                  <w:r>
                    <w:rPr>
                      <w:szCs w:val="24"/>
                    </w:rPr>
                    <w:t>EK</w:t>
                  </w:r>
                  <w:r>
                    <w:rPr>
                      <w:szCs w:val="24"/>
                      <w:vertAlign w:val="subscript"/>
                    </w:rPr>
                    <w:t xml:space="preserve">(10,04),t </w:t>
                  </w:r>
                  <w:r>
                    <w:rPr>
                      <w:szCs w:val="24"/>
                    </w:rPr>
                    <w:t xml:space="preserve">- Elektros energijos kiekio poveikio koeficientas </w:t>
                  </w:r>
                  <w:r>
                    <w:rPr>
                      <w:i/>
                      <w:szCs w:val="24"/>
                    </w:rPr>
                    <w:t xml:space="preserve">t </w:t>
                  </w:r>
                  <w:r>
                    <w:rPr>
                      <w:szCs w:val="24"/>
                    </w:rPr>
                    <w:t>metais</w:t>
                  </w:r>
                </w:p>
                <w:p>
                  <w:pPr>
                    <w:tabs>
                      <w:tab w:val="left" w:pos="1134"/>
                      <w:tab w:val="left" w:pos="1843"/>
                      <w:tab w:val="left" w:pos="2268"/>
                    </w:tabs>
                    <w:suppressAutoHyphens/>
                    <w:jc w:val="both"/>
                    <w:rPr>
                      <w:szCs w:val="24"/>
                    </w:rPr>
                  </w:pPr>
                  <w:r>
                    <w:rPr>
                      <w:szCs w:val="24"/>
                    </w:rPr>
                    <w:t>EK</w:t>
                  </w:r>
                  <w:r>
                    <w:rPr>
                      <w:szCs w:val="24"/>
                      <w:vertAlign w:val="subscript"/>
                    </w:rPr>
                    <w:t xml:space="preserve">(10,04),t-2 </w:t>
                  </w:r>
                  <w:r>
                    <w:rPr>
                      <w:szCs w:val="24"/>
                    </w:rPr>
                    <w:t xml:space="preserve">- Elektros energijos kiekio poveikio koeficientas </w:t>
                  </w:r>
                  <w:r>
                    <w:rPr>
                      <w:i/>
                      <w:szCs w:val="24"/>
                    </w:rPr>
                    <w:t xml:space="preserve">t-2 </w:t>
                  </w:r>
                  <w:r>
                    <w:rPr>
                      <w:szCs w:val="24"/>
                    </w:rPr>
                    <w:t>metais</w:t>
                  </w:r>
                </w:p>
                <w:p>
                  <w:pPr>
                    <w:tabs>
                      <w:tab w:val="left" w:pos="1080"/>
                      <w:tab w:val="left" w:pos="1134"/>
                      <w:tab w:val="left" w:pos="1843"/>
                      <w:tab w:val="left" w:pos="2268"/>
                    </w:tabs>
                    <w:jc w:val="both"/>
                    <w:rPr>
                      <w:szCs w:val="24"/>
                    </w:rPr>
                  </w:pPr>
                  <w:r>
                    <w:rPr>
                      <w:iCs/>
                      <w:szCs w:val="24"/>
                      <w:lang w:eastAsia="lt-LT"/>
                    </w:rPr>
                    <w:t>E</w:t>
                  </w:r>
                  <w:r>
                    <w:rPr>
                      <w:szCs w:val="24"/>
                      <w:vertAlign w:val="subscript"/>
                      <w:lang w:eastAsia="lt-LT"/>
                    </w:rPr>
                    <w:t>(10,04),</w:t>
                  </w:r>
                  <w:r>
                    <w:rPr>
                      <w:iCs/>
                      <w:szCs w:val="24"/>
                      <w:vertAlign w:val="subscript"/>
                      <w:lang w:eastAsia="lt-LT"/>
                    </w:rPr>
                    <w:t>t</w:t>
                  </w:r>
                  <w:r>
                    <w:rPr>
                      <w:szCs w:val="24"/>
                      <w:vertAlign w:val="subscript"/>
                      <w:lang w:eastAsia="lt-LT"/>
                    </w:rPr>
                    <w:t>-2</w:t>
                  </w:r>
                  <w:r>
                    <w:rPr>
                      <w:szCs w:val="24"/>
                      <w:lang w:eastAsia="lt-LT"/>
                    </w:rPr>
                    <w:t xml:space="preserve"> –</w:t>
                  </w:r>
                  <w:r>
                    <w:rPr>
                      <w:szCs w:val="24"/>
                    </w:rPr>
                    <w:t xml:space="preserve"> faktiškai t-2 paskirstytas energijos kiekis </w:t>
                  </w:r>
                  <w:r>
                    <w:rPr>
                      <w:szCs w:val="24"/>
                      <w:lang w:eastAsia="lt-LT"/>
                    </w:rPr>
                    <w:t xml:space="preserve">atitinkamai </w:t>
                  </w:r>
                  <w:r>
                    <w:rPr>
                      <w:iCs/>
                      <w:szCs w:val="24"/>
                      <w:lang w:eastAsia="lt-LT"/>
                    </w:rPr>
                    <w:t>E</w:t>
                  </w:r>
                  <w:r>
                    <w:rPr>
                      <w:szCs w:val="24"/>
                      <w:vertAlign w:val="subscript"/>
                      <w:lang w:eastAsia="lt-LT"/>
                    </w:rPr>
                    <w:t>10</w:t>
                  </w:r>
                  <w:r>
                    <w:rPr>
                      <w:iCs/>
                      <w:szCs w:val="24"/>
                      <w:vertAlign w:val="subscript"/>
                      <w:lang w:eastAsia="lt-LT"/>
                    </w:rPr>
                    <w:t>t</w:t>
                  </w:r>
                  <w:r>
                    <w:rPr>
                      <w:szCs w:val="24"/>
                      <w:vertAlign w:val="subscript"/>
                      <w:lang w:eastAsia="lt-LT"/>
                    </w:rPr>
                    <w:t xml:space="preserve">-2 </w:t>
                  </w:r>
                  <w:r>
                    <w:rPr>
                      <w:szCs w:val="24"/>
                      <w:lang w:eastAsia="lt-LT"/>
                    </w:rPr>
                    <w:t xml:space="preserve">ir </w:t>
                  </w:r>
                  <w:r>
                    <w:rPr>
                      <w:iCs/>
                      <w:szCs w:val="24"/>
                      <w:lang w:eastAsia="lt-LT"/>
                    </w:rPr>
                    <w:t>E</w:t>
                  </w:r>
                  <w:r>
                    <w:rPr>
                      <w:szCs w:val="24"/>
                      <w:vertAlign w:val="subscript"/>
                      <w:lang w:eastAsia="lt-LT"/>
                    </w:rPr>
                    <w:t>04</w:t>
                  </w:r>
                  <w:r>
                    <w:rPr>
                      <w:iCs/>
                      <w:szCs w:val="24"/>
                      <w:vertAlign w:val="subscript"/>
                      <w:lang w:eastAsia="lt-LT"/>
                    </w:rPr>
                    <w:t>t</w:t>
                  </w:r>
                  <w:r>
                    <w:rPr>
                      <w:szCs w:val="24"/>
                      <w:vertAlign w:val="subscript"/>
                      <w:lang w:eastAsia="lt-LT"/>
                    </w:rPr>
                    <w:t>-2</w:t>
                  </w:r>
                  <w:r>
                    <w:rPr>
                      <w:szCs w:val="24"/>
                    </w:rPr>
                    <w:t>.</w:t>
                  </w:r>
                </w:p>
                <w:p>
                  <w:pPr>
                    <w:widowControl w:val="0"/>
                    <w:tabs>
                      <w:tab w:val="left" w:pos="2667"/>
                    </w:tabs>
                    <w:suppressAutoHyphens/>
                    <w:jc w:val="both"/>
                    <w:rPr>
                      <w:szCs w:val="24"/>
                    </w:rPr>
                  </w:pPr>
                  <w:r>
                    <w:rPr>
                      <w:szCs w:val="24"/>
                    </w:rPr>
                    <w:t>E</w:t>
                  </w:r>
                  <w:r>
                    <w:rPr>
                      <w:szCs w:val="24"/>
                      <w:vertAlign w:val="subscript"/>
                    </w:rPr>
                    <w:t>(10,04),t</w:t>
                  </w:r>
                  <w:r>
                    <w:rPr>
                      <w:szCs w:val="24"/>
                    </w:rPr>
                    <w:t xml:space="preserve"> – planuojamas paskirstyti energijos kiekis atitinkamai E</w:t>
                  </w:r>
                  <w:r>
                    <w:rPr>
                      <w:szCs w:val="24"/>
                      <w:vertAlign w:val="subscript"/>
                    </w:rPr>
                    <w:t xml:space="preserve">10t </w:t>
                  </w:r>
                  <w:r>
                    <w:rPr>
                      <w:szCs w:val="24"/>
                    </w:rPr>
                    <w:t>ir E</w:t>
                  </w:r>
                  <w:r>
                    <w:rPr>
                      <w:szCs w:val="24"/>
                      <w:vertAlign w:val="subscript"/>
                    </w:rPr>
                    <w:t>04t</w:t>
                  </w:r>
                  <w:r>
                    <w:rPr>
                      <w:szCs w:val="24"/>
                    </w:rPr>
                    <w:t>;</w:t>
                  </w:r>
                </w:p>
              </w:sdtContent>
            </w:sdt>
            <w:sdt>
              <w:sdtPr>
                <w:alias w:val="94 p."/>
                <w:tag w:val="part_014e085cfa794f4e83b3c615cc76acf8"/>
                <w:lock w:val="sdtLocked"/>
                <w:richText/>
              </w:sdtPr>
              <w:sdtContent>
                <w:p>
                  <w:pPr>
                    <w:tabs>
                      <w:tab w:val="left" w:pos="1080"/>
                      <w:tab w:val="left" w:pos="1843"/>
                      <w:tab w:val="left" w:pos="2268"/>
                    </w:tabs>
                    <w:suppressAutoHyphens/>
                    <w:ind w:firstLine="720"/>
                    <w:jc w:val="both"/>
                    <w:rPr>
                      <w:szCs w:val="24"/>
                    </w:rPr>
                  </w:pPr>
                  <w:sdt>
                    <w:sdtPr>
                      <w:alias w:val="Numeris"/>
                      <w:tag w:val="nr_014e085cfa794f4e83b3c615cc76acf8"/>
                      <w:lock w:val="sdtLocked"/>
                      <w:richText/>
                    </w:sdtPr>
                    <w:sdtContent>
                      <w:r>
                        <w:rPr>
                          <w:szCs w:val="24"/>
                        </w:rPr>
                        <w:t>94</w:t>
                      </w:r>
                    </w:sdtContent>
                  </w:sdt>
                  <w:r>
                    <w:rPr>
                      <w:szCs w:val="24"/>
                    </w:rPr>
                    <w:t xml:space="preserve">. Korekcijos koeficientas </w:t>
                  </w:r>
                  <w:r>
                    <w:rPr>
                      <w:i/>
                      <w:szCs w:val="24"/>
                    </w:rPr>
                    <w:t xml:space="preserve">t </w:t>
                  </w:r>
                  <w:r>
                    <w:rPr>
                      <w:szCs w:val="24"/>
                    </w:rPr>
                    <w:t>metais apskaičiuojamas pagal formulę:</w:t>
                  </w:r>
                </w:p>
                <w:p>
                  <w:pPr>
                    <w:tabs>
                      <w:tab w:val="left" w:pos="1134"/>
                      <w:tab w:val="left" w:pos="1843"/>
                      <w:tab w:val="left" w:pos="2268"/>
                    </w:tabs>
                    <w:suppressAutoHyphens/>
                    <w:jc w:val="both"/>
                    <w:rPr>
                      <w:szCs w:val="24"/>
                    </w:rPr>
                  </w:pPr>
                </w:p>
                <w:p>
                  <w:pPr>
                    <w:tabs>
                      <w:tab w:val="left" w:pos="9214"/>
                    </w:tabs>
                    <w:suppressAutoHyphens/>
                    <w:ind w:firstLine="9214"/>
                    <w:jc w:val="both"/>
                    <w:rPr>
                      <w:szCs w:val="24"/>
                    </w:rPr>
                  </w:pPr>
                  <w:r>
                    <w:t xml:space="preserve"> </w:t>
                  </w:r>
                  <m:oMath>
                    <m:sSub>
                      <m:sSubPr>
                        <m:ctrlPr>
                          <w:rPr>
                            <w:rFonts w:ascii="Cambria Math" w:hAnsi="Cambria Math"/>
                            <w:i/>
                          </w:rPr>
                        </m:ctrlPr>
                      </m:sSubPr>
                      <m:e>
                        <m:r>
                          <w:rPr>
                            <w:rFonts w:ascii="Cambria Math" w:hAnsi="Cambria Math"/>
                          </w:rPr>
                          <m:t>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-2</m:t>
                                </m:r>
                              </m:sub>
                              <m:sup/>
                            </m:sSubSup>
                            <m:r>
                              <w:rPr>
                                <w:rFonts w:ascii="Cambria Math" w:hAnsi="Cambria Math"/>
                              </w:rPr>
                              <m:t>×</m:t>
                            </m:r>
                            <m:sSubSup>
                              <m:sSubSupPr>
                                <m:ctrlPr>
                                  <w:rPr>
                                    <w:rFonts w:ascii="Cambria Math" w:hAnsi="Cambria Math"/>
                                    <w:i/>
                                  </w:rPr>
                                </m:ctrlPr>
                              </m:sSubSupPr>
                              <m:e>
                                <m:r>
                                  <w:rPr>
                                    <w:rFonts w:ascii="Cambria Math" w:hAnsi="Cambria Math"/>
                                  </w:rPr>
                                  <m:t>E</m:t>
                                </m:r>
                              </m:e>
                              <m:sub>
                                <m:d>
                                  <m:dPr>
                                    <m:ctrlPr>
                                      <w:rPr>
                                        <w:rFonts w:ascii="Cambria Math" w:hAnsi="Cambria Math"/>
                                        <w:i/>
                                      </w:rPr>
                                    </m:ctrlPr>
                                  </m:dPr>
                                  <m:e>
                                    <m:r>
                                      <w:rPr>
                                        <w:rFonts w:ascii="Cambria Math" w:hAnsi="Cambria Math"/>
                                      </w:rPr>
                                      <m:t>10, 04</m:t>
                                    </m:r>
                                  </m:e>
                                </m:d>
                                <m:r>
                                  <w:rPr>
                                    <w:rFonts w:ascii="Cambria Math" w:hAnsi="Cambria Math"/>
                                  </w:rPr>
                                  <m:t>,</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den>
                    </m:f>
                  </m:oMath>
                  <w:r>
                    <w:tab/>
                  </w:r>
                  <w:r>
                    <w:rPr>
                      <w:szCs w:val="24"/>
                    </w:rPr>
                    <w:t>(58)</w:t>
                  </w:r>
                </w:p>
                <w:p>
                  <w:pPr>
                    <w:tabs>
                      <w:tab w:val="left" w:pos="9214"/>
                    </w:tabs>
                    <w:suppressAutoHyphens/>
                    <w:jc w:val="both"/>
                    <w:rPr>
                      <w:szCs w:val="24"/>
                    </w:rPr>
                  </w:pPr>
                </w:p>
                <w:p>
                  <w:pPr>
                    <w:tabs>
                      <w:tab w:val="left" w:pos="1134"/>
                      <w:tab w:val="left" w:pos="1843"/>
                      <w:tab w:val="left" w:pos="2268"/>
                    </w:tabs>
                    <w:suppressAutoHyphens/>
                    <w:jc w:val="both"/>
                    <w:rPr>
                      <w:i/>
                      <w:szCs w:val="24"/>
                    </w:rPr>
                  </w:pPr>
                  <w:r>
                    <w:rPr>
                      <w:i/>
                      <w:szCs w:val="24"/>
                    </w:rPr>
                    <w:t>čia:</w:t>
                  </w:r>
                </w:p>
                <w:p>
                  <w:pPr>
                    <w:tabs>
                      <w:tab w:val="left" w:pos="1134"/>
                      <w:tab w:val="left" w:pos="1843"/>
                      <w:tab w:val="left" w:pos="2268"/>
                    </w:tabs>
                    <w:jc w:val="both"/>
                    <w:rPr>
                      <w:szCs w:val="24"/>
                    </w:rPr>
                  </w:pPr>
                  <w:r>
                    <w:rPr>
                      <w:szCs w:val="24"/>
                    </w:rPr>
                    <w:t>K</w:t>
                  </w:r>
                  <w:r>
                    <w:rPr>
                      <w:szCs w:val="24"/>
                      <w:vertAlign w:val="subscript"/>
                    </w:rPr>
                    <w:t>(10,04),t</w:t>
                  </w:r>
                  <w:r>
                    <w:rPr>
                      <w:szCs w:val="24"/>
                    </w:rPr>
                    <w:t xml:space="preserve"> – </w:t>
                  </w:r>
                  <w:r>
                    <w:rPr>
                      <w:i/>
                      <w:szCs w:val="24"/>
                    </w:rPr>
                    <w:t>t</w:t>
                  </w:r>
                  <w:r>
                    <w:rPr>
                      <w:szCs w:val="24"/>
                    </w:rPr>
                    <w:t xml:space="preserve"> metų korekcijos koeficientas kainos viršutinei ribai, EUR/kWh;</w:t>
                  </w:r>
                </w:p>
                <w:p>
                  <w:pPr>
                    <w:tabs>
                      <w:tab w:val="left" w:pos="1134"/>
                      <w:tab w:val="left" w:pos="1843"/>
                      <w:tab w:val="left" w:pos="2268"/>
                    </w:tabs>
                    <w:jc w:val="both"/>
                    <w:rPr>
                      <w:szCs w:val="24"/>
                    </w:rPr>
                  </w:pPr>
                  <w:r>
                    <w:rPr>
                      <w:szCs w:val="24"/>
                    </w:rPr>
                    <w:t>P</w:t>
                  </w:r>
                  <w:r>
                    <w:rPr>
                      <w:szCs w:val="24"/>
                      <w:vertAlign w:val="superscript"/>
                    </w:rPr>
                    <w:t>f</w:t>
                  </w:r>
                  <w:r>
                    <w:rPr>
                      <w:szCs w:val="24"/>
                      <w:vertAlign w:val="subscript"/>
                    </w:rPr>
                    <w:t>(10,04),t–2</w:t>
                  </w:r>
                  <w:r>
                    <w:rPr>
                      <w:szCs w:val="24"/>
                      <w:vertAlign w:val="superscript"/>
                    </w:rPr>
                    <w:t xml:space="preserve"> </w:t>
                  </w:r>
                  <w:r>
                    <w:rPr>
                      <w:szCs w:val="24"/>
                    </w:rPr>
                    <w:t xml:space="preserve">– faktinės pajamos iš skirstymo paslaugos </w:t>
                  </w:r>
                  <w:r>
                    <w:rPr>
                      <w:i/>
                      <w:szCs w:val="24"/>
                    </w:rPr>
                    <w:t xml:space="preserve">t-2 </w:t>
                  </w:r>
                  <w:r>
                    <w:rPr>
                      <w:szCs w:val="24"/>
                    </w:rPr>
                    <w:t>metais, EUR;</w:t>
                  </w:r>
                </w:p>
                <w:p>
                  <w:pPr>
                    <w:tabs>
                      <w:tab w:val="left" w:pos="1134"/>
                      <w:tab w:val="left" w:pos="1843"/>
                      <w:tab w:val="left" w:pos="2268"/>
                    </w:tabs>
                    <w:jc w:val="both"/>
                    <w:rPr>
                      <w:szCs w:val="24"/>
                    </w:rPr>
                  </w:pPr>
                  <w:r>
                    <w:rPr>
                      <w:szCs w:val="24"/>
                    </w:rPr>
                    <w:t>E</w:t>
                  </w:r>
                  <w:r>
                    <w:rPr>
                      <w:szCs w:val="24"/>
                      <w:vertAlign w:val="subscript"/>
                    </w:rPr>
                    <w:t xml:space="preserve">(10,04),t-2 </w:t>
                  </w:r>
                  <w:r>
                    <w:rPr>
                      <w:szCs w:val="24"/>
                    </w:rPr>
                    <w:t xml:space="preserve">–faktinis </w:t>
                  </w:r>
                  <w:r>
                    <w:rPr>
                      <w:i/>
                      <w:szCs w:val="24"/>
                    </w:rPr>
                    <w:t xml:space="preserve">t-2 </w:t>
                  </w:r>
                  <w:r>
                    <w:rPr>
                      <w:szCs w:val="24"/>
                    </w:rPr>
                    <w:t xml:space="preserve">metais paskirstytas elektros energijos kiekis, kWh; </w:t>
                  </w:r>
                </w:p>
                <w:p>
                  <w:pPr>
                    <w:tabs>
                      <w:tab w:val="left" w:pos="1134"/>
                      <w:tab w:val="left" w:pos="1843"/>
                      <w:tab w:val="left" w:pos="2268"/>
                    </w:tabs>
                    <w:jc w:val="both"/>
                    <w:rPr>
                      <w:szCs w:val="24"/>
                    </w:rPr>
                  </w:pPr>
                  <w:r>
                    <w:rPr>
                      <w:szCs w:val="24"/>
                    </w:rPr>
                    <w:t>E</w:t>
                  </w:r>
                  <w:r>
                    <w:rPr>
                      <w:szCs w:val="24"/>
                      <w:vertAlign w:val="subscript"/>
                    </w:rPr>
                    <w:t xml:space="preserve">(10,04),t </w:t>
                  </w:r>
                  <w:r>
                    <w:rPr>
                      <w:szCs w:val="24"/>
                    </w:rPr>
                    <w:t xml:space="preserve">– </w:t>
                  </w:r>
                  <w:r>
                    <w:rPr>
                      <w:i/>
                      <w:szCs w:val="24"/>
                    </w:rPr>
                    <w:t>t</w:t>
                  </w:r>
                  <w:r>
                    <w:rPr>
                      <w:szCs w:val="24"/>
                    </w:rPr>
                    <w:t xml:space="preserve"> metais planuojamas paskirstyti elektros energijos kiekis</w:t>
                  </w:r>
                  <w:r>
                    <w:rPr>
                      <w:szCs w:val="24"/>
                      <w:lang w:eastAsia="lt-LT"/>
                    </w:rPr>
                    <w:t xml:space="preserve"> atitinkamai </w:t>
                  </w:r>
                  <w:r>
                    <w:rPr>
                      <w:i/>
                      <w:iCs/>
                      <w:szCs w:val="24"/>
                      <w:lang w:eastAsia="lt-LT"/>
                    </w:rPr>
                    <w:t>E</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ir </w:t>
                  </w:r>
                  <w:r>
                    <w:rPr>
                      <w:i/>
                      <w:iCs/>
                      <w:szCs w:val="24"/>
                      <w:lang w:eastAsia="lt-LT"/>
                    </w:rPr>
                    <w:t>E</w:t>
                  </w:r>
                  <w:r>
                    <w:rPr>
                      <w:szCs w:val="24"/>
                      <w:vertAlign w:val="subscript"/>
                      <w:lang w:eastAsia="lt-LT"/>
                    </w:rPr>
                    <w:t>04</w:t>
                  </w:r>
                  <w:r>
                    <w:rPr>
                      <w:i/>
                      <w:iCs/>
                      <w:szCs w:val="24"/>
                      <w:vertAlign w:val="subscript"/>
                      <w:lang w:eastAsia="lt-LT"/>
                    </w:rPr>
                    <w:t>t</w:t>
                  </w:r>
                  <w:r>
                    <w:rPr>
                      <w:szCs w:val="24"/>
                    </w:rPr>
                    <w:t>, kWh</w:t>
                  </w:r>
                  <w:r>
                    <w:rPr>
                      <w:szCs w:val="24"/>
                      <w:lang w:eastAsia="lt-LT"/>
                    </w:rPr>
                    <w:t>;</w:t>
                  </w:r>
                </w:p>
                <w:p>
                  <w:pPr>
                    <w:tabs>
                      <w:tab w:val="left" w:pos="1134"/>
                      <w:tab w:val="left" w:pos="1843"/>
                      <w:tab w:val="left" w:pos="2268"/>
                    </w:tabs>
                    <w:jc w:val="both"/>
                    <w:rPr>
                      <w:szCs w:val="24"/>
                    </w:rPr>
                  </w:pPr>
                  <w:r>
                    <w:rPr>
                      <w:szCs w:val="24"/>
                    </w:rPr>
                    <w:t>T</w:t>
                  </w:r>
                  <w:r>
                    <w:rPr>
                      <w:szCs w:val="24"/>
                      <w:vertAlign w:val="subscript"/>
                    </w:rPr>
                    <w:t xml:space="preserve">(10,04),t-2 </w:t>
                  </w:r>
                  <w:r>
                    <w:rPr>
                      <w:szCs w:val="24"/>
                    </w:rPr>
                    <w:t xml:space="preserve">– Komisijos nustatyta paslaugos kainos viršutinė riba </w:t>
                  </w:r>
                  <w:r>
                    <w:rPr>
                      <w:i/>
                      <w:szCs w:val="24"/>
                    </w:rPr>
                    <w:t>t-2</w:t>
                  </w:r>
                  <w:r>
                    <w:rPr>
                      <w:szCs w:val="24"/>
                    </w:rPr>
                    <w:t xml:space="preserve"> metams.</w:t>
                  </w:r>
                </w:p>
              </w:sdtContent>
            </w:sdt>
            <w:sdt>
              <w:sdtPr>
                <w:alias w:val="95 p."/>
                <w:tag w:val="part_0ae1535c8af346f294eb2ae83a2a2b98"/>
                <w:lock w:val="sdtLocked"/>
                <w:richText/>
              </w:sdtPr>
              <w:sdtContent>
                <w:p>
                  <w:pPr>
                    <w:tabs>
                      <w:tab w:val="left" w:pos="1080"/>
                      <w:tab w:val="left" w:pos="1843"/>
                      <w:tab w:val="left" w:pos="2268"/>
                    </w:tabs>
                    <w:ind w:firstLine="720"/>
                    <w:jc w:val="both"/>
                    <w:rPr>
                      <w:szCs w:val="24"/>
                    </w:rPr>
                  </w:pPr>
                  <w:sdt>
                    <w:sdtPr>
                      <w:alias w:val="Numeris"/>
                      <w:tag w:val="nr_0ae1535c8af346f294eb2ae83a2a2b98"/>
                      <w:lock w:val="sdtLocked"/>
                      <w:richText/>
                    </w:sdtPr>
                    <w:sdtContent>
                      <w:r>
                        <w:rPr>
                          <w:szCs w:val="24"/>
                        </w:rPr>
                        <w:t>95</w:t>
                      </w:r>
                    </w:sdtContent>
                  </w:sdt>
                  <w:r>
                    <w:rPr>
                      <w:szCs w:val="24"/>
                    </w:rPr>
                    <w:t>. Komisija, perskaičiuodama viršutinę kainos ribą dėl korekcijos koeficiento, sprendžia dėl negautų ar viršytų pajamų įvertinimo pagrįstumo, atsižvelgdama į Įmonių pateiktas pagrįstas pajamų pokyčio priežastis, nulemtas elektros energijos skirstymo paslaugos kainos viršutinės ribos diferencijavimo ir (arba) prognozuoto perduoti bei faktiškai perduoto kiekio skirtumo.</w:t>
                  </w:r>
                </w:p>
              </w:sdtContent>
            </w:sdt>
            <w:sdt>
              <w:sdtPr>
                <w:alias w:val="96 p."/>
                <w:tag w:val="part_5ee05ad7515742e4a0c0f0ef32e506c8"/>
                <w:lock w:val="sdtLocked"/>
                <w:richText/>
              </w:sdtPr>
              <w:sdtContent>
                <w:p>
                  <w:pPr>
                    <w:tabs>
                      <w:tab w:val="left" w:pos="1134"/>
                      <w:tab w:val="left" w:pos="1843"/>
                      <w:tab w:val="left" w:pos="2268"/>
                    </w:tabs>
                    <w:ind w:firstLine="720"/>
                    <w:jc w:val="both"/>
                    <w:rPr>
                      <w:szCs w:val="24"/>
                    </w:rPr>
                  </w:pPr>
                  <w:sdt>
                    <w:sdtPr>
                      <w:alias w:val="Numeris"/>
                      <w:tag w:val="nr_5ee05ad7515742e4a0c0f0ef32e506c8"/>
                      <w:lock w:val="sdtLocked"/>
                      <w:richText/>
                    </w:sdtPr>
                    <w:sdtContent>
                      <w:r>
                        <w:rPr>
                          <w:szCs w:val="24"/>
                        </w:rPr>
                        <w:t>96</w:t>
                      </w:r>
                    </w:sdtContent>
                  </w:sdt>
                  <w:r>
                    <w:rPr>
                      <w:szCs w:val="24"/>
                    </w:rPr>
                    <w:t>. Pirmaisiais reguliavimo periodo metais atitinkamai nenumatytų pasikeitimų ir elektros energijos kiekio poveikio bei indeksavimo koeficientai lygūs vienetui, o korekcijos koeficientai – nuliui. Kitiems reguliavimo periodo metams koregavimo koeficientai skaičiuojami pagal patikslintus (faktinius) esamųjų metų duomenis.</w:t>
                  </w:r>
                </w:p>
              </w:sdtContent>
            </w:sdt>
          </w:sdtContent>
        </w:sdt>
        <w:sdt>
          <w:sdtPr>
            <w:alias w:val="skyrius"/>
            <w:tag w:val="part_9cc5df168f294cb292569e5278e8d9d6"/>
            <w:lock w:val="sdtLocked"/>
            <w:richText/>
          </w:sdtPr>
          <w:sdtContent>
            <w:p>
              <w:pPr>
                <w:tabs>
                  <w:tab w:val="left" w:pos="1134"/>
                  <w:tab w:val="left" w:pos="1843"/>
                  <w:tab w:val="left" w:pos="2268"/>
                </w:tabs>
                <w:jc w:val="center"/>
                <w:rPr>
                  <w:b/>
                  <w:szCs w:val="24"/>
                </w:rPr>
              </w:pPr>
              <w:sdt>
                <w:sdtPr>
                  <w:alias w:val="Numeris"/>
                  <w:tag w:val="nr_9cc5df168f294cb292569e5278e8d9d6"/>
                  <w:lock w:val="sdtLocked"/>
                  <w:richText/>
                </w:sdtPr>
                <w:sdtContent>
                  <w:r>
                    <w:rPr>
                      <w:b/>
                      <w:szCs w:val="24"/>
                    </w:rPr>
                    <w:t>V</w:t>
                  </w:r>
                </w:sdtContent>
              </w:sdt>
              <w:r>
                <w:rPr>
                  <w:b/>
                  <w:szCs w:val="24"/>
                </w:rPr>
                <w:t xml:space="preserve"> SKYRIUS</w:t>
              </w:r>
            </w:p>
            <w:p>
              <w:pPr>
                <w:tabs>
                  <w:tab w:val="left" w:pos="1134"/>
                  <w:tab w:val="left" w:pos="1843"/>
                  <w:tab w:val="left" w:pos="2268"/>
                </w:tabs>
                <w:jc w:val="center"/>
                <w:rPr>
                  <w:b/>
                  <w:szCs w:val="24"/>
                </w:rPr>
              </w:pPr>
              <w:sdt>
                <w:sdtPr>
                  <w:alias w:val="Pavadinimas"/>
                  <w:tag w:val="title_9cc5df168f294cb292569e5278e8d9d6"/>
                  <w:lock w:val="sdtLocked"/>
                  <w:richText/>
                </w:sdtPr>
                <w:sdtContent>
                  <w:r>
                    <w:rPr>
                      <w:b/>
                      <w:szCs w:val="24"/>
                    </w:rPr>
                    <w:t>VISUOMENINIO TIEKIMO PASLAUGOS KAINOS VIRŠUTINĖS RIBOS NUSTATYMAS IR PERSKAIČIAVIMAS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97 p."/>
                <w:tag w:val="part_676a79e80da1409aa0a4b313ef7e808a"/>
                <w:lock w:val="sdtLocked"/>
                <w:richText/>
              </w:sdtPr>
              <w:sdtContent>
                <w:p>
                  <w:pPr>
                    <w:tabs>
                      <w:tab w:val="left" w:pos="1080"/>
                      <w:tab w:val="left" w:pos="1843"/>
                      <w:tab w:val="left" w:pos="2268"/>
                    </w:tabs>
                    <w:ind w:firstLine="720"/>
                    <w:jc w:val="both"/>
                    <w:rPr>
                      <w:szCs w:val="24"/>
                    </w:rPr>
                  </w:pPr>
                  <w:sdt>
                    <w:sdtPr>
                      <w:alias w:val="Numeris"/>
                      <w:tag w:val="nr_676a79e80da1409aa0a4b313ef7e808a"/>
                      <w:lock w:val="sdtLocked"/>
                      <w:richText/>
                    </w:sdtPr>
                    <w:sdtContent>
                      <w:r>
                        <w:rPr>
                          <w:szCs w:val="24"/>
                        </w:rPr>
                        <w:t>97</w:t>
                      </w:r>
                    </w:sdtContent>
                  </w:sdt>
                  <w:r>
                    <w:rPr>
                      <w:szCs w:val="24"/>
                    </w:rPr>
                    <w:t xml:space="preserve">. Visuomeninio tiekimo paslaugos kainos viršutinė riba nustatoma penkeriems metams, </w:t>
                    <w:br/>
                    <w:t>t. y. pradinis visuomeninio tiekėjo pajamų lygis nustatomas penkeriems metams, o viršutinė riba, atsižvelgus į nenumatytų pasikeitimų, indeksavimo bei korekcijos koeficientus, perskaičiuojama kasmet.</w:t>
                  </w:r>
                </w:p>
              </w:sdtContent>
            </w:sdt>
            <w:sdt>
              <w:sdtPr>
                <w:alias w:val="98 p."/>
                <w:tag w:val="part_b92b64bf6e204df3853cfa474882af2c"/>
                <w:lock w:val="sdtLocked"/>
                <w:richText/>
              </w:sdtPr>
              <w:sdtContent>
                <w:p>
                  <w:pPr>
                    <w:tabs>
                      <w:tab w:val="left" w:pos="1080"/>
                      <w:tab w:val="left" w:pos="1843"/>
                      <w:tab w:val="left" w:pos="2268"/>
                    </w:tabs>
                    <w:ind w:firstLine="720"/>
                    <w:jc w:val="both"/>
                    <w:rPr>
                      <w:szCs w:val="24"/>
                    </w:rPr>
                  </w:pPr>
                  <w:sdt>
                    <w:sdtPr>
                      <w:alias w:val="Numeris"/>
                      <w:tag w:val="nr_b92b64bf6e204df3853cfa474882af2c"/>
                      <w:lock w:val="sdtLocked"/>
                      <w:richText/>
                    </w:sdtPr>
                    <w:sdtContent>
                      <w:r>
                        <w:rPr>
                          <w:szCs w:val="24"/>
                        </w:rPr>
                        <w:t>98</w:t>
                      </w:r>
                    </w:sdtContent>
                  </w:sdt>
                  <w:r>
                    <w:rPr>
                      <w:szCs w:val="24"/>
                    </w:rPr>
                    <w:t>. Pradinis visuomeninio tiekimo paslaugų pajamų lygis skaičiuojamas ekonomiškai pagrindžiant elektros energijos visuomeninio tiekėjo būtinus kaštus ir protingumo kriterijų atitinkančią investicijų grąžą pagal Metodikos 101 punktą.</w:t>
                  </w:r>
                </w:p>
              </w:sdtContent>
            </w:sdt>
            <w:sdt>
              <w:sdtPr>
                <w:alias w:val="99 p."/>
                <w:tag w:val="part_e1b70524c7f94aa68a1ddf271a559315"/>
                <w:lock w:val="sdtLocked"/>
                <w:richText/>
              </w:sdtPr>
              <w:sdtContent>
                <w:p>
                  <w:pPr>
                    <w:tabs>
                      <w:tab w:val="left" w:pos="1080"/>
                      <w:tab w:val="left" w:pos="1843"/>
                      <w:tab w:val="left" w:pos="2268"/>
                    </w:tabs>
                    <w:ind w:firstLine="720"/>
                    <w:jc w:val="both"/>
                    <w:rPr>
                      <w:szCs w:val="24"/>
                    </w:rPr>
                  </w:pPr>
                  <w:sdt>
                    <w:sdtPr>
                      <w:alias w:val="Numeris"/>
                      <w:tag w:val="nr_e1b70524c7f94aa68a1ddf271a559315"/>
                      <w:lock w:val="sdtLocked"/>
                      <w:richText/>
                    </w:sdtPr>
                    <w:sdtContent>
                      <w:r>
                        <w:rPr>
                          <w:szCs w:val="24"/>
                        </w:rPr>
                        <w:t>99</w:t>
                      </w:r>
                    </w:sdtContent>
                  </w:sdt>
                  <w:r>
                    <w:rPr>
                      <w:szCs w:val="24"/>
                    </w:rPr>
                    <w:t>. Viršutinės kainos ribos formulė taikoma elektros energijos visuomeninio tiekimo paslaugos kainai apskaičiuoti:</w:t>
                  </w:r>
                </w:p>
                <w:p>
                  <w:pPr>
                    <w:tabs>
                      <w:tab w:val="left" w:pos="993"/>
                      <w:tab w:val="left" w:pos="1843"/>
                      <w:tab w:val="left" w:pos="2268"/>
                    </w:tabs>
                    <w:jc w:val="both"/>
                    <w:rPr>
                      <w:szCs w:val="24"/>
                    </w:rPr>
                  </w:pPr>
                </w:p>
                <w:p>
                  <w:pPr>
                    <w:tabs>
                      <w:tab w:val="left" w:pos="9214"/>
                    </w:tabs>
                    <w:jc w:val="both"/>
                    <w:rPr>
                      <w:szCs w:val="24"/>
                    </w:rPr>
                  </w:pPr>
                  <w:r>
                    <w:rPr>
                      <w:szCs w:val="24"/>
                      <w:lang w:eastAsia="lt-LT"/>
                    </w:rPr>
                    <mc:AlternateContent>
                      <mc:Choice Requires="wpc">
                        <w:drawing>
                          <wp:inline distT="0" distB="0" distL="0" distR="0">
                            <wp:extent cx="1600200" cy="316230"/>
                            <wp:effectExtent l="3810" t="0" r="0" b="0"/>
                            <wp:docPr id="130" name="Canvas 18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9" name="Rectangle 93"/>
                                    <wps:cNvSpPr>
                                      <a:spLocks noChangeArrowheads="1"/>
                                    </wps:cNvSpPr>
                                    <wps:spPr bwMode="auto">
                                      <a:xfrm>
                                        <a:off x="1103600" y="17102"/>
                                        <a:ext cx="69200" cy="1752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p>
                                      </w:txbxContent>
                                    </wps:txbx>
                                    <wps:bodyPr rot="0" vert="horz" wrap="none" lIns="0" tIns="0" rIns="0" bIns="0" anchor="t" anchorCtr="0" upright="1">
                                      <a:spAutoFit/>
                                    </wps:bodyPr>
                                  </wps:wsp>
                                  <wps:wsp>
                                    <wps:cNvPr id="120" name="Rectangle 96"/>
                                    <wps:cNvSpPr>
                                      <a:spLocks noChangeArrowheads="1"/>
                                    </wps:cNvSpPr>
                                    <wps:spPr bwMode="auto">
                                      <a:xfrm>
                                        <a:off x="180300" y="17102"/>
                                        <a:ext cx="6921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p>
                                      </w:txbxContent>
                                    </wps:txbx>
                                    <wps:bodyPr rot="0" vert="horz" wrap="none" lIns="0" tIns="0" rIns="0" bIns="0" anchor="t" anchorCtr="0" upright="1">
                                      <a:spAutoFit/>
                                    </wps:bodyPr>
                                  </wps:wsp>
                                  <wps:wsp>
                                    <wps:cNvPr id="121" name="Rectangle 97"/>
                                    <wps:cNvSpPr>
                                      <a:spLocks noChangeArrowheads="1"/>
                                    </wps:cNvSpPr>
                                    <wps:spPr bwMode="auto">
                                      <a:xfrm>
                                        <a:off x="850300" y="111711"/>
                                        <a:ext cx="11303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vt,t</w:t>
                                          </w:r>
                                        </w:p>
                                      </w:txbxContent>
                                    </wps:txbx>
                                    <wps:bodyPr rot="0" vert="horz" wrap="none" lIns="0" tIns="0" rIns="0" bIns="0" anchor="t" anchorCtr="0" upright="1">
                                      <a:spAutoFit/>
                                    </wps:bodyPr>
                                  </wps:wsp>
                                  <wps:wsp>
                                    <wps:cNvPr id="122" name="Rectangle 98"/>
                                    <wps:cNvSpPr>
                                      <a:spLocks noChangeArrowheads="1"/>
                                    </wps:cNvSpPr>
                                    <wps:spPr bwMode="auto">
                                      <a:xfrm>
                                        <a:off x="473700" y="111711"/>
                                        <a:ext cx="11303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vt,t</w:t>
                                          </w:r>
                                        </w:p>
                                      </w:txbxContent>
                                    </wps:txbx>
                                    <wps:bodyPr rot="0" vert="horz" wrap="none" lIns="0" tIns="0" rIns="0" bIns="0" anchor="t" anchorCtr="0" upright="1">
                                      <a:spAutoFit/>
                                    </wps:bodyPr>
                                  </wps:wsp>
                                  <wps:wsp>
                                    <wps:cNvPr id="123" name="Rectangle 99"/>
                                    <wps:cNvSpPr>
                                      <a:spLocks noChangeArrowheads="1"/>
                                    </wps:cNvSpPr>
                                    <wps:spPr bwMode="auto">
                                      <a:xfrm>
                                        <a:off x="208900" y="111711"/>
                                        <a:ext cx="6921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p>
                                      </w:txbxContent>
                                    </wps:txbx>
                                    <wps:bodyPr rot="0" vert="horz" wrap="none" lIns="0" tIns="0" rIns="0" bIns="0" anchor="t" anchorCtr="0" upright="1">
                                      <a:spAutoFit/>
                                    </wps:bodyPr>
                                  </wps:wsp>
                                  <wps:wsp>
                                    <wps:cNvPr id="124" name="Rectangle 100"/>
                                    <wps:cNvSpPr>
                                      <a:spLocks noChangeArrowheads="1"/>
                                    </wps:cNvSpPr>
                                    <wps:spPr bwMode="auto">
                                      <a:xfrm>
                                        <a:off x="92700" y="111711"/>
                                        <a:ext cx="11303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vt,t</w:t>
                                          </w:r>
                                        </w:p>
                                      </w:txbxContent>
                                    </wps:txbx>
                                    <wps:bodyPr rot="0" vert="horz" wrap="none" lIns="0" tIns="0" rIns="0" bIns="0" anchor="t" anchorCtr="0" upright="1">
                                      <a:spAutoFit/>
                                    </wps:bodyPr>
                                  </wps:wsp>
                                  <wps:wsp>
                                    <wps:cNvPr id="125" name="Rectangle 101"/>
                                    <wps:cNvSpPr>
                                      <a:spLocks noChangeArrowheads="1"/>
                                    </wps:cNvSpPr>
                                    <wps:spPr bwMode="auto">
                                      <a:xfrm>
                                        <a:off x="737900" y="17102"/>
                                        <a:ext cx="1022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K</w:t>
                                          </w:r>
                                        </w:p>
                                      </w:txbxContent>
                                    </wps:txbx>
                                    <wps:bodyPr rot="0" vert="horz" wrap="none" lIns="0" tIns="0" rIns="0" bIns="0" anchor="t" anchorCtr="0" upright="1">
                                      <a:spAutoFit/>
                                    </wps:bodyPr>
                                  </wps:wsp>
                                  <wps:wsp>
                                    <wps:cNvPr id="126" name="Rectangle 102"/>
                                    <wps:cNvSpPr>
                                      <a:spLocks noChangeArrowheads="1"/>
                                    </wps:cNvSpPr>
                                    <wps:spPr bwMode="auto">
                                      <a:xfrm>
                                        <a:off x="395000" y="17102"/>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T</w:t>
                                          </w:r>
                                        </w:p>
                                      </w:txbxContent>
                                    </wps:txbx>
                                    <wps:bodyPr rot="0" vert="horz" wrap="none" lIns="0" tIns="0" rIns="0" bIns="0" anchor="t" anchorCtr="0" upright="1">
                                      <a:spAutoFit/>
                                    </wps:bodyPr>
                                  </wps:wsp>
                                  <wps:wsp>
                                    <wps:cNvPr id="127" name="Rectangle 103"/>
                                    <wps:cNvSpPr>
                                      <a:spLocks noChangeArrowheads="1"/>
                                    </wps:cNvSpPr>
                                    <wps:spPr bwMode="auto">
                                      <a:xfrm>
                                        <a:off x="13300" y="17102"/>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T</w:t>
                                          </w:r>
                                        </w:p>
                                      </w:txbxContent>
                                    </wps:txbx>
                                    <wps:bodyPr rot="0" vert="horz" wrap="none" lIns="0" tIns="0" rIns="0" bIns="0" anchor="t" anchorCtr="0" upright="1">
                                      <a:spAutoFit/>
                                    </wps:bodyPr>
                                  </wps:wsp>
                                  <wps:wsp>
                                    <wps:cNvPr id="128" name="Rectangle 104"/>
                                    <wps:cNvSpPr>
                                      <a:spLocks noChangeArrowheads="1"/>
                                    </wps:cNvSpPr>
                                    <wps:spPr bwMode="auto">
                                      <a:xfrm>
                                        <a:off x="617200" y="0"/>
                                        <a:ext cx="83800" cy="1866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GB"/>
                                            </w:rPr>
                                            <w:t></w:t>
                                          </w:r>
                                        </w:p>
                                      </w:txbxContent>
                                    </wps:txbx>
                                    <wps:bodyPr rot="0" vert="horz" wrap="none" lIns="0" tIns="0" rIns="0" bIns="0" anchor="t" anchorCtr="0" upright="1">
                                      <a:spAutoFit/>
                                    </wps:bodyPr>
                                  </wps:wsp>
                                  <wps:wsp>
                                    <wps:cNvPr id="129" name="Rectangle 105"/>
                                    <wps:cNvSpPr>
                                      <a:spLocks noChangeArrowheads="1"/>
                                    </wps:cNvSpPr>
                                    <wps:spPr bwMode="auto">
                                      <a:xfrm>
                                        <a:off x="280600" y="0"/>
                                        <a:ext cx="83800" cy="1866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GB"/>
                                            </w:rPr>
                                            <w:t></w:t>
                                          </w:r>
                                        </w:p>
                                      </w:txbxContent>
                                    </wps:txbx>
                                    <wps:bodyPr rot="0" vert="horz" wrap="none" lIns="0" tIns="0" rIns="0" bIns="0" anchor="t" anchorCtr="0" upright="1">
                                      <a:spAutoFit/>
                                    </wps:bodyPr>
                                  </wps:wsp>
                                </wpc:wpc>
                              </a:graphicData>
                            </a:graphic>
                          </wp:inline>
                        </w:drawing>
                      </mc:Choice>
                      <mc:Fallback>
                        <w:pict>
                          <v:group id="Canvas 184" o:spid="_x0000_s1104" editas="canvas" style="width:126pt;height:24.9pt;mso-position-horizontal-relative:char;mso-position-vertical-relative:line" coordsize="16002,3162"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zHp58ggQAAIAvAAAOAAAAZHJzL2Uyb0RvYy54bWzsWm2PozYQ/l6p/8HiezY276BlT3vJpqq0 bU+9ux/ggBNQASObDdme+t87Ni9JNumq6nXRSiEfiAEznvGMH49n5vbDvsjRjgmZ8TIyyA02ECtj nmTlNjK+flnNfAPJmpYJzXnJIuOZSePD3Y8/3DZVyEye8jxhAgGRUoZNFRlpXVfhfC7jlBVU3vCK lfByw0VBa7gV23kiaAPUi3xuYuzOGy6SSvCYSQlPl+1L407T32xYXP+22UhWozwygLdaX4W+rtV1 fndLw62gVZrFHRv0P3BR0KyEQQdSS1pT9CSyM1JFFgsu+aa+iXkx55tNFjMtA0hD8AtpFrTcUamF iWF2egah9T/SXW8V3yVfZXkOszEH6qF6pv4b0A+Dh00F2pHVoCf5feN/TmnFtFgyjH/dfRIoS8B4 SGCgkhZgJb+D3mi5zRkKLKUiNT50/Fx9EopZWT3y+A+JSr5IoRu7F4I3KaMJ8EVUfxDi6AN1I+FT tG5+4QmQp08119rab0ShCIIe0F5xgC0Xg5k8Q9sj2GzNg+1rFMNrNwCLM1Cs3zom8fRQNOypVELW PzFeINWIDAFC6FHo7lHWiisa9l1OppyGeXnyADq2T2Bk+FS9Uzxoe/oW4ODBf/DtmW26DzMbL5ez +9XCnrkr4jlLa7lYLMlfalxih2mWJKxUmu1tm9j/TnXdKmutcrBuyfMsUeQUS1Js14tcoB2FtbXS v25CjrrNT9nQkwCyvBCJmDb+aAazlet7M3tlO7PAw/4Mk+Bj4GI7sJerU5Ees5J9v0ioiYzAMR2t pSOmX8iG9e9cNhoWWQ3olWdFZPhDJxoqU3woE1A5DWua5W37aCoU+4epAHX3itaGq2y1tfl6v97r teENy2DNk2cwZcHBwsAYAXqhkXLxp4EagLHIKAFnDZT/XMJiUIjXN0TfWPcNWsbwYWTUBmqbi7pF xqdKZNsU6JJ2Zqp7WDCrTNuwWkwtD90yA1wYCyBMkOcMIFylmJP1/oYA4WPrVXwgzgEfXL27gHIn fJjw4a3xwe5XwVXjA7mAD3qXHgkffOeADwQ8CO2MtJu3ciAIseB9hxDYNC2n21QmhJgQ4q0RQtva Yfe+Ug/CvIAQfo+dIxwxbM/yeg9iQgh9kp/OGCo2MRwfwGE8OYqMd8YYPOmr9iGsCwgRjIgQJvaD VxACghDTIWMKQhzFYcYDiMGVvmqAsM8BgsCCHS8KEZiTC9FFzqcw5SEE+x5ciMGVvmqEgCDgyzAl wToWMFIcAg4Zgw9xnseAxIYKPQyJjClQOSUyRktkDK70VSOEewkhdLpxJISwAgf2i3/KdEIcM+jj lJ5jTgAxAcRYAOEPnvRVA4R3CSCGJPAIgUpivZLpnPDhJEQ3VUKMVwnhD370VeMDlNWdHzGGJPAI +OAST1dDQTFUV0WnSpRUltO3oBamO134rkv0mXAqg5jKpN6+TMofXOirBocLdZQED/nfEcDB9HFf RzmBw5TffB/5TX9wn98nOOjKa6i61oWhXUm6qiM/vtc1l4fC+bu/AQAA//8DAFBLAwQUAAYACAAA ACEA2aTHlNkAAAAEAQAADwAAAGRycy9kb3ducmV2LnhtbEyPzWrDMBCE74W+g9hAb40ckYTUtRxC S0mgpzh9AMXa2ib6MdYmdt++217ay8Iwy8w3xXbyTtxwSF0MGhbzDASGOtouNBo+Tm+PGxCJTLDG xYAavjDBtry/K0xu4xiOeKuoERwSUm40tER9LmWqW/QmzWOPgb3POHhDLIdG2sGMHO6dVFm2lt50 gRta0+NLi/Wlunou2S9fK9r3a3d8P6x2ivxiPCitH2bT7hkE4UR/z/CDz+hQMtM5XoNNwmngIfR7 2VMrxfKsYfm0AVkW8j98+Q0AAP//AwBQSwECLQAUAAYACAAAACEAtoM4kv4AAADhAQAAEwAAAAAA AAAAAAAAAAAAAAAAW0NvbnRlbnRfVHlwZXNdLnhtbFBLAQItABQABgAIAAAAIQA4/SH/1gAAAJQB AAALAAAAAAAAAAAAAAAAAC8BAABfcmVscy8ucmVsc1BLAQItABQABgAIAAAAIQDzHp58ggQAAIAv AAAOAAAAAAAAAAAAAAAAAC4CAABkcnMvZTJvRG9jLnhtbFBLAQItABQABgAIAAAAIQDZpMeU2QAA AAQBAAAPAAAAAAAAAAAAAAAAANwGAABkcnMvZG93bnJldi54bWxQSwUGAAAAAAQABADzAAAA4gcA AAAA ">
                            <v:shape id="_x0000_s1105" type="#_x0000_t75" style="position:absolute;width:16002;height:3162;visibility:visible;mso-wrap-style:square">
                              <v:fill o:detectmouseclick="t"/>
                              <v:path o:connecttype="none"/>
                            </v:shape>
                            <v:rect id="Rectangle 93" o:spid="_x0000_s1106" style="position:absolute;left:11036;top:171;width:69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PiArr8A AADcAAAADwAAAGRycy9kb3ducmV2LnhtbERPzYrCMBC+L/gOYQRva6qHxa1GEUHQxYvVBxia6Q8m k5JEW9/eCMLe5uP7ndVmsEY8yIfWsYLZNANBXDrdcq3getl/L0CEiKzROCYFTwqwWY++Vphr1/OZ HkWsRQrhkKOCJsYulzKUDVkMU9cRJ65y3mJM0NdSe+xTuDVynmU/0mLLqaHBjnYNlbfibhXIS7Hv F4XxmfubVydzPJwrckpNxsN2CSLSEP/FH/dBp/mzX3g/ky6Q6xcAAAD//wMAUEsBAi0AFAAGAAgA AAAhAPD3irv9AAAA4gEAABMAAAAAAAAAAAAAAAAAAAAAAFtDb250ZW50X1R5cGVzXS54bWxQSwEC LQAUAAYACAAAACEAMd1fYdIAAACPAQAACwAAAAAAAAAAAAAAAAAuAQAAX3JlbHMvLnJlbHNQSwEC LQAUAAYACAAAACEAMy8FnkEAAAA5AAAAEAAAAAAAAAAAAAAAAAApAgAAZHJzL3NoYXBleG1sLnht bFBLAQItABQABgAIAAAAIQB8+ICuvwAAANwAAAAPAAAAAAAAAAAAAAAAAJgCAABkcnMvZG93bnJl di54bWxQSwUGAAAAAAQABAD1AAAAhAMAAAAA " filled="f" stroked="f">
                              <v:textbox style="mso-fit-shape-to-text:t" inset="0,0,0,0">
                                <w:txbxContent>
                                  <w:p>
                                    <w:pPr>
                                      <w:rPr>
                                        <w:szCs w:val="24"/>
                                        <w:lang w:val="en-GB"/>
                                      </w:rPr>
                                    </w:pPr>
                                  </w:p>
                                </w:txbxContent>
                              </v:textbox>
                            </v:rect>
                            <v:rect id="Rectangle 96" o:spid="_x0000_s1107" style="position:absolute;left:1803;top:171;width:69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67jjsMA AADcAAAADwAAAGRycy9kb3ducmV2LnhtbESPzWrDMBCE74W+g9hCbo1cH0pwo4RSMLillzh5gMVa /1BpZSQ1dt++ewjktsvMzny7P67eqSvFNAU28LItQBF3wU48GLic6+cdqJSRLbrAZOCPEhwPjw97 rGxY+ETXNg9KQjhVaGDMea60Tt1IHtM2zMSi9SF6zLLGQduIi4R7p8uieNUeJ5aGEWf6GKn7aX+9 AX1u62XXuliEr7L/dp/NqadgzOZpfX8DlWnNd/PturGCXwq+PCMT6MM/AAAA//8DAFBLAQItABQA BgAIAAAAIQDw94q7/QAAAOIBAAATAAAAAAAAAAAAAAAAAAAAAABbQ29udGVudF9UeXBlc10ueG1s UEsBAi0AFAAGAAgAAAAhADHdX2HSAAAAjwEAAAsAAAAAAAAAAAAAAAAALgEAAF9yZWxzLy5yZWxz UEsBAi0AFAAGAAgAAAAhADMvBZ5BAAAAOQAAABAAAAAAAAAAAAAAAAAAKQIAAGRycy9zaGFwZXht bC54bWxQSwECLQAUAAYACAAAACEAI67jjsMAAADcAAAADwAAAAAAAAAAAAAAAACYAgAAZHJzL2Rv d25yZXYueG1sUEsFBgAAAAAEAAQA9QAAAIgDAAAAAA== " filled="f" stroked="f">
                              <v:textbox style="mso-fit-shape-to-text:t" inset="0,0,0,0">
                                <w:txbxContent>
                                  <w:p>
                                    <w:pPr>
                                      <w:rPr>
                                        <w:szCs w:val="24"/>
                                        <w:lang w:val="en-GB"/>
                                      </w:rPr>
                                    </w:pPr>
                                  </w:p>
                                </w:txbxContent>
                              </v:textbox>
                            </v:rect>
                            <v:rect id="Rectangle 97" o:spid="_x0000_s1108" style="position:absolute;left:8503;top:1117;width:113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OJGFb4A AADcAAAADwAAAGRycy9kb3ducmV2LnhtbERPzYrCMBC+C75DGGFvmtrDItUoIggqXqz7AEMz/cFk UpJo69ubhYW9zcf3O5vdaI14kQ+dYwXLRQaCuHK640bBz/04X4EIEVmjcUwK3hRgt51ONlhoN/CN XmVsRArhUKCCNsa+kDJULVkMC9cTJ6523mJM0DdSexxSuDUyz7JvabHj1NBiT4eWqkf5tArkvTwO q9L4zF3y+mrOp1tNTqmv2bhfg4g0xn/xn/uk0/x8Cb/PpAvk9gMAAP//AwBQSwECLQAUAAYACAAA ACEA8PeKu/0AAADiAQAAEwAAAAAAAAAAAAAAAAAAAAAAW0NvbnRlbnRfVHlwZXNdLnhtbFBLAQIt ABQABgAIAAAAIQAx3V9h0gAAAI8BAAALAAAAAAAAAAAAAAAAAC4BAABfcmVscy8ucmVsc1BLAQIt ABQABgAIAAAAIQAzLwWeQQAAADkAAAAQAAAAAAAAAAAAAAAAACkCAABkcnMvc2hhcGV4bWwueG1s UEsBAi0AFAAGAAgAAAAhAEziRhW+AAAA3AAAAA8AAAAAAAAAAAAAAAAAmAIAAGRycy9kb3ducmV2 LnhtbFBLBQYAAAAABAAEAPUAAACDAwAAAAA= " filled="f" stroked="f">
                              <v:textbox style="mso-fit-shape-to-text:t" inset="0,0,0,0">
                                <w:txbxContent>
                                  <w:p>
                                    <w:pPr>
                                      <w:rPr>
                                        <w:szCs w:val="24"/>
                                        <w:lang w:val="en-GB"/>
                                      </w:rPr>
                                    </w:pPr>
                                    <w:r>
                                      <w:rPr>
                                        <w:i/>
                                        <w:iCs/>
                                        <w:color w:val="000000"/>
                                        <w:sz w:val="14"/>
                                        <w:szCs w:val="14"/>
                                        <w:lang w:val="en-GB"/>
                                      </w:rPr>
                                      <w:t>vt,t</w:t>
                                    </w:r>
                                  </w:p>
                                </w:txbxContent>
                              </v:textbox>
                            </v:rect>
                            <v:rect id="Rectangle 98" o:spid="_x0000_s1109" style="position:absolute;left:4737;top:1117;width:113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DDYYr8A AADcAAAADwAAAGRycy9kb3ducmV2LnhtbERPzYrCMBC+C75DGGFvNt0eFqlGkQXBXbxYfYChmf5g MilJ1nbf3giCt/n4fmezm6wRd/Khd6zgM8tBENdO99wquF4OyxWIEJE1Gsek4J8C7Lbz2QZL7UY+ 072KrUghHEpU0MU4lFKGuiOLIXMDceIa5y3GBH0rtccxhVsjizz/khZ7Tg0dDvTdUX2r/qwCeakO 46oyPne/RXMyP8dzQ06pj8W0X4OINMW3+OU+6jS/KOD5TLpAbh8AAAD//wMAUEsBAi0AFAAGAAgA AAAhAPD3irv9AAAA4gEAABMAAAAAAAAAAAAAAAAAAAAAAFtDb250ZW50X1R5cGVzXS54bWxQSwEC LQAUAAYACAAAACEAMd1fYdIAAACPAQAACwAAAAAAAAAAAAAAAAAuAQAAX3JlbHMvLnJlbHNQSwEC LQAUAAYACAAAACEAMy8FnkEAAAA5AAAAEAAAAAAAAAAAAAAAAAApAgAAZHJzL3NoYXBleG1sLnht bFBLAQItABQABgAIAAAAIQC8MNhi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GB"/>
                                      </w:rPr>
                                      <w:t>vt,t</w:t>
                                    </w:r>
                                  </w:p>
                                </w:txbxContent>
                              </v:textbox>
                            </v:rect>
                            <v:rect id="Rectangle 99" o:spid="_x0000_s1110" style="position:absolute;left:2089;top:1117;width:69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03x9+b8A AADcAAAADwAAAGRycy9kb3ducmV2LnhtbERP24rCMBB9F/yHMMK+aWqFRbpGEUFQ2RfrfsDQTC+Y TEoSbf17s7Cwb3M419nsRmvEk3zoHCtYLjIQxJXTHTcKfm7H+RpEiMgajWNS8KIAu+10ssFCu4Gv 9CxjI1IIhwIVtDH2hZShasliWLieOHG18xZjgr6R2uOQwq2ReZZ9Sosdp4YWezq0VN3Lh1Ugb+Vx WJfGZ+6S19/mfLrW5JT6mI37LxCRxvgv/nOfdJqfr+D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DTfH35vwAAANwAAAAPAAAAAAAAAAAAAAAAAJgCAABkcnMvZG93bnJl di54bWxQSwUGAAAAAAQABAD1AAAAhAMAAAAA " filled="f" stroked="f">
                              <v:textbox style="mso-fit-shape-to-text:t" inset="0,0,0,0">
                                <w:txbxContent>
                                  <w:p>
                                    <w:pPr>
                                      <w:rPr>
                                        <w:szCs w:val="24"/>
                                        <w:lang w:val="en-GB"/>
                                      </w:rPr>
                                    </w:pPr>
                                  </w:p>
                                </w:txbxContent>
                              </v:textbox>
                            </v:rect>
                            <v:rect id="Rectangle 100" o:spid="_x0000_s1111" style="position:absolute;left:927;top:1117;width:113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JXljb8A AADcAAAADwAAAGRycy9kb3ducmV2LnhtbERP24rCMBB9F/yHMMK+aWqRRbpGEUFQ2RfrfsDQTC+Y TEoSbf17s7Cwb3M419nsRmvEk3zoHCtYLjIQxJXTHTcKfm7H+RpEiMgajWNS8KIAu+10ssFCu4Gv 9CxjI1IIhwIVtDH2hZShasliWLieOHG18xZjgr6R2uOQwq2ReZZ9Sosdp4YWezq0VN3Lh1Ugb+Vx WJfGZ+6S19/mfLrW5JT6mI37LxCRxvgv/nOfdJqfr+D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BcleWN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GB"/>
                                      </w:rPr>
                                      <w:t>vt,t</w:t>
                                    </w:r>
                                  </w:p>
                                </w:txbxContent>
                              </v:textbox>
                            </v:rect>
                            <v:rect id="Rectangle 101" o:spid="_x0000_s1112" style="position:absolute;left:7379;top:171;width:102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9lAFr8A AADcAAAADwAAAGRycy9kb3ducmV2LnhtbERP24rCMBB9F/yHMMK+aWrBRbpGEUFQ2RfrfsDQTC+Y TEoSbf17s7Cwb3M419nsRmvEk3zoHCtYLjIQxJXTHTcKfm7H+RpEiMgajWNS8KIAu+10ssFCu4Gv 9CxjI1IIhwIVtDH2hZShasliWLieOHG18xZjgr6R2uOQwq2ReZZ9Sosdp4YWezq0VN3Lh1Ugb+Vx WJfGZ+6S19/mfLrW5JT6mI37LxCRxvgv/nOfdJqfr+D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Az2UAWvwAAANwAAAAPAAAAAAAAAAAAAAAAAJgCAABkcnMvZG93bnJl di54bWxQSwUGAAAAAAQABAD1AAAAhAMAAAAA " filled="f" stroked="f">
                              <v:textbox style="mso-fit-shape-to-text:t" inset="0,0,0,0">
                                <w:txbxContent>
                                  <w:p>
                                    <w:pPr>
                                      <w:rPr>
                                        <w:szCs w:val="24"/>
                                        <w:lang w:val="en-GB"/>
                                      </w:rPr>
                                    </w:pPr>
                                    <w:r>
                                      <w:rPr>
                                        <w:i/>
                                        <w:iCs/>
                                        <w:color w:val="000000"/>
                                        <w:szCs w:val="24"/>
                                        <w:lang w:val="en-GB"/>
                                      </w:rPr>
                                      <w:t>K</w:t>
                                    </w:r>
                                  </w:p>
                                </w:txbxContent>
                              </v:textbox>
                            </v:rect>
                            <v:rect id="Rectangle 102" o:spid="_x0000_s1113" style="position:absolute;left:3950;top:171;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wwveYb4A AADcAAAADwAAAGRycy9kb3ducmV2LnhtbERPzYrCMBC+C75DGGFvmtqDSDWKCIIre7HuAwzN9AeT SUmi7b69EYS9zcf3O9v9aI14kg+dYwXLRQaCuHK640bB7+00X4MIEVmjcUwK/ijAfjedbLHQbuAr PcvYiBTCoUAFbYx9IWWoWrIYFq4nTlztvMWYoG+k9jikcGtknmUrabHj1NBiT8eWqnv5sArkrTwN 69L4zF3y+sd8n681OaW+ZuNhAyLSGP/FH/dZp/n5Ct7PpAvk7gUAAP//AwBQSwECLQAUAAYACAAA ACEA8PeKu/0AAADiAQAAEwAAAAAAAAAAAAAAAAAAAAAAW0NvbnRlbnRfVHlwZXNdLnhtbFBLAQIt ABQABgAIAAAAIQAx3V9h0gAAAI8BAAALAAAAAAAAAAAAAAAAAC4BAABfcmVscy8ucmVsc1BLAQIt ABQABgAIAAAAIQAzLwWeQQAAADkAAAAQAAAAAAAAAAAAAAAAACkCAABkcnMvc2hhcGV4bWwueG1s UEsBAi0AFAAGAAgAAAAhAMML3mG+AAAA3AAAAA8AAAAAAAAAAAAAAAAAmAIAAGRycy9kb3ducmV2 LnhtbFBLBQYAAAAABAAEAPUAAACDAwAAAAA= " filled="f" stroked="f">
                              <v:textbox style="mso-fit-shape-to-text:t" inset="0,0,0,0">
                                <w:txbxContent>
                                  <w:p>
                                    <w:pPr>
                                      <w:rPr>
                                        <w:szCs w:val="24"/>
                                        <w:lang w:val="en-GB"/>
                                      </w:rPr>
                                    </w:pPr>
                                    <w:r>
                                      <w:rPr>
                                        <w:i/>
                                        <w:iCs/>
                                        <w:color w:val="000000"/>
                                        <w:szCs w:val="24"/>
                                        <w:lang w:val="en-GB"/>
                                      </w:rPr>
                                      <w:t>T</w:t>
                                    </w:r>
                                  </w:p>
                                </w:txbxContent>
                              </v:textbox>
                            </v:rect>
                            <v:rect id="Rectangle 103" o:spid="_x0000_s1114" style="position:absolute;left:133;top:171;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Ed7+r8A AADcAAAADwAAAGRycy9kb3ducmV2LnhtbERPzYrCMBC+C75DGGFvmtqDK12jiCCo7MW6DzA00x9M JiWJtr69WVjY23x8v7PZjdaIJ/nQOVawXGQgiCunO24U/NyO8zWIEJE1Gsek4EUBdtvpZIOFdgNf 6VnGRqQQDgUqaGPsCylD1ZLFsHA9ceJq5y3GBH0jtcchhVsj8yxbSYsdp4YWezq0VN3Lh1Ugb+Vx WJfGZ+6S19/mfLrW5JT6mI37LxCRxvgv/nOfdJqff8LvM+kCuX0DAAD//wMAUEsBAi0AFAAGAAgA AAAhAPD3irv9AAAA4gEAABMAAAAAAAAAAAAAAAAAAAAAAFtDb250ZW50X1R5cGVzXS54bWxQSwEC LQAUAAYACAAAACEAMd1fYdIAAACPAQAACwAAAAAAAAAAAAAAAAAuAQAAX3JlbHMvLnJlbHNQSwEC LQAUAAYACAAAACEAMy8FnkEAAAA5AAAAEAAAAAAAAAAAAAAAAAApAgAAZHJzL3NoYXBleG1sLnht bFBLAQItABQABgAIAAAAIQCsR3v6vwAAANwAAAAPAAAAAAAAAAAAAAAAAJgCAABkcnMvZG93bnJl di54bWxQSwUGAAAAAAQABAD1AAAAhAMAAAAA " filled="f" stroked="f">
                              <v:textbox style="mso-fit-shape-to-text:t" inset="0,0,0,0">
                                <w:txbxContent>
                                  <w:p>
                                    <w:pPr>
                                      <w:rPr>
                                        <w:szCs w:val="24"/>
                                        <w:lang w:val="en-GB"/>
                                      </w:rPr>
                                    </w:pPr>
                                    <w:r>
                                      <w:rPr>
                                        <w:i/>
                                        <w:iCs/>
                                        <w:color w:val="000000"/>
                                        <w:szCs w:val="24"/>
                                        <w:lang w:val="en-GB"/>
                                      </w:rPr>
                                      <w:t>T</w:t>
                                    </w:r>
                                  </w:p>
                                </w:txbxContent>
                              </v:textbox>
                            </v:rect>
                            <v:rect id="Rectangle 104" o:spid="_x0000_s1115" style="position:absolute;left:6172;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3djviMMA AADcAAAADwAAAGRycy9kb3ducmV2LnhtbESPzWrDMBCE74W+g9hCbo1cH0pwo4RSMLillzh5gMVa /1BpZSQ1dt++ewjktsvMzny7P67eqSvFNAU28LItQBF3wU48GLic6+cdqJSRLbrAZOCPEhwPjw97 rGxY+ETXNg9KQjhVaGDMea60Tt1IHtM2zMSi9SF6zLLGQduIi4R7p8uieNUeJ5aGEWf6GKn7aX+9 AX1u62XXuliEr7L/dp/NqadgzOZpfX8DlWnNd/PturGCXwqtPCMT6MM/AAAA//8DAFBLAQItABQA BgAIAAAAIQDw94q7/QAAAOIBAAATAAAAAAAAAAAAAAAAAAAAAABbQ29udGVudF9UeXBlc10ueG1s UEsBAi0AFAAGAAgAAAAhADHdX2HSAAAAjwEAAAsAAAAAAAAAAAAAAAAALgEAAF9yZWxzLy5yZWxz UEsBAi0AFAAGAAgAAAAhADMvBZ5BAAAAOQAAABAAAAAAAAAAAAAAAAAAKQIAAGRycy9zaGFwZXht bC54bWxQSwECLQAUAAYACAAAACEA3djviMMAAADcAAAADwAAAAAAAAAAAAAAAACYAgAAZHJzL2Rv d25yZXYueG1sUEsFBgAAAAAEAAQA9QAAAIgDAAAAAA== " filled="f" stroked="f">
                              <v:textbox style="mso-fit-shape-to-text:t" inset="0,0,0,0">
                                <w:txbxContent>
                                  <w:p>
                                    <w:pPr>
                                      <w:rPr>
                                        <w:szCs w:val="24"/>
                                        <w:lang w:val="en-GB"/>
                                      </w:rPr>
                                    </w:pPr>
                                    <w:r>
                                      <w:rPr>
                                        <w:rFonts w:ascii="Symbol" w:hAnsi="Symbol" w:cs="Symbol"/>
                                        <w:color w:val="000000"/>
                                        <w:szCs w:val="24"/>
                                        <w:lang w:val="en-GB"/>
                                      </w:rPr>
                                      <w:t></w:t>
                                    </w:r>
                                  </w:p>
                                </w:txbxContent>
                              </v:textbox>
                            </v:rect>
                            <v:rect id="Rectangle 105" o:spid="_x0000_s1116" style="position:absolute;left:2806;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spRKE78A AADcAAAADwAAAGRycy9kb3ducmV2LnhtbERPzYrCMBC+C/sOYRa8aWoPi1uNIoKgixerDzA00x9M JiWJtvv2G0HY23x8v7PejtaIJ/nQOVawmGcgiCunO24U3K6H2RJEiMgajWNS8EsBtpuPyRoL7Qa+ 0LOMjUghHApU0MbYF1KGqiWLYe564sTVzluMCfpGao9DCrdG5ln2JS12nBpa7GnfUnUvH1aBvJaH YVkan7mfvD6b0/FSk1Nq+jnuViAijfFf/HYfdZqff8PrmXSB3PwBAAD//wMAUEsBAi0AFAAGAAgA AAAhAPD3irv9AAAA4gEAABMAAAAAAAAAAAAAAAAAAAAAAFtDb250ZW50X1R5cGVzXS54bWxQSwEC LQAUAAYACAAAACEAMd1fYdIAAACPAQAACwAAAAAAAAAAAAAAAAAuAQAAX3JlbHMvLnJlbHNQSwEC LQAUAAYACAAAACEAMy8FnkEAAAA5AAAAEAAAAAAAAAAAAAAAAAApAgAAZHJzL3NoYXBleG1sLnht bFBLAQItABQABgAIAAAAIQCylEoTvwAAANwAAAAPAAAAAAAAAAAAAAAAAJgCAABkcnMvZG93bnJl di54bWxQSwUGAAAAAAQABAD1AAAAhAMAAAAA " filled="f" stroked="f">
                              <v:textbox style="mso-fit-shape-to-text:t" inset="0,0,0,0">
                                <w:txbxContent>
                                  <w:p>
                                    <w:pPr>
                                      <w:rPr>
                                        <w:szCs w:val="24"/>
                                        <w:lang w:val="en-GB"/>
                                      </w:rPr>
                                    </w:pPr>
                                    <w:r>
                                      <w:rPr>
                                        <w:rFonts w:ascii="Symbol" w:hAnsi="Symbol" w:cs="Symbol"/>
                                        <w:color w:val="000000"/>
                                        <w:szCs w:val="24"/>
                                        <w:lang w:val="en-GB"/>
                                      </w:rPr>
                                      <w:t></w:t>
                                    </w:r>
                                  </w:p>
                                </w:txbxContent>
                              </v:textbox>
                            </v:rect>
                            <w10:anchorlock/>
                          </v:group>
                        </w:pict>
                      </mc:Fallback>
                    </mc:AlternateContent>
                  </w:r>
                  <w:r>
                    <w:rPr>
                      <w:szCs w:val="24"/>
                    </w:rPr>
                    <w:tab/>
                    <w:t>(59)</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vt,t</w:t>
                  </w:r>
                  <w:r>
                    <w:rPr>
                      <w:szCs w:val="24"/>
                    </w:rPr>
                    <w:t xml:space="preserve"> – elektros energijos visuomeninio tiekimo paslaugos kainos viršutinė riba </w:t>
                  </w:r>
                  <w:r>
                    <w:rPr>
                      <w:i/>
                      <w:szCs w:val="24"/>
                    </w:rPr>
                    <w:t xml:space="preserve">t </w:t>
                  </w:r>
                  <w:r>
                    <w:rPr>
                      <w:szCs w:val="24"/>
                    </w:rPr>
                    <w:t>metais, EUR/kWh;</w:t>
                  </w:r>
                </w:p>
                <w:p>
                  <w:pPr>
                    <w:tabs>
                      <w:tab w:val="left" w:pos="1134"/>
                      <w:tab w:val="left" w:pos="1843"/>
                      <w:tab w:val="left" w:pos="2268"/>
                    </w:tabs>
                    <w:jc w:val="both"/>
                    <w:rPr>
                      <w:szCs w:val="24"/>
                    </w:rPr>
                  </w:pPr>
                  <w:r>
                    <w:rPr>
                      <w:szCs w:val="24"/>
                    </w:rPr>
                    <w:t>T</w:t>
                  </w:r>
                  <w:r>
                    <w:rPr>
                      <w:szCs w:val="24"/>
                      <w:vertAlign w:val="subscript"/>
                    </w:rPr>
                    <w:t>vt,t</w:t>
                  </w:r>
                  <w:r>
                    <w:rPr>
                      <w:szCs w:val="24"/>
                    </w:rPr>
                    <w:t xml:space="preserve"> – indeksuota elektros energijos visuomeninio tiekimo paslaugos kainos viršutinė riba </w:t>
                  </w:r>
                  <w:r>
                    <w:rPr>
                      <w:i/>
                      <w:szCs w:val="24"/>
                    </w:rPr>
                    <w:t xml:space="preserve">t </w:t>
                  </w:r>
                  <w:r>
                    <w:rPr>
                      <w:szCs w:val="24"/>
                    </w:rPr>
                    <w:t>metais, EUR/kWh;</w:t>
                  </w:r>
                </w:p>
                <w:p>
                  <w:pPr>
                    <w:tabs>
                      <w:tab w:val="left" w:pos="1134"/>
                      <w:tab w:val="left" w:pos="1843"/>
                      <w:tab w:val="left" w:pos="2268"/>
                    </w:tabs>
                    <w:jc w:val="both"/>
                    <w:rPr>
                      <w:szCs w:val="24"/>
                    </w:rPr>
                  </w:pPr>
                  <w:r>
                    <w:rPr>
                      <w:szCs w:val="24"/>
                    </w:rPr>
                    <w:t>K</w:t>
                  </w:r>
                  <w:r>
                    <w:rPr>
                      <w:szCs w:val="24"/>
                      <w:vertAlign w:val="subscript"/>
                    </w:rPr>
                    <w:t>vt,t</w:t>
                  </w:r>
                  <w:r>
                    <w:rPr>
                      <w:szCs w:val="24"/>
                    </w:rPr>
                    <w:t xml:space="preserve"> – korekcijos koeficientas visuomeninio tiekimo paslaugos kainos viršutinei ribai </w:t>
                  </w:r>
                  <w:r>
                    <w:rPr>
                      <w:i/>
                      <w:szCs w:val="24"/>
                    </w:rPr>
                    <w:t xml:space="preserve">t </w:t>
                  </w:r>
                  <w:r>
                    <w:rPr>
                      <w:szCs w:val="24"/>
                    </w:rPr>
                    <w:t>metais, EUR/kWh.</w:t>
                  </w:r>
                </w:p>
              </w:sdtContent>
            </w:sdt>
            <w:sdt>
              <w:sdtPr>
                <w:alias w:val="100 p."/>
                <w:tag w:val="part_0a27e966f9624ae1bd19c53fe01df09e"/>
                <w:lock w:val="sdtLocked"/>
                <w:richText/>
              </w:sdtPr>
              <w:sdtContent>
                <w:p>
                  <w:pPr>
                    <w:tabs>
                      <w:tab w:val="left" w:pos="1260"/>
                      <w:tab w:val="left" w:pos="1843"/>
                      <w:tab w:val="left" w:pos="2268"/>
                    </w:tabs>
                    <w:ind w:firstLine="720"/>
                    <w:jc w:val="both"/>
                    <w:rPr>
                      <w:szCs w:val="24"/>
                    </w:rPr>
                  </w:pPr>
                  <w:sdt>
                    <w:sdtPr>
                      <w:alias w:val="Numeris"/>
                      <w:tag w:val="nr_0a27e966f9624ae1bd19c53fe01df09e"/>
                      <w:lock w:val="sdtLocked"/>
                      <w:richText/>
                    </w:sdtPr>
                    <w:sdtContent>
                      <w:r>
                        <w:rPr>
                          <w:szCs w:val="24"/>
                        </w:rPr>
                        <w:t>100</w:t>
                      </w:r>
                    </w:sdtContent>
                  </w:sdt>
                  <w:r>
                    <w:rPr>
                      <w:szCs w:val="24"/>
                    </w:rPr>
                    <w:t xml:space="preserve">. Elektros energijos visuomeninio tiekimo paslaugos kainos viršutinė riba, koreguota nenumatytų pasikeitimų, infliacijos ir efektyvumo koeficientais, </w:t>
                  </w:r>
                  <w:r>
                    <w:rPr>
                      <w:i/>
                      <w:szCs w:val="24"/>
                    </w:rPr>
                    <w:t xml:space="preserve">t </w:t>
                  </w:r>
                  <w:r>
                    <w:rPr>
                      <w:szCs w:val="24"/>
                    </w:rPr>
                    <w:t>metais apskaičiuojama pagal formulę:</w:t>
                  </w:r>
                </w:p>
                <w:p>
                  <w:pPr>
                    <w:tabs>
                      <w:tab w:val="left" w:pos="1134"/>
                      <w:tab w:val="left" w:pos="1843"/>
                      <w:tab w:val="left" w:pos="2268"/>
                    </w:tabs>
                    <w:jc w:val="both"/>
                    <w:rPr>
                      <w:szCs w:val="24"/>
                    </w:rPr>
                  </w:pPr>
                </w:p>
                <w:p>
                  <w:pPr>
                    <w:tabs>
                      <w:tab w:val="left" w:pos="9214"/>
                    </w:tabs>
                    <w:ind w:firstLine="9214"/>
                    <w:jc w:val="both"/>
                    <w:rPr>
                      <w:szCs w:val="24"/>
                    </w:rPr>
                  </w:pPr>
                  <w:r>
                    <w:rPr>
                      <w:szCs w:val="24"/>
                    </w:rPr>
                    <w:t xml:space="preserve"> </w:t>
                  </w: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P</m:t>
                            </m:r>
                          </m:e>
                          <m:sub>
                            <m:r>
                              <w:rPr>
                                <w:rFonts w:ascii="Cambria Math" w:hAnsi="Cambria Math"/>
                                <w:szCs w:val="24"/>
                              </w:rPr>
                              <m:t>vtp</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NK</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IK</m:t>
                            </m:r>
                          </m:e>
                          <m:sub>
                            <m:r>
                              <w:rPr>
                                <w:rFonts w:ascii="Cambria Math" w:hAnsi="Cambria Math"/>
                                <w:szCs w:val="24"/>
                              </w:rPr>
                              <m:t>vt</m:t>
                            </m:r>
                            <m:r>
                              <w:rPr>
                                <w:rFonts w:ascii="Cambria Math" w:hAnsi="Cambria Math"/>
                                <w:szCs w:val="24"/>
                              </w:rPr>
                              <m:t>,</m:t>
                            </m:r>
                            <m:r>
                              <w:rPr>
                                <w:rFonts w:ascii="Cambria Math" w:hAnsi="Cambria Math"/>
                                <w:szCs w:val="24"/>
                              </w:rPr>
                              <m:t>t</m:t>
                            </m:r>
                          </m:sub>
                        </m:sSub>
                      </m:num>
                      <m:den>
                        <m:sSub>
                          <m:sSubPr>
                            <m:ctrlPr>
                              <w:rPr>
                                <w:rFonts w:ascii="Cambria Math" w:hAnsi="Cambria Math"/>
                                <w:i/>
                                <w:szCs w:val="24"/>
                                <w:lang w:val="en-US"/>
                              </w:rPr>
                            </m:ctrlPr>
                          </m:sSubPr>
                          <m:e>
                            <m:r>
                              <w:rPr>
                                <w:rFonts w:ascii="Cambria Math" w:hAnsi="Cambria Math"/>
                                <w:szCs w:val="24"/>
                              </w:rPr>
                              <m:t>E</m:t>
                            </m:r>
                          </m:e>
                          <m:sub>
                            <m:r>
                              <w:rPr>
                                <w:rFonts w:ascii="Cambria Math" w:hAnsi="Cambria Math"/>
                                <w:szCs w:val="24"/>
                              </w:rPr>
                              <m:t>vt</m:t>
                            </m:r>
                            <m:r>
                              <w:rPr>
                                <w:rFonts w:ascii="Cambria Math" w:hAnsi="Cambria Math"/>
                                <w:szCs w:val="24"/>
                              </w:rPr>
                              <m:t>,</m:t>
                            </m:r>
                            <m:r>
                              <w:rPr>
                                <w:rFonts w:ascii="Cambria Math" w:hAnsi="Cambria Math"/>
                                <w:szCs w:val="24"/>
                              </w:rPr>
                              <m:t>t</m:t>
                            </m:r>
                          </m:sub>
                        </m:sSub>
                      </m:den>
                    </m:f>
                  </m:oMath>
                  <w:r>
                    <w:rPr>
                      <w:szCs w:val="24"/>
                      <w:lang w:val="en-US"/>
                    </w:rPr>
                    <w:tab/>
                  </w:r>
                  <w:r>
                    <w:rPr>
                      <w:szCs w:val="24"/>
                    </w:rPr>
                    <w:t>(60)</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vt,t</w:t>
                  </w:r>
                  <w:r>
                    <w:rPr>
                      <w:szCs w:val="24"/>
                    </w:rPr>
                    <w:t xml:space="preserve"> – indeksuota visuomeninio tiekimo paslaugos kainos viršutinė riba, euro ct/kWh;</w:t>
                  </w:r>
                </w:p>
                <w:p>
                  <w:pPr>
                    <w:tabs>
                      <w:tab w:val="left" w:pos="1134"/>
                      <w:tab w:val="left" w:pos="1843"/>
                      <w:tab w:val="left" w:pos="2268"/>
                    </w:tabs>
                    <w:jc w:val="both"/>
                    <w:rPr>
                      <w:szCs w:val="24"/>
                    </w:rPr>
                  </w:pPr>
                  <w:r>
                    <w:rPr>
                      <w:szCs w:val="24"/>
                    </w:rPr>
                    <w:t>P</w:t>
                  </w:r>
                  <w:r>
                    <w:rPr>
                      <w:szCs w:val="24"/>
                      <w:vertAlign w:val="subscript"/>
                    </w:rPr>
                    <w:t>vtp</w:t>
                  </w:r>
                  <w:r>
                    <w:rPr>
                      <w:szCs w:val="24"/>
                    </w:rPr>
                    <w:t xml:space="preserve"> – pradinis planuojamų elektros energijos visuomeninio tiekimo paslaugų pajamų lygis, EUR;</w:t>
                  </w:r>
                </w:p>
                <w:p>
                  <w:pPr>
                    <w:tabs>
                      <w:tab w:val="left" w:pos="1134"/>
                      <w:tab w:val="left" w:pos="1843"/>
                      <w:tab w:val="left" w:pos="2268"/>
                    </w:tabs>
                    <w:jc w:val="both"/>
                    <w:rPr>
                      <w:szCs w:val="24"/>
                    </w:rPr>
                  </w:pPr>
                  <w:r>
                    <w:rPr>
                      <w:szCs w:val="24"/>
                    </w:rPr>
                    <w:t>NK</w:t>
                  </w:r>
                  <w:r>
                    <w:rPr>
                      <w:szCs w:val="24"/>
                      <w:vertAlign w:val="subscript"/>
                    </w:rPr>
                    <w:t>vt,t</w:t>
                  </w:r>
                  <w:r>
                    <w:rPr>
                      <w:szCs w:val="24"/>
                    </w:rPr>
                    <w:t xml:space="preserve"> – nenumatytų pasikeitimų koeficientas visuomeninio tiekimo paslaugos kainos viršutinei ribai </w:t>
                  </w:r>
                  <w:r>
                    <w:rPr>
                      <w:i/>
                      <w:szCs w:val="24"/>
                    </w:rPr>
                    <w:t xml:space="preserve">t </w:t>
                  </w:r>
                  <w:r>
                    <w:rPr>
                      <w:szCs w:val="24"/>
                    </w:rPr>
                    <w:t>metais;</w:t>
                  </w:r>
                </w:p>
                <w:p>
                  <w:pPr>
                    <w:tabs>
                      <w:tab w:val="left" w:pos="1134"/>
                      <w:tab w:val="left" w:pos="1843"/>
                      <w:tab w:val="left" w:pos="2268"/>
                    </w:tabs>
                    <w:jc w:val="both"/>
                    <w:rPr>
                      <w:szCs w:val="24"/>
                    </w:rPr>
                  </w:pPr>
                  <w:r>
                    <w:rPr>
                      <w:szCs w:val="24"/>
                    </w:rPr>
                    <w:t>IK</w:t>
                  </w:r>
                  <w:r>
                    <w:rPr>
                      <w:szCs w:val="24"/>
                      <w:vertAlign w:val="subscript"/>
                    </w:rPr>
                    <w:t>vt,t</w:t>
                  </w:r>
                  <w:r>
                    <w:rPr>
                      <w:szCs w:val="24"/>
                    </w:rPr>
                    <w:t xml:space="preserve"> – indeksavimo koeficientas visuomeninio tiekimo paslaugos kainos viršutinei ribai </w:t>
                  </w:r>
                  <w:r>
                    <w:rPr>
                      <w:i/>
                      <w:szCs w:val="24"/>
                    </w:rPr>
                    <w:t xml:space="preserve">t </w:t>
                  </w:r>
                  <w:r>
                    <w:rPr>
                      <w:szCs w:val="24"/>
                    </w:rPr>
                    <w:t>metais;</w:t>
                  </w:r>
                </w:p>
                <w:p>
                  <w:pPr>
                    <w:tabs>
                      <w:tab w:val="left" w:pos="1134"/>
                      <w:tab w:val="left" w:pos="1843"/>
                      <w:tab w:val="left" w:pos="2268"/>
                    </w:tabs>
                    <w:jc w:val="both"/>
                    <w:rPr>
                      <w:szCs w:val="24"/>
                    </w:rPr>
                  </w:pPr>
                  <w:r>
                    <w:rPr>
                      <w:szCs w:val="24"/>
                    </w:rPr>
                    <w:t>E</w:t>
                  </w:r>
                  <w:r>
                    <w:rPr>
                      <w:szCs w:val="24"/>
                      <w:vertAlign w:val="subscript"/>
                    </w:rPr>
                    <w:t>vt,t</w:t>
                  </w:r>
                  <w:r>
                    <w:rPr>
                      <w:szCs w:val="24"/>
                    </w:rPr>
                    <w:t xml:space="preserve"> – visuomeninio tiekėjo prognozuojamas parduoti elektros energijos kiekis </w:t>
                  </w:r>
                  <w:r>
                    <w:rPr>
                      <w:i/>
                      <w:szCs w:val="24"/>
                    </w:rPr>
                    <w:t xml:space="preserve">t </w:t>
                  </w:r>
                  <w:r>
                    <w:rPr>
                      <w:szCs w:val="24"/>
                    </w:rPr>
                    <w:t>metais, kWh.</w:t>
                  </w:r>
                </w:p>
              </w:sdtContent>
            </w:sdt>
            <w:sdt>
              <w:sdtPr>
                <w:alias w:val="101 p."/>
                <w:tag w:val="part_7383b381fb604543ab944c7989cec278"/>
                <w:lock w:val="sdtLocked"/>
                <w:richText/>
              </w:sdtPr>
              <w:sdtContent>
                <w:p>
                  <w:pPr>
                    <w:tabs>
                      <w:tab w:val="left" w:pos="1260"/>
                      <w:tab w:val="left" w:pos="1843"/>
                      <w:tab w:val="left" w:pos="2268"/>
                    </w:tabs>
                    <w:ind w:firstLine="720"/>
                    <w:jc w:val="both"/>
                    <w:rPr>
                      <w:szCs w:val="24"/>
                    </w:rPr>
                  </w:pPr>
                  <w:sdt>
                    <w:sdtPr>
                      <w:alias w:val="Numeris"/>
                      <w:tag w:val="nr_7383b381fb604543ab944c7989cec278"/>
                      <w:lock w:val="sdtLocked"/>
                      <w:richText/>
                    </w:sdtPr>
                    <w:sdtContent>
                      <w:r>
                        <w:rPr>
                          <w:szCs w:val="24"/>
                        </w:rPr>
                        <w:t>101</w:t>
                      </w:r>
                    </w:sdtContent>
                  </w:sdt>
                  <w:r>
                    <w:rPr>
                      <w:szCs w:val="24"/>
                    </w:rPr>
                    <w:t>. Pradinis planuojamų elektros energijos visuomeninio tiekimo paslaugų pajamų lygis apskaičiuojamas pagal formulę:</w:t>
                  </w:r>
                </w:p>
                <w:p>
                  <w:pPr>
                    <w:tabs>
                      <w:tab w:val="left" w:pos="1134"/>
                      <w:tab w:val="left" w:pos="1843"/>
                      <w:tab w:val="left" w:pos="2268"/>
                    </w:tabs>
                    <w:jc w:val="both"/>
                    <w:rPr>
                      <w:szCs w:val="24"/>
                    </w:rPr>
                  </w:pPr>
                </w:p>
                <w:p>
                  <w:pPr>
                    <w:tabs>
                      <w:tab w:val="left" w:pos="9214"/>
                    </w:tabs>
                    <w:jc w:val="both"/>
                    <w:rPr>
                      <w:szCs w:val="24"/>
                    </w:rPr>
                  </w:pPr>
                  <w:r>
                    <w:rPr>
                      <w:szCs w:val="24"/>
                      <w:lang w:eastAsia="lt-LT"/>
                    </w:rPr>
                    <w:drawing>
                      <wp:inline distT="0" distB="0" distL="0" distR="0">
                        <wp:extent cx="1266825" cy="457200"/>
                        <wp:effectExtent l="0" t="0" r="0" b="0"/>
                        <wp:docPr id="41" name="Paveikslėlis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66825" cy="457200"/>
                                </a:xfrm>
                                <a:prstGeom prst="rect">
                                  <a:avLst/>
                                </a:prstGeom>
                                <a:noFill/>
                              </pic:spPr>
                            </pic:pic>
                          </a:graphicData>
                        </a:graphic>
                      </wp:inline>
                    </w:drawing>
                  </w:r>
                  <w:r>
                    <w:rPr>
                      <w:szCs w:val="24"/>
                    </w:rPr>
                    <w:tab/>
                    <w:t>(61)</w:t>
                  </w:r>
                </w:p>
                <w:p>
                  <w:pPr>
                    <w:tabs>
                      <w:tab w:val="left" w:pos="9214"/>
                    </w:tabs>
                    <w:jc w:val="both"/>
                    <w:rPr>
                      <w:szCs w:val="24"/>
                    </w:rPr>
                  </w:pPr>
                </w:p>
                <w:p>
                  <w:pPr>
                    <w:widowControl w:val="0"/>
                    <w:tabs>
                      <w:tab w:val="left" w:pos="1134"/>
                      <w:tab w:val="left" w:pos="1843"/>
                      <w:tab w:val="left" w:pos="2268"/>
                    </w:tabs>
                    <w:jc w:val="both"/>
                    <w:rPr>
                      <w:i/>
                      <w:szCs w:val="24"/>
                      <w:lang w:eastAsia="lt-LT"/>
                    </w:rPr>
                  </w:pPr>
                  <w:r>
                    <w:rPr>
                      <w:i/>
                      <w:szCs w:val="24"/>
                      <w:lang w:eastAsia="lt-LT"/>
                    </w:rPr>
                    <w:t>čia:</w:t>
                  </w:r>
                </w:p>
                <w:p>
                  <w:pPr>
                    <w:widowControl w:val="0"/>
                    <w:tabs>
                      <w:tab w:val="left" w:pos="1134"/>
                      <w:tab w:val="left" w:pos="1843"/>
                      <w:tab w:val="left" w:pos="2268"/>
                    </w:tabs>
                    <w:jc w:val="both"/>
                    <w:rPr>
                      <w:szCs w:val="24"/>
                      <w:lang w:eastAsia="lt-LT"/>
                    </w:rPr>
                  </w:pPr>
                  <w:r>
                    <w:rPr>
                      <w:iCs/>
                      <w:szCs w:val="24"/>
                      <w:lang w:eastAsia="lt-LT"/>
                    </w:rPr>
                    <w:t>P</w:t>
                  </w:r>
                  <w:r>
                    <w:rPr>
                      <w:iCs/>
                      <w:szCs w:val="24"/>
                      <w:vertAlign w:val="subscript"/>
                      <w:lang w:eastAsia="lt-LT"/>
                    </w:rPr>
                    <w:t>vtp</w:t>
                  </w:r>
                  <w:r>
                    <w:rPr>
                      <w:iCs/>
                      <w:szCs w:val="24"/>
                      <w:lang w:eastAsia="lt-LT"/>
                    </w:rPr>
                    <w:t xml:space="preserve"> </w:t>
                  </w:r>
                  <w:r>
                    <w:rPr>
                      <w:szCs w:val="24"/>
                      <w:lang w:eastAsia="lt-LT"/>
                    </w:rPr>
                    <w:t>– pradinis planuojamų elektros energijos visuomeninio tiekimo paslaugų pajamų lygis, EUR;</w:t>
                  </w:r>
                </w:p>
                <w:p>
                  <w:pPr>
                    <w:widowControl w:val="0"/>
                    <w:tabs>
                      <w:tab w:val="left" w:pos="1134"/>
                      <w:tab w:val="left" w:pos="1843"/>
                      <w:tab w:val="left" w:pos="2268"/>
                    </w:tabs>
                    <w:jc w:val="both"/>
                    <w:rPr>
                      <w:szCs w:val="24"/>
                      <w:lang w:eastAsia="lt-LT"/>
                    </w:rPr>
                  </w:pPr>
                  <w:r>
                    <w:rPr>
                      <w:iCs/>
                      <w:szCs w:val="24"/>
                      <w:lang w:eastAsia="lt-LT"/>
                    </w:rPr>
                    <w:t>P</w:t>
                  </w:r>
                  <w:r>
                    <w:rPr>
                      <w:iCs/>
                      <w:szCs w:val="24"/>
                      <w:vertAlign w:val="subscript"/>
                      <w:lang w:eastAsia="lt-LT"/>
                    </w:rPr>
                    <w:t>vt,t</w:t>
                  </w:r>
                  <w:r>
                    <w:rPr>
                      <w:iCs/>
                      <w:szCs w:val="24"/>
                      <w:lang w:eastAsia="lt-LT"/>
                    </w:rPr>
                    <w:t xml:space="preserve"> </w:t>
                  </w:r>
                  <w:r>
                    <w:rPr>
                      <w:szCs w:val="24"/>
                      <w:lang w:eastAsia="lt-LT"/>
                    </w:rPr>
                    <w:t xml:space="preserve">– planuojamos elektros energijos visuomeninio tiekimo paslaugų pajamos </w:t>
                  </w:r>
                  <w:r>
                    <w:rPr>
                      <w:i/>
                      <w:szCs w:val="24"/>
                      <w:lang w:eastAsia="lt-LT"/>
                    </w:rPr>
                    <w:t xml:space="preserve">t </w:t>
                  </w:r>
                  <w:r>
                    <w:rPr>
                      <w:szCs w:val="24"/>
                      <w:lang w:eastAsia="lt-LT"/>
                    </w:rPr>
                    <w:t>metais, EUR. Čia infliacija neįvertinama ir minusuojamos prognozuojamos pajamos, gaunamos iš vartotojų pagal atskirus Įmonės nustatytus paslaugų įkainius, susijusius su elektros energijos tiekimu;</w:t>
                  </w:r>
                </w:p>
                <w:p>
                  <w:pPr>
                    <w:widowControl w:val="0"/>
                    <w:tabs>
                      <w:tab w:val="left" w:pos="1134"/>
                      <w:tab w:val="left" w:pos="1843"/>
                      <w:tab w:val="left" w:pos="2268"/>
                    </w:tabs>
                    <w:jc w:val="both"/>
                    <w:rPr>
                      <w:szCs w:val="24"/>
                      <w:lang w:eastAsia="lt-LT"/>
                    </w:rPr>
                  </w:pPr>
                  <w:r>
                    <w:rPr>
                      <w:i/>
                      <w:szCs w:val="24"/>
                      <w:lang w:eastAsia="lt-LT"/>
                    </w:rPr>
                    <w:t>T</w:t>
                  </w:r>
                  <w:r>
                    <w:rPr>
                      <w:szCs w:val="24"/>
                      <w:lang w:eastAsia="lt-LT"/>
                    </w:rPr>
                    <w:t xml:space="preserve"> – viršutinės kainų ribos taikymo trukmė (reguliavimo periodo metų skaičius);</w:t>
                  </w:r>
                </w:p>
                <w:p>
                  <w:pPr>
                    <w:tabs>
                      <w:tab w:val="left" w:pos="1134"/>
                      <w:tab w:val="left" w:pos="1843"/>
                      <w:tab w:val="left" w:pos="2268"/>
                    </w:tabs>
                    <w:jc w:val="both"/>
                    <w:rPr>
                      <w:szCs w:val="24"/>
                    </w:rPr>
                  </w:pPr>
                  <w:r>
                    <w:rPr>
                      <w:i/>
                      <w:iCs/>
                      <w:szCs w:val="24"/>
                    </w:rPr>
                    <w:t>t</w:t>
                  </w:r>
                  <w:r>
                    <w:rPr>
                      <w:szCs w:val="24"/>
                    </w:rPr>
                    <w:t xml:space="preserve"> – metų eilės numeris.</w:t>
                  </w:r>
                </w:p>
              </w:sdtContent>
            </w:sdt>
            <w:sdt>
              <w:sdtPr>
                <w:alias w:val="102 p."/>
                <w:tag w:val="part_d9f378b194cd47d9a578bfe9a71fd48d"/>
                <w:lock w:val="sdtLocked"/>
                <w:richText/>
              </w:sdtPr>
              <w:sdtContent>
                <w:p>
                  <w:pPr>
                    <w:tabs>
                      <w:tab w:val="left" w:pos="1260"/>
                      <w:tab w:val="left" w:pos="1843"/>
                      <w:tab w:val="left" w:pos="2268"/>
                    </w:tabs>
                    <w:suppressAutoHyphens/>
                    <w:ind w:firstLine="720"/>
                    <w:jc w:val="both"/>
                    <w:rPr>
                      <w:szCs w:val="24"/>
                    </w:rPr>
                  </w:pPr>
                  <w:sdt>
                    <w:sdtPr>
                      <w:alias w:val="Numeris"/>
                      <w:tag w:val="nr_d9f378b194cd47d9a578bfe9a71fd48d"/>
                      <w:lock w:val="sdtLocked"/>
                      <w:richText/>
                    </w:sdtPr>
                    <w:sdtContent>
                      <w:r>
                        <w:rPr>
                          <w:szCs w:val="24"/>
                        </w:rPr>
                        <w:t>102</w:t>
                      </w:r>
                    </w:sdtContent>
                  </w:sdt>
                  <w:r>
                    <w:rPr>
                      <w:szCs w:val="24"/>
                    </w:rPr>
                    <w:t xml:space="preserve">. Nenumatytų pasikeitimų koeficientas, kurio koregavimo kriterijai nustatyti Metodikos 33 punkte, įvertinantis valstybės reguliuojamų išorinių veiksnių pokyčių poveikį, </w:t>
                  </w:r>
                  <w:r>
                    <w:rPr>
                      <w:i/>
                      <w:szCs w:val="24"/>
                    </w:rPr>
                    <w:t xml:space="preserve">t </w:t>
                  </w:r>
                  <w:r>
                    <w:rPr>
                      <w:szCs w:val="24"/>
                    </w:rPr>
                    <w:t>metais apskaičiuojamas pagal formulę:</w:t>
                  </w:r>
                </w:p>
                <w:p>
                  <w:pPr>
                    <w:tabs>
                      <w:tab w:val="left" w:pos="1260"/>
                      <w:tab w:val="left" w:pos="1843"/>
                      <w:tab w:val="left" w:pos="2268"/>
                    </w:tabs>
                    <w:suppressAutoHyphens/>
                    <w:jc w:val="both"/>
                    <w:rPr>
                      <w:szCs w:val="24"/>
                    </w:rPr>
                  </w:pPr>
                </w:p>
                <w:p>
                  <w:pPr>
                    <w:tabs>
                      <w:tab w:val="center" w:pos="9360"/>
                    </w:tabs>
                    <w:jc w:val="both"/>
                    <w:rPr>
                      <w:szCs w:val="24"/>
                    </w:rPr>
                  </w:pPr>
                  <m:oMath>
                    <m:sSub>
                      <m:sSubPr>
                        <m:ctrlPr>
                          <w:rPr>
                            <w:rFonts w:ascii="Cambria Math" w:hAnsi="Cambria Math"/>
                            <w:i/>
                          </w:rPr>
                        </m:ctrlPr>
                      </m:sSubPr>
                      <m:e>
                        <m:r>
                          <w:rPr>
                            <w:rFonts w:ascii="Cambria Math" w:hAnsi="Cambria Math"/>
                          </w:rPr>
                          <m:t>NK</m:t>
                        </m:r>
                      </m:e>
                      <m:sub>
                        <m:d>
                          <m:dPr>
                            <m:ctrlPr>
                              <w:rPr>
                                <w:rFonts w:ascii="Cambria Math" w:hAnsi="Cambria Math"/>
                                <w:i/>
                              </w:rPr>
                            </m:ctrlPr>
                          </m:dPr>
                          <m:e>
                            <m:r>
                              <w:rPr>
                                <w:rFonts w:ascii="Cambria Math" w:hAnsi="Cambria Math"/>
                              </w:rPr>
                              <m:t>vt</m:t>
                            </m:r>
                          </m:e>
                        </m:d>
                        <m:r>
                          <w:rPr>
                            <w:rFonts w:ascii="Cambria Math" w:hAnsi="Cambria Math"/>
                          </w:rPr>
                          <m:t>t</m:t>
                        </m:r>
                      </m:sub>
                    </m:sSub>
                    <m:r>
                      <w:rPr>
                        <w:rFonts w:ascii="Cambria Math" w:hAnsi="Cambria Math"/>
                      </w:rPr>
                      <m:t>=1+</m:t>
                    </m:r>
                    <m:nary>
                      <m:naryPr>
                        <m:chr m:val="∑"/>
                        <m:limLoc m:val="undOvr"/>
                        <m:ctrlPr>
                          <w:rPr>
                            <w:rFonts w:ascii="Cambria Math" w:hAnsi="Cambria Math"/>
                            <w:i/>
                          </w:rPr>
                        </m:ctrlPr>
                      </m:naryPr>
                      <m:sub>
                        <m:r>
                          <w:rPr>
                            <w:rFonts w:ascii="Cambria Math" w:hAnsi="Cambria Math"/>
                          </w:rPr>
                          <m:t>m</m:t>
                        </m:r>
                        <m:r>
                          <w:rPr>
                            <w:rFonts w:ascii="Cambria Math" w:hAnsi="Cambria Math"/>
                          </w:rPr>
                          <m:t>=1</m:t>
                        </m:r>
                      </m:sub>
                      <m:sup>
                        <m:r>
                          <w:rPr>
                            <w:rFonts w:ascii="Cambria Math" w:hAnsi="Cambria Math"/>
                          </w:rPr>
                          <m:t>l</m:t>
                        </m:r>
                      </m:sup>
                      <m:e>
                        <m:f>
                          <m:fPr>
                            <m:ctrlPr>
                              <w:rPr>
                                <w:rFonts w:ascii="Cambria Math" w:hAnsi="Cambria Math"/>
                                <w:i/>
                              </w:rPr>
                            </m:ctrlPr>
                          </m:fPr>
                          <m:num>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m:t>
                                    </m:r>
                                    <m:r>
                                      <w:rPr>
                                        <w:rFonts w:ascii="Cambria Math" w:hAnsi="Cambria Math"/>
                                      </w:rPr>
                                      <m:t>vt</m:t>
                                    </m:r>
                                    <m:r>
                                      <w:rPr>
                                        <w:rFonts w:ascii="Cambria Math" w:hAnsi="Cambria Math"/>
                                      </w:rPr>
                                      <m:t>)</m:t>
                                    </m:r>
                                    <m:r>
                                      <w:rPr>
                                        <w:rFonts w:ascii="Cambria Math" w:hAnsi="Cambria Math"/>
                                      </w:rPr>
                                      <m:t>tm</m:t>
                                    </m:r>
                                    <m:r>
                                      <w:rPr>
                                        <w:rFonts w:ascii="Cambria Math" w:hAnsi="Cambria Math"/>
                                      </w:rPr>
                                      <m:t>-</m:t>
                                    </m:r>
                                  </m:sub>
                                </m:sSub>
                                <m:sSub>
                                  <m:sSubPr>
                                    <m:ctrlPr>
                                      <w:rPr>
                                        <w:rFonts w:ascii="Cambria Math" w:hAnsi="Cambria Math"/>
                                        <w:i/>
                                      </w:rPr>
                                    </m:ctrlPr>
                                  </m:sSubPr>
                                  <m:e>
                                    <m:r>
                                      <w:rPr>
                                        <w:rFonts w:ascii="Cambria Math" w:hAnsi="Cambria Math"/>
                                      </w:rPr>
                                      <m:t>S</m:t>
                                    </m:r>
                                  </m:e>
                                  <m:sub>
                                    <m:d>
                                      <m:dPr>
                                        <m:ctrlPr>
                                          <w:rPr>
                                            <w:rFonts w:ascii="Cambria Math" w:hAnsi="Cambria Math"/>
                                            <w:i/>
                                          </w:rPr>
                                        </m:ctrlPr>
                                      </m:dPr>
                                      <m:e>
                                        <m:r>
                                          <w:rPr>
                                            <w:rFonts w:ascii="Cambria Math" w:hAnsi="Cambria Math"/>
                                          </w:rPr>
                                          <m:t>vt</m:t>
                                        </m:r>
                                      </m:e>
                                    </m:d>
                                    <m:r>
                                      <w:rPr>
                                        <w:rFonts w:ascii="Cambria Math" w:hAnsi="Cambria Math"/>
                                      </w:rPr>
                                      <m:t>t</m:t>
                                    </m:r>
                                    <m:r>
                                      <w:rPr>
                                        <w:rFonts w:ascii="Cambria Math" w:hAnsi="Cambria Math"/>
                                      </w:rPr>
                                      <m:t>-</m:t>
                                    </m:r>
                                    <m:r>
                                      <w:rPr>
                                        <w:rFonts w:ascii="Cambria Math" w:hAnsi="Cambria Math"/>
                                      </w:rPr>
                                      <m:t>2</m:t>
                                    </m:r>
                                    <m:r>
                                      <w:rPr>
                                        <w:rFonts w:ascii="Cambria Math" w:hAnsi="Cambria Math"/>
                                      </w:rPr>
                                      <m:t>m</m:t>
                                    </m:r>
                                  </m:sub>
                                </m:sSub>
                                <m:r>
                                  <w:rPr>
                                    <w:rFonts w:ascii="Cambria Math" w:hAnsi="Cambria Math"/>
                                  </w:rPr>
                                  <m:t>)</m:t>
                                </m:r>
                              </m:e>
                              <m:sub/>
                            </m:sSub>
                          </m:num>
                          <m:den>
                            <m:sSub>
                              <m:sSubPr>
                                <m:ctrlPr>
                                  <w:rPr>
                                    <w:rFonts w:ascii="Cambria Math" w:hAnsi="Cambria Math"/>
                                    <w:i/>
                                  </w:rPr>
                                </m:ctrlPr>
                              </m:sSubPr>
                              <m:e>
                                <m:r>
                                  <w:rPr>
                                    <w:rFonts w:ascii="Cambria Math" w:hAnsi="Cambria Math"/>
                                  </w:rPr>
                                  <m:t>P</m:t>
                                </m:r>
                              </m:e>
                              <m:sub>
                                <m:d>
                                  <m:dPr>
                                    <m:ctrlPr>
                                      <w:rPr>
                                        <w:rFonts w:ascii="Cambria Math" w:hAnsi="Cambria Math"/>
                                        <w:i/>
                                      </w:rPr>
                                    </m:ctrlPr>
                                  </m:dPr>
                                  <m:e>
                                    <m:r>
                                      <w:rPr>
                                        <w:rFonts w:ascii="Cambria Math" w:hAnsi="Cambria Math"/>
                                      </w:rPr>
                                      <m:t>vt</m:t>
                                    </m:r>
                                  </m:e>
                                </m:d>
                                <m:r>
                                  <w:rPr>
                                    <w:rFonts w:ascii="Cambria Math" w:hAnsi="Cambria Math"/>
                                  </w:rPr>
                                  <m:t>p</m:t>
                                </m:r>
                              </m:sub>
                            </m:sSub>
                          </m:den>
                        </m:f>
                      </m:e>
                    </m:nary>
                  </m:oMath>
                  <w:r>
                    <w:rPr>
                      <w:szCs w:val="24"/>
                    </w:rPr>
                    <w:tab/>
                    <w:t>(62)</w:t>
                  </w:r>
                </w:p>
                <w:p>
                  <w:pPr>
                    <w:tabs>
                      <w:tab w:val="left" w:pos="1134"/>
                      <w:tab w:val="left" w:pos="1843"/>
                      <w:tab w:val="left" w:pos="2268"/>
                      <w:tab w:val="left" w:pos="7240"/>
                    </w:tabs>
                    <w:suppressAutoHyphens/>
                    <w:jc w:val="both"/>
                    <w:rPr>
                      <w:szCs w:val="24"/>
                    </w:rPr>
                  </w:pPr>
                </w:p>
                <w:p>
                  <w:pPr>
                    <w:tabs>
                      <w:tab w:val="left" w:pos="1134"/>
                      <w:tab w:val="left" w:pos="1843"/>
                      <w:tab w:val="left" w:pos="2268"/>
                      <w:tab w:val="left" w:pos="7240"/>
                    </w:tabs>
                    <w:suppressAutoHyphens/>
                    <w:jc w:val="both"/>
                    <w:rPr>
                      <w:i/>
                      <w:szCs w:val="24"/>
                    </w:rPr>
                  </w:pPr>
                  <w:r>
                    <w:rPr>
                      <w:i/>
                      <w:szCs w:val="24"/>
                    </w:rPr>
                    <w:t>čia:</w:t>
                  </w:r>
                </w:p>
                <w:p>
                  <w:pPr>
                    <w:tabs>
                      <w:tab w:val="left" w:pos="1134"/>
                      <w:tab w:val="left" w:pos="1843"/>
                      <w:tab w:val="left" w:pos="2268"/>
                      <w:tab w:val="left" w:pos="7240"/>
                    </w:tabs>
                    <w:suppressAutoHyphens/>
                    <w:jc w:val="both"/>
                    <w:rPr>
                      <w:szCs w:val="24"/>
                    </w:rPr>
                  </w:pPr>
                  <w:r>
                    <w:rPr>
                      <w:i/>
                      <w:iCs/>
                      <w:szCs w:val="24"/>
                    </w:rPr>
                    <w:t>s</w:t>
                  </w:r>
                  <w:r>
                    <w:rPr>
                      <w:i/>
                      <w:iCs/>
                      <w:szCs w:val="24"/>
                      <w:vertAlign w:val="subscript"/>
                    </w:rPr>
                    <w:t>vt</w:t>
                  </w:r>
                  <w:r>
                    <w:rPr>
                      <w:szCs w:val="24"/>
                      <w:vertAlign w:val="subscript"/>
                    </w:rPr>
                    <w:t>(</w:t>
                  </w:r>
                  <w:r>
                    <w:rPr>
                      <w:i/>
                      <w:iCs/>
                      <w:szCs w:val="24"/>
                      <w:vertAlign w:val="subscript"/>
                    </w:rPr>
                    <w:t>t, t</w:t>
                  </w:r>
                  <w:r>
                    <w:rPr>
                      <w:szCs w:val="24"/>
                      <w:vertAlign w:val="subscript"/>
                    </w:rPr>
                    <w:t>-2)</w:t>
                  </w:r>
                  <w:r>
                    <w:rPr>
                      <w:i/>
                      <w:iCs/>
                      <w:szCs w:val="24"/>
                      <w:vertAlign w:val="subscript"/>
                    </w:rPr>
                    <w:t>m</w:t>
                  </w:r>
                  <w:r>
                    <w:rPr>
                      <w:szCs w:val="24"/>
                    </w:rPr>
                    <w:t xml:space="preserve"> – elektros energijos visuomeninio tiekimo paslaugos kaštų rūšis, kurią lemia nenumatyti pasikeitimai nurodyti Metodikos 33 punkte </w:t>
                  </w:r>
                  <w:r>
                    <w:rPr>
                      <w:i/>
                      <w:szCs w:val="24"/>
                    </w:rPr>
                    <w:t xml:space="preserve">t </w:t>
                  </w:r>
                  <w:r>
                    <w:rPr>
                      <w:szCs w:val="24"/>
                    </w:rPr>
                    <w:t xml:space="preserve">metais arba </w:t>
                  </w:r>
                  <w:r>
                    <w:rPr>
                      <w:i/>
                      <w:szCs w:val="24"/>
                    </w:rPr>
                    <w:t xml:space="preserve">t-2 </w:t>
                  </w:r>
                  <w:r>
                    <w:rPr>
                      <w:szCs w:val="24"/>
                    </w:rPr>
                    <w:t xml:space="preserve">metais, </w:t>
                  </w:r>
                  <w:r>
                    <w:rPr>
                      <w:szCs w:val="24"/>
                      <w:lang w:eastAsia="lt-LT"/>
                    </w:rPr>
                    <w:t>EUR</w:t>
                  </w:r>
                  <w:r>
                    <w:rPr>
                      <w:szCs w:val="24"/>
                    </w:rPr>
                    <w:t xml:space="preserve">. Esant konkrečiam šių kaštų rūšies tęstinumui, </w:t>
                  </w:r>
                  <w:r>
                    <w:rPr>
                      <w:i/>
                      <w:szCs w:val="24"/>
                    </w:rPr>
                    <w:t xml:space="preserve">t </w:t>
                  </w:r>
                  <w:r>
                    <w:rPr>
                      <w:szCs w:val="24"/>
                    </w:rPr>
                    <w:t>metais įvertinti kaštai įskaičiuojami ir kitais metais;</w:t>
                  </w:r>
                </w:p>
                <w:p>
                  <w:pPr>
                    <w:tabs>
                      <w:tab w:val="left" w:pos="1080"/>
                      <w:tab w:val="left" w:pos="1134"/>
                      <w:tab w:val="left" w:pos="1843"/>
                      <w:tab w:val="left" w:pos="2268"/>
                    </w:tabs>
                    <w:jc w:val="both"/>
                    <w:rPr>
                      <w:szCs w:val="24"/>
                    </w:rPr>
                  </w:pPr>
                  <w:r>
                    <w:rPr>
                      <w:szCs w:val="24"/>
                    </w:rPr>
                    <w:t>P</w:t>
                  </w:r>
                  <w:r>
                    <w:rPr>
                      <w:szCs w:val="24"/>
                      <w:vertAlign w:val="subscript"/>
                    </w:rPr>
                    <w:t>(vt)p</w:t>
                  </w:r>
                  <w:r>
                    <w:rPr>
                      <w:szCs w:val="24"/>
                    </w:rPr>
                    <w:t xml:space="preserve"> – pradinis planuojamų visuomeninio tiekimo veiklos pajamų lygis atitinkamai, EUR;</w:t>
                  </w:r>
                </w:p>
                <w:p>
                  <w:pPr>
                    <w:tabs>
                      <w:tab w:val="left" w:pos="1134"/>
                      <w:tab w:val="left" w:pos="1843"/>
                      <w:tab w:val="left" w:pos="2268"/>
                      <w:tab w:val="left" w:pos="7240"/>
                    </w:tabs>
                    <w:suppressAutoHyphens/>
                    <w:jc w:val="both"/>
                    <w:rPr>
                      <w:szCs w:val="24"/>
                    </w:rPr>
                  </w:pPr>
                  <w:r>
                    <w:rPr>
                      <w:i/>
                      <w:iCs/>
                      <w:szCs w:val="24"/>
                    </w:rPr>
                    <w:t xml:space="preserve">l </w:t>
                  </w:r>
                  <w:r>
                    <w:rPr>
                      <w:szCs w:val="24"/>
                    </w:rPr>
                    <w:t>– elektros energijos visuomeninio tiekimo paslaugos kaštų rūšies skaičius;</w:t>
                  </w:r>
                </w:p>
                <w:p>
                  <w:pPr>
                    <w:tabs>
                      <w:tab w:val="left" w:pos="1134"/>
                      <w:tab w:val="left" w:pos="1843"/>
                      <w:tab w:val="left" w:pos="2268"/>
                    </w:tabs>
                    <w:jc w:val="both"/>
                    <w:rPr>
                      <w:szCs w:val="24"/>
                    </w:rPr>
                  </w:pPr>
                  <w:r>
                    <w:rPr>
                      <w:i/>
                      <w:iCs/>
                      <w:szCs w:val="24"/>
                    </w:rPr>
                    <w:t>m</w:t>
                  </w:r>
                  <w:r>
                    <w:rPr>
                      <w:szCs w:val="24"/>
                    </w:rPr>
                    <w:t xml:space="preserve"> – elektros energijos visuomeninio tiekimo paslaugos kaštų rūšies numeris.</w:t>
                  </w:r>
                </w:p>
              </w:sdtContent>
            </w:sdt>
            <w:sdt>
              <w:sdtPr>
                <w:alias w:val="103 p."/>
                <w:tag w:val="part_739a3bc9a9834d4da1e9aec78933c6c1"/>
                <w:lock w:val="sdtLocked"/>
                <w:richText/>
              </w:sdtPr>
              <w:sdtContent>
                <w:p>
                  <w:pPr>
                    <w:tabs>
                      <w:tab w:val="left" w:pos="1260"/>
                      <w:tab w:val="left" w:pos="1843"/>
                      <w:tab w:val="left" w:pos="2268"/>
                    </w:tabs>
                    <w:ind w:firstLine="720"/>
                    <w:jc w:val="both"/>
                    <w:rPr>
                      <w:szCs w:val="24"/>
                    </w:rPr>
                  </w:pPr>
                  <w:sdt>
                    <w:sdtPr>
                      <w:alias w:val="Numeris"/>
                      <w:tag w:val="nr_739a3bc9a9834d4da1e9aec78933c6c1"/>
                      <w:lock w:val="sdtLocked"/>
                      <w:richText/>
                    </w:sdtPr>
                    <w:sdtContent>
                      <w:r>
                        <w:rPr>
                          <w:szCs w:val="24"/>
                        </w:rPr>
                        <w:t>103</w:t>
                      </w:r>
                    </w:sdtContent>
                  </w:sdt>
                  <w:r>
                    <w:rPr>
                      <w:szCs w:val="24"/>
                    </w:rPr>
                    <w:t xml:space="preserve">. Indeksavimo koeficientas, įvertinantis infliaciją ir tiekėjui Komisijos nustatytą efektyvumą, </w:t>
                  </w:r>
                  <w:r>
                    <w:rPr>
                      <w:i/>
                      <w:szCs w:val="24"/>
                    </w:rPr>
                    <w:t xml:space="preserve">t </w:t>
                  </w:r>
                  <w:r>
                    <w:rPr>
                      <w:szCs w:val="24"/>
                    </w:rPr>
                    <w:t>metais apskaičiuojamas pagal formulę:</w:t>
                  </w:r>
                </w:p>
                <w:p>
                  <w:pPr>
                    <w:tabs>
                      <w:tab w:val="left" w:pos="1260"/>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IK</m:t>
                        </m:r>
                      </m:e>
                      <m:sub>
                        <m:r>
                          <w:rPr>
                            <w:rFonts w:ascii="Cambria Math" w:hAnsi="Cambria Math"/>
                          </w:rPr>
                          <m:t>vtt</m:t>
                        </m:r>
                      </m:sub>
                    </m:sSub>
                    <m:r>
                      <w:rPr>
                        <w:rFonts w:ascii="Cambria Math" w:hAnsi="Cambria Math"/>
                      </w:rPr>
                      <m:t>=</m:t>
                    </m:r>
                    <m:d>
                      <m:dPr>
                        <m:ctrlPr>
                          <w:rPr>
                            <w:rFonts w:ascii="Cambria Math" w:hAnsi="Cambria Math"/>
                            <w:i/>
                          </w:rPr>
                        </m:ctrlPr>
                      </m:dPr>
                      <m:e>
                        <m:r>
                          <w:rPr>
                            <w:rFonts w:ascii="Cambria Math" w:hAnsi="Cambria Math"/>
                          </w:rPr>
                          <m:t>1+</m:t>
                        </m:r>
                        <m:f>
                          <m:fPr>
                            <m:ctrlPr>
                              <w:rPr>
                                <w:rFonts w:ascii="Cambria Math" w:hAnsi="Cambria Math"/>
                                <w:i/>
                              </w:rPr>
                            </m:ctrlPr>
                          </m:fPr>
                          <m:num>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t</m:t>
                                    </m:r>
                                    <m:r>
                                      <w:rPr>
                                        <w:rFonts w:ascii="Cambria Math" w:hAnsi="Cambria Math"/>
                                      </w:rPr>
                                      <m:t>-</m:t>
                                    </m:r>
                                  </m:sub>
                                </m:sSub>
                                <m:sSub>
                                  <m:sSubPr>
                                    <m:ctrlPr>
                                      <w:rPr>
                                        <w:rFonts w:ascii="Cambria Math" w:hAnsi="Cambria Math"/>
                                        <w:i/>
                                      </w:rPr>
                                    </m:ctrlPr>
                                  </m:sSubPr>
                                  <m:e>
                                    <m:r>
                                      <w:rPr>
                                        <w:rFonts w:ascii="Cambria Math" w:hAnsi="Cambria Math"/>
                                      </w:rPr>
                                      <m:t>e</m:t>
                                    </m:r>
                                  </m:e>
                                  <m:sub>
                                    <m:r>
                                      <w:rPr>
                                        <w:rFonts w:ascii="Cambria Math" w:hAnsi="Cambria Math"/>
                                      </w:rPr>
                                      <m:t>vt</m:t>
                                    </m:r>
                                  </m:sub>
                                </m:sSub>
                                <m:r>
                                  <w:rPr>
                                    <w:rFonts w:ascii="Cambria Math" w:hAnsi="Cambria Math"/>
                                  </w:rPr>
                                  <m:t>)</m:t>
                                </m:r>
                              </m:e>
                              <m:sub/>
                            </m:sSub>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kvt</m:t>
                            </m:r>
                            <m:r>
                              <w:rPr>
                                <w:rFonts w:ascii="Cambria Math" w:hAnsi="Cambria Math"/>
                              </w:rPr>
                              <m:t xml:space="preserve"> </m:t>
                            </m:r>
                            <m:r>
                              <w:rPr>
                                <w:rFonts w:ascii="Cambria Math" w:hAnsi="Cambria Math"/>
                              </w:rPr>
                              <m:t>t</m:t>
                            </m:r>
                          </m:sub>
                        </m:sSub>
                      </m:e>
                    </m:d>
                    <m:r>
                      <w:rPr>
                        <w:rFonts w:ascii="Cambria Math" w:hAnsi="Cambria Math"/>
                      </w:rPr>
                      <m:t>×</m:t>
                    </m:r>
                    <m:sSub>
                      <m:sSubPr>
                        <m:ctrlPr>
                          <w:rPr>
                            <w:rFonts w:ascii="Cambria Math" w:hAnsi="Cambria Math"/>
                            <w:i/>
                          </w:rPr>
                        </m:ctrlPr>
                      </m:sSubPr>
                      <m:e>
                        <m:r>
                          <w:rPr>
                            <w:rFonts w:ascii="Cambria Math" w:hAnsi="Cambria Math"/>
                          </w:rPr>
                          <m:t>IK</m:t>
                        </m:r>
                      </m:e>
                      <m:sub>
                        <m:r>
                          <w:rPr>
                            <w:rFonts w:ascii="Cambria Math" w:hAnsi="Cambria Math"/>
                          </w:rPr>
                          <m:t>vt</m:t>
                        </m:r>
                        <m:r>
                          <w:rPr>
                            <w:rFonts w:ascii="Cambria Math" w:hAnsi="Cambria Math"/>
                          </w:rPr>
                          <m:t xml:space="preserve"> </m:t>
                        </m:r>
                        <m:r>
                          <w:rPr>
                            <w:rFonts w:ascii="Cambria Math" w:hAnsi="Cambria Math"/>
                          </w:rPr>
                          <m:t>t</m:t>
                        </m:r>
                        <m:r>
                          <w:rPr>
                            <w:rFonts w:ascii="Cambria Math" w:hAnsi="Cambria Math"/>
                          </w:rPr>
                          <m:t>-1</m:t>
                        </m:r>
                      </m:sub>
                    </m:sSub>
                  </m:oMath>
                  <w:r>
                    <w:tab/>
                  </w:r>
                  <w:r>
                    <w:rPr>
                      <w:szCs w:val="24"/>
                    </w:rPr>
                    <w:t>(63)</w:t>
                  </w:r>
                </w:p>
                <w:p>
                  <w:pPr>
                    <w:tabs>
                      <w:tab w:val="left" w:pos="9214"/>
                    </w:tabs>
                    <w:jc w:val="both"/>
                    <w:rPr>
                      <w:b/>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IK</w:t>
                  </w:r>
                  <w:r>
                    <w:rPr>
                      <w:szCs w:val="24"/>
                      <w:vertAlign w:val="subscript"/>
                    </w:rPr>
                    <w:t xml:space="preserve">vtt </w:t>
                  </w:r>
                  <w:r>
                    <w:rPr>
                      <w:szCs w:val="24"/>
                    </w:rPr>
                    <w:t>– indeksavimo koeficientas;</w:t>
                  </w:r>
                </w:p>
                <w:p>
                  <w:pPr>
                    <w:tabs>
                      <w:tab w:val="left" w:pos="1134"/>
                      <w:tab w:val="left" w:pos="1843"/>
                      <w:tab w:val="left" w:pos="2268"/>
                    </w:tabs>
                    <w:jc w:val="both"/>
                    <w:rPr>
                      <w:szCs w:val="24"/>
                    </w:rPr>
                  </w:pPr>
                  <w:r>
                    <w:rPr>
                      <w:i/>
                      <w:spacing w:val="-4"/>
                      <w:szCs w:val="24"/>
                    </w:rPr>
                    <w:t>i</w:t>
                  </w:r>
                  <w:r>
                    <w:rPr>
                      <w:i/>
                      <w:spacing w:val="-4"/>
                      <w:szCs w:val="24"/>
                      <w:vertAlign w:val="subscript"/>
                    </w:rPr>
                    <w:t>t</w:t>
                  </w:r>
                  <w:r>
                    <w:rPr>
                      <w:i/>
                      <w:spacing w:val="-4"/>
                      <w:szCs w:val="24"/>
                    </w:rPr>
                    <w:t xml:space="preserve"> </w:t>
                  </w:r>
                  <w:r>
                    <w:rPr>
                      <w:spacing w:val="-4"/>
                      <w:szCs w:val="24"/>
                    </w:rPr>
                    <w:t xml:space="preserve">– vidutinės metinės infliacijos pokytis </w:t>
                  </w:r>
                  <w:r>
                    <w:rPr>
                      <w:i/>
                      <w:spacing w:val="-4"/>
                      <w:szCs w:val="24"/>
                    </w:rPr>
                    <w:t xml:space="preserve">t </w:t>
                  </w:r>
                  <w:r>
                    <w:rPr>
                      <w:spacing w:val="-4"/>
                      <w:szCs w:val="24"/>
                    </w:rPr>
                    <w:t xml:space="preserve">metais, palyginti su atitinkamu indeksu </w:t>
                  </w:r>
                  <w:r>
                    <w:rPr>
                      <w:i/>
                      <w:spacing w:val="-4"/>
                      <w:szCs w:val="24"/>
                    </w:rPr>
                    <w:t xml:space="preserve">t-1 </w:t>
                  </w:r>
                  <w:r>
                    <w:rPr>
                      <w:spacing w:val="-4"/>
                      <w:szCs w:val="24"/>
                    </w:rPr>
                    <w:t>metais, proc.</w:t>
                  </w:r>
                  <w:r>
                    <w:rPr>
                      <w:szCs w:val="24"/>
                    </w:rPr>
                    <w:t xml:space="preserve"> Jis nustatomas pagal Finansų ministerijos duomenis. Nesant Finansų ministerijos duomenų, nustatoma pagal Lietuvos banko duomenis;</w:t>
                  </w:r>
                </w:p>
                <w:p>
                  <w:pPr>
                    <w:tabs>
                      <w:tab w:val="left" w:pos="1134"/>
                      <w:tab w:val="left" w:pos="1843"/>
                      <w:tab w:val="left" w:pos="2268"/>
                    </w:tabs>
                    <w:jc w:val="both"/>
                    <w:rPr>
                      <w:szCs w:val="24"/>
                    </w:rPr>
                  </w:pPr>
                  <w:r>
                    <w:rPr>
                      <w:i/>
                      <w:szCs w:val="24"/>
                    </w:rPr>
                    <w:t>e</w:t>
                  </w:r>
                  <w:r>
                    <w:rPr>
                      <w:i/>
                      <w:szCs w:val="24"/>
                      <w:vertAlign w:val="subscript"/>
                    </w:rPr>
                    <w:t>vt</w:t>
                  </w:r>
                  <w:r>
                    <w:rPr>
                      <w:szCs w:val="24"/>
                    </w:rPr>
                    <w:t xml:space="preserve"> – efektyvumo koeficientas visuomeninio tiekėjo veiklai, proc.;</w:t>
                  </w:r>
                </w:p>
                <w:p>
                  <w:pPr>
                    <w:tabs>
                      <w:tab w:val="left" w:pos="1134"/>
                      <w:tab w:val="left" w:pos="1843"/>
                      <w:tab w:val="left" w:pos="2268"/>
                    </w:tabs>
                    <w:jc w:val="both"/>
                    <w:rPr>
                      <w:szCs w:val="24"/>
                    </w:rPr>
                  </w:pPr>
                  <w:r>
                    <w:rPr>
                      <w:szCs w:val="24"/>
                    </w:rPr>
                    <w:t>L</w:t>
                  </w:r>
                  <w:r>
                    <w:rPr>
                      <w:szCs w:val="24"/>
                      <w:vertAlign w:val="subscript"/>
                    </w:rPr>
                    <w:t>kvtt</w:t>
                  </w:r>
                  <w:r>
                    <w:rPr>
                      <w:szCs w:val="24"/>
                    </w:rPr>
                    <w:t xml:space="preserve"> – visuomeninio tiekimo paslaugų </w:t>
                  </w:r>
                  <w:r>
                    <w:rPr>
                      <w:bCs/>
                      <w:szCs w:val="24"/>
                    </w:rPr>
                    <w:t>kainų viršutinių ribų skaičiavimuose numatyta koreguojama OPEX dalis, t. y. darbo užmokesčio, socialinio draudimo, eksploatacinės, remonto ir kiti materialiniai kaštai</w:t>
                  </w:r>
                  <w:r>
                    <w:rPr>
                      <w:szCs w:val="24"/>
                    </w:rPr>
                    <w:t>,</w:t>
                  </w:r>
                  <w:r>
                    <w:rPr>
                      <w:bCs/>
                      <w:szCs w:val="24"/>
                    </w:rPr>
                    <w:t xml:space="preserve"> visose pajamose </w:t>
                  </w:r>
                  <w:r>
                    <w:rPr>
                      <w:bCs/>
                      <w:i/>
                      <w:szCs w:val="24"/>
                    </w:rPr>
                    <w:t xml:space="preserve">t </w:t>
                  </w:r>
                  <w:r>
                    <w:rPr>
                      <w:bCs/>
                      <w:szCs w:val="24"/>
                    </w:rPr>
                    <w:t>metais</w:t>
                  </w:r>
                  <w:r>
                    <w:rPr>
                      <w:szCs w:val="24"/>
                    </w:rPr>
                    <w:t>;</w:t>
                  </w:r>
                </w:p>
                <w:p>
                  <w:pPr>
                    <w:tabs>
                      <w:tab w:val="left" w:pos="1134"/>
                      <w:tab w:val="left" w:pos="1843"/>
                      <w:tab w:val="left" w:pos="2268"/>
                    </w:tabs>
                    <w:jc w:val="both"/>
                    <w:rPr>
                      <w:szCs w:val="24"/>
                    </w:rPr>
                  </w:pPr>
                  <w:r>
                    <w:rPr>
                      <w:szCs w:val="24"/>
                    </w:rPr>
                    <w:t>IK</w:t>
                  </w:r>
                  <w:r>
                    <w:rPr>
                      <w:szCs w:val="24"/>
                      <w:vertAlign w:val="subscript"/>
                    </w:rPr>
                    <w:t>vtt-1</w:t>
                  </w:r>
                  <w:r>
                    <w:rPr>
                      <w:szCs w:val="24"/>
                    </w:rPr>
                    <w:t xml:space="preserve"> – indeksavimo koeficientas visuomeninio tiekimo paslaugos kainos viršutinei ribai </w:t>
                  </w:r>
                  <w:r>
                    <w:rPr>
                      <w:i/>
                      <w:szCs w:val="24"/>
                    </w:rPr>
                    <w:t xml:space="preserve">t-1 </w:t>
                  </w:r>
                  <w:r>
                    <w:rPr>
                      <w:szCs w:val="24"/>
                    </w:rPr>
                    <w:t>metais.</w:t>
                  </w:r>
                </w:p>
                <w:sdt>
                  <w:sdtPr>
                    <w:alias w:val="103.1 p."/>
                    <w:tag w:val="part_b7450492b2e8423688868537799be1ee"/>
                    <w:lock w:val="sdtLocked"/>
                    <w:richText/>
                  </w:sdtPr>
                  <w:sdtContent>
                    <w:p>
                      <w:pPr>
                        <w:pStyle w:val="PlainText"/>
                        <w:ind w:firstLine="567"/>
                        <w:jc w:val="both"/>
                        <w:rPr>
                          <w:rFonts w:ascii="Times New Roman" w:hAnsi="Times New Roman"/>
                          <w:b/>
                          <w:bCs/>
                          <w:sz w:val="22"/>
                        </w:rPr>
                      </w:pPr>
                      <w:r>
                        <w:rPr>
                          <w:rFonts w:ascii="Times New Roman" w:hAnsi="Times New Roman"/>
                          <w:sz w:val="22"/>
                        </w:rPr>
                        <w:t>103.1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03.2 p."/>
                    <w:tag w:val="part_dc0f64c244004dad9fdb270088f9cb54"/>
                    <w:lock w:val="sdtLocked"/>
                    <w:richText/>
                  </w:sdtPr>
                  <w:sdtContent>
                    <w:p>
                      <w:pPr>
                        <w:pStyle w:val="PlainText"/>
                        <w:ind w:firstLine="567"/>
                        <w:jc w:val="both"/>
                        <w:rPr>
                          <w:rFonts w:ascii="Times New Roman" w:hAnsi="Times New Roman"/>
                          <w:b/>
                          <w:bCs/>
                          <w:sz w:val="22"/>
                        </w:rPr>
                      </w:pPr>
                      <w:r>
                        <w:rPr>
                          <w:rFonts w:ascii="Times New Roman" w:hAnsi="Times New Roman"/>
                          <w:sz w:val="22"/>
                        </w:rPr>
                        <w:t>103.2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04 p."/>
                <w:tag w:val="part_b800d0194c3044e28e96dc545b909db8"/>
                <w:lock w:val="sdtLocked"/>
                <w:richText/>
              </w:sdtPr>
              <w:sdtContent>
                <w:p>
                  <w:pPr>
                    <w:tabs>
                      <w:tab w:val="left" w:pos="0"/>
                      <w:tab w:val="left" w:pos="1260"/>
                      <w:tab w:val="left" w:pos="1843"/>
                      <w:tab w:val="left" w:pos="2268"/>
                    </w:tabs>
                    <w:suppressAutoHyphens/>
                    <w:ind w:firstLine="720"/>
                    <w:jc w:val="both"/>
                    <w:rPr>
                      <w:szCs w:val="24"/>
                    </w:rPr>
                  </w:pPr>
                  <w:sdt>
                    <w:sdtPr>
                      <w:alias w:val="Numeris"/>
                      <w:tag w:val="nr_b800d0194c3044e28e96dc545b909db8"/>
                      <w:lock w:val="sdtLocked"/>
                      <w:richText/>
                    </w:sdtPr>
                    <w:sdtContent>
                      <w:r>
                        <w:rPr>
                          <w:szCs w:val="24"/>
                        </w:rPr>
                        <w:t>104</w:t>
                      </w:r>
                    </w:sdtContent>
                  </w:sdt>
                  <w:r>
                    <w:rPr>
                      <w:szCs w:val="24"/>
                    </w:rPr>
                    <w:t xml:space="preserve">. Korekcijos koeficientas, įvertinantis tiekimo paslaugų pajamų viršijimą ar nesurinkimą priklausomai nuo taikomos kainų viršutinių ribų diferencijavimo struktūros ir (arba) prognozuoto perduoti bei faktiškai perduoto kiekio skirtumo), </w:t>
                  </w:r>
                  <w:r>
                    <w:rPr>
                      <w:i/>
                      <w:szCs w:val="24"/>
                    </w:rPr>
                    <w:t xml:space="preserve">t-1 </w:t>
                  </w:r>
                  <w:r>
                    <w:rPr>
                      <w:szCs w:val="24"/>
                    </w:rPr>
                    <w:t>metais apskaičiuojamas pagal formulę:</w:t>
                  </w:r>
                </w:p>
                <w:p>
                  <w:pPr>
                    <w:tabs>
                      <w:tab w:val="left" w:pos="0"/>
                      <w:tab w:val="left" w:pos="1134"/>
                      <w:tab w:val="left" w:pos="1843"/>
                      <w:tab w:val="left" w:pos="2268"/>
                      <w:tab w:val="left" w:pos="7240"/>
                    </w:tabs>
                    <w:suppressAutoHyphens/>
                    <w:jc w:val="both"/>
                    <w:rPr>
                      <w:szCs w:val="24"/>
                    </w:rPr>
                  </w:pPr>
                </w:p>
                <w:p>
                  <w:pPr>
                    <w:tabs>
                      <w:tab w:val="left" w:pos="9214"/>
                    </w:tabs>
                    <w:suppressAutoHyphens/>
                    <w:ind w:firstLine="9214"/>
                    <w:jc w:val="both"/>
                    <w:rPr>
                      <w:szCs w:val="24"/>
                    </w:rPr>
                  </w:pPr>
                  <w:r>
                    <w:t xml:space="preserve"> </w:t>
                  </w:r>
                  <m:oMath>
                    <m:sSub>
                      <m:sSubPr>
                        <m:ctrlPr>
                          <w:rPr>
                            <w:rFonts w:ascii="Cambria Math" w:hAnsi="Cambria Math"/>
                            <w:i/>
                          </w:rPr>
                        </m:ctrlPr>
                      </m:sSubPr>
                      <m:e>
                        <m:r>
                          <w:rPr>
                            <w:rFonts w:ascii="Cambria Math" w:hAnsi="Cambria Math"/>
                          </w:rPr>
                          <m:t>K</m:t>
                        </m:r>
                      </m:e>
                      <m:sub>
                        <m:r>
                          <w:rPr>
                            <w:rFonts w:ascii="Cambria Math" w:hAnsi="Cambria Math"/>
                          </w:rPr>
                          <m:t>vtt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m:t>
                            </m:r>
                            <m:r>
                              <w:rPr>
                                <w:rFonts w:ascii="Cambria Math" w:hAnsi="Cambria Math"/>
                              </w:rPr>
                              <m:t>vt</m:t>
                            </m:r>
                            <m:r>
                              <w:rPr>
                                <w:rFonts w:ascii="Cambria Math" w:hAnsi="Cambria Math"/>
                              </w:rPr>
                              <m:t xml:space="preserve">) </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r>
                                  <w:rPr>
                                    <w:rFonts w:ascii="Cambria Math" w:hAnsi="Cambria Math"/>
                                  </w:rPr>
                                  <m:t xml:space="preserve">( </m:t>
                                </m:r>
                                <m:r>
                                  <w:rPr>
                                    <w:rFonts w:ascii="Cambria Math" w:hAnsi="Cambria Math"/>
                                  </w:rPr>
                                  <m:t>vt</m:t>
                                </m:r>
                                <m:r>
                                  <w:rPr>
                                    <w:rFonts w:ascii="Cambria Math" w:hAnsi="Cambria Math"/>
                                  </w:rPr>
                                  <m:t xml:space="preserve">) </m:t>
                                </m:r>
                                <m:r>
                                  <w:rPr>
                                    <w:rFonts w:ascii="Cambria Math" w:hAnsi="Cambria Math"/>
                                  </w:rPr>
                                  <m:t>t</m:t>
                                </m:r>
                                <m:r>
                                  <w:rPr>
                                    <w:rFonts w:ascii="Cambria Math" w:hAnsi="Cambria Math"/>
                                  </w:rPr>
                                  <m:t>-2</m:t>
                                </m:r>
                              </m:sub>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m:t>
                                </m:r>
                                <m:r>
                                  <w:rPr>
                                    <w:rFonts w:ascii="Cambria Math" w:hAnsi="Cambria Math"/>
                                  </w:rPr>
                                  <m:t>vt</m:t>
                                </m:r>
                                <m:r>
                                  <w:rPr>
                                    <w:rFonts w:ascii="Cambria Math" w:hAnsi="Cambria Math"/>
                                  </w:rPr>
                                  <m:t xml:space="preserve">) </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r>
                              <w:rPr>
                                <w:rFonts w:ascii="Cambria Math" w:hAnsi="Cambria Math"/>
                              </w:rPr>
                              <m:t>(</m:t>
                            </m:r>
                            <m:r>
                              <w:rPr>
                                <w:rFonts w:ascii="Cambria Math" w:hAnsi="Cambria Math"/>
                              </w:rPr>
                              <m:t>vt</m:t>
                            </m:r>
                            <m:r>
                              <w:rPr>
                                <w:rFonts w:ascii="Cambria Math" w:hAnsi="Cambria Math"/>
                              </w:rPr>
                              <m:t xml:space="preserve">) </m:t>
                            </m:r>
                            <m:r>
                              <w:rPr>
                                <w:rFonts w:ascii="Cambria Math" w:hAnsi="Cambria Math"/>
                              </w:rPr>
                              <m:t>t</m:t>
                            </m:r>
                          </m:sub>
                        </m:sSub>
                      </m:den>
                    </m:f>
                  </m:oMath>
                  <w:r>
                    <w:tab/>
                  </w:r>
                  <w:r>
                    <w:rPr>
                      <w:szCs w:val="24"/>
                    </w:rPr>
                    <w:t>(64)</w:t>
                  </w:r>
                </w:p>
                <w:p>
                  <w:pPr>
                    <w:tabs>
                      <w:tab w:val="left" w:pos="1134"/>
                      <w:tab w:val="left" w:pos="1843"/>
                      <w:tab w:val="left" w:pos="2268"/>
                    </w:tabs>
                    <w:suppressAutoHyphens/>
                    <w:jc w:val="both"/>
                    <w:rPr>
                      <w:szCs w:val="24"/>
                    </w:rPr>
                  </w:pPr>
                </w:p>
                <w:p>
                  <w:pPr>
                    <w:tabs>
                      <w:tab w:val="left" w:pos="1134"/>
                      <w:tab w:val="left" w:pos="1843"/>
                      <w:tab w:val="left" w:pos="2268"/>
                    </w:tabs>
                    <w:suppressAutoHyphens/>
                    <w:jc w:val="both"/>
                    <w:rPr>
                      <w:i/>
                      <w:szCs w:val="24"/>
                    </w:rPr>
                  </w:pPr>
                  <w:r>
                    <w:rPr>
                      <w:i/>
                      <w:szCs w:val="24"/>
                    </w:rPr>
                    <w:t>čia:</w:t>
                  </w:r>
                </w:p>
                <w:p>
                  <w:pPr>
                    <w:tabs>
                      <w:tab w:val="left" w:pos="1134"/>
                      <w:tab w:val="left" w:pos="1843"/>
                      <w:tab w:val="left" w:pos="2268"/>
                    </w:tabs>
                    <w:jc w:val="both"/>
                    <w:rPr>
                      <w:i/>
                      <w:szCs w:val="24"/>
                    </w:rPr>
                  </w:pPr>
                  <w:r>
                    <w:rPr>
                      <w:szCs w:val="24"/>
                    </w:rPr>
                    <w:t>K</w:t>
                  </w:r>
                  <w:r>
                    <w:rPr>
                      <w:szCs w:val="24"/>
                      <w:vertAlign w:val="subscript"/>
                    </w:rPr>
                    <w:t>vt t</w:t>
                  </w:r>
                  <w:r>
                    <w:rPr>
                      <w:szCs w:val="24"/>
                    </w:rPr>
                    <w:t xml:space="preserve">– </w:t>
                  </w:r>
                  <w:r>
                    <w:rPr>
                      <w:i/>
                      <w:szCs w:val="24"/>
                    </w:rPr>
                    <w:t>t</w:t>
                  </w:r>
                  <w:r>
                    <w:rPr>
                      <w:szCs w:val="24"/>
                    </w:rPr>
                    <w:t xml:space="preserve"> metų korekcijos koeficientas kainos viršutinei ribai, EUR/kWh;</w:t>
                  </w:r>
                </w:p>
                <w:p>
                  <w:pPr>
                    <w:tabs>
                      <w:tab w:val="left" w:pos="1134"/>
                      <w:tab w:val="left" w:pos="1843"/>
                      <w:tab w:val="left" w:pos="2268"/>
                    </w:tabs>
                    <w:jc w:val="both"/>
                    <w:rPr>
                      <w:szCs w:val="24"/>
                    </w:rPr>
                  </w:pPr>
                  <w:r>
                    <w:rPr>
                      <w:iCs/>
                      <w:szCs w:val="24"/>
                    </w:rPr>
                    <w:t>P</w:t>
                  </w:r>
                  <w:r>
                    <w:rPr>
                      <w:szCs w:val="24"/>
                      <w:vertAlign w:val="superscript"/>
                    </w:rPr>
                    <w:t>f</w:t>
                  </w:r>
                  <w:r>
                    <w:rPr>
                      <w:szCs w:val="24"/>
                      <w:vertAlign w:val="subscript"/>
                    </w:rPr>
                    <w:t>(</w:t>
                  </w:r>
                  <w:r>
                    <w:rPr>
                      <w:iCs/>
                      <w:szCs w:val="24"/>
                      <w:vertAlign w:val="subscript"/>
                    </w:rPr>
                    <w:t>vt)t</w:t>
                  </w:r>
                  <w:r>
                    <w:rPr>
                      <w:szCs w:val="24"/>
                      <w:vertAlign w:val="subscript"/>
                    </w:rPr>
                    <w:t>-2</w:t>
                  </w:r>
                  <w:r>
                    <w:rPr>
                      <w:szCs w:val="24"/>
                    </w:rPr>
                    <w:t xml:space="preserve">– faktinės elektros energijos visuomeninio tiekimo paslaugos pajamos </w:t>
                  </w:r>
                  <w:r>
                    <w:rPr>
                      <w:i/>
                      <w:szCs w:val="24"/>
                    </w:rPr>
                    <w:t xml:space="preserve">t-2 </w:t>
                  </w:r>
                  <w:r>
                    <w:rPr>
                      <w:szCs w:val="24"/>
                    </w:rPr>
                    <w:t xml:space="preserve">metais, </w:t>
                  </w:r>
                  <w:r>
                    <w:rPr>
                      <w:szCs w:val="24"/>
                      <w:lang w:eastAsia="lt-LT"/>
                    </w:rPr>
                    <w:t>EUR</w:t>
                  </w:r>
                  <w:r>
                    <w:rPr>
                      <w:szCs w:val="24"/>
                    </w:rPr>
                    <w:t>;</w:t>
                  </w:r>
                </w:p>
                <w:p>
                  <w:pPr>
                    <w:tabs>
                      <w:tab w:val="left" w:pos="1134"/>
                      <w:tab w:val="left" w:pos="1843"/>
                      <w:tab w:val="left" w:pos="2268"/>
                    </w:tabs>
                    <w:jc w:val="both"/>
                    <w:rPr>
                      <w:szCs w:val="24"/>
                    </w:rPr>
                  </w:pPr>
                  <w:r>
                    <w:rPr>
                      <w:szCs w:val="24"/>
                    </w:rPr>
                    <w:t>E</w:t>
                  </w:r>
                  <w:r>
                    <w:rPr>
                      <w:szCs w:val="24"/>
                      <w:vertAlign w:val="subscript"/>
                    </w:rPr>
                    <w:t>(vt)</w:t>
                  </w:r>
                  <w:r>
                    <w:rPr>
                      <w:szCs w:val="24"/>
                    </w:rPr>
                    <w:t xml:space="preserve"> </w:t>
                  </w:r>
                  <w:r>
                    <w:rPr>
                      <w:szCs w:val="24"/>
                      <w:vertAlign w:val="subscript"/>
                    </w:rPr>
                    <w:t xml:space="preserve">t-2 </w:t>
                  </w:r>
                  <w:r>
                    <w:rPr>
                      <w:szCs w:val="24"/>
                    </w:rPr>
                    <w:t xml:space="preserve">–faktinis </w:t>
                  </w:r>
                  <w:r>
                    <w:rPr>
                      <w:i/>
                      <w:szCs w:val="24"/>
                    </w:rPr>
                    <w:t xml:space="preserve">t-2 </w:t>
                  </w:r>
                  <w:r>
                    <w:rPr>
                      <w:szCs w:val="24"/>
                    </w:rPr>
                    <w:t xml:space="preserve">metais visuomeniniam tiekimui patiektas elektros energijos kiekis, kWh; </w:t>
                  </w:r>
                </w:p>
                <w:p>
                  <w:pPr>
                    <w:tabs>
                      <w:tab w:val="left" w:pos="1134"/>
                      <w:tab w:val="left" w:pos="1843"/>
                      <w:tab w:val="left" w:pos="2268"/>
                    </w:tabs>
                    <w:jc w:val="both"/>
                    <w:rPr>
                      <w:szCs w:val="24"/>
                    </w:rPr>
                  </w:pPr>
                  <w:r>
                    <w:rPr>
                      <w:szCs w:val="24"/>
                    </w:rPr>
                    <w:t>E</w:t>
                  </w:r>
                  <w:r>
                    <w:rPr>
                      <w:szCs w:val="24"/>
                      <w:vertAlign w:val="subscript"/>
                    </w:rPr>
                    <w:t xml:space="preserve">(vt) t </w:t>
                  </w:r>
                  <w:r>
                    <w:rPr>
                      <w:szCs w:val="24"/>
                    </w:rPr>
                    <w:t xml:space="preserve">– </w:t>
                  </w:r>
                  <w:r>
                    <w:rPr>
                      <w:i/>
                      <w:szCs w:val="24"/>
                    </w:rPr>
                    <w:t>t</w:t>
                  </w:r>
                  <w:r>
                    <w:rPr>
                      <w:szCs w:val="24"/>
                    </w:rPr>
                    <w:t xml:space="preserve"> metais planuojamas visuomeniniam tiekimui patiekti elektros energijos kiekis, kWh;</w:t>
                  </w:r>
                </w:p>
                <w:p>
                  <w:pPr>
                    <w:tabs>
                      <w:tab w:val="left" w:pos="1134"/>
                      <w:tab w:val="left" w:pos="1843"/>
                      <w:tab w:val="left" w:pos="2268"/>
                    </w:tabs>
                    <w:jc w:val="both"/>
                    <w:rPr>
                      <w:szCs w:val="24"/>
                    </w:rPr>
                  </w:pPr>
                  <w:r>
                    <w:rPr>
                      <w:szCs w:val="24"/>
                    </w:rPr>
                    <w:t>T</w:t>
                  </w:r>
                  <w:r>
                    <w:rPr>
                      <w:szCs w:val="24"/>
                      <w:vertAlign w:val="subscript"/>
                    </w:rPr>
                    <w:t xml:space="preserve">(vt) t-2 </w:t>
                  </w:r>
                  <w:r>
                    <w:rPr>
                      <w:szCs w:val="24"/>
                    </w:rPr>
                    <w:t xml:space="preserve">– Komisijos nustatyta paslaugos kainos viršutinė riba </w:t>
                  </w:r>
                  <w:r>
                    <w:rPr>
                      <w:i/>
                      <w:szCs w:val="24"/>
                    </w:rPr>
                    <w:t>t-2</w:t>
                  </w:r>
                  <w:r>
                    <w:rPr>
                      <w:szCs w:val="24"/>
                    </w:rPr>
                    <w:t xml:space="preserve"> metams.</w:t>
                  </w:r>
                </w:p>
              </w:sdtContent>
            </w:sdt>
            <w:sdt>
              <w:sdtPr>
                <w:alias w:val="105 p."/>
                <w:tag w:val="part_319620b23fd443dfa4bc7b8e732f9660"/>
                <w:lock w:val="sdtLocked"/>
                <w:richText/>
              </w:sdtPr>
              <w:sdtContent>
                <w:p>
                  <w:pPr>
                    <w:tabs>
                      <w:tab w:val="left" w:pos="1260"/>
                      <w:tab w:val="left" w:pos="1843"/>
                      <w:tab w:val="left" w:pos="2268"/>
                    </w:tabs>
                    <w:ind w:firstLine="720"/>
                    <w:jc w:val="both"/>
                    <w:rPr>
                      <w:szCs w:val="24"/>
                    </w:rPr>
                  </w:pPr>
                  <w:sdt>
                    <w:sdtPr>
                      <w:alias w:val="Numeris"/>
                      <w:tag w:val="nr_319620b23fd443dfa4bc7b8e732f9660"/>
                      <w:lock w:val="sdtLocked"/>
                      <w:richText/>
                    </w:sdtPr>
                    <w:sdtContent>
                      <w:r>
                        <w:rPr>
                          <w:szCs w:val="24"/>
                        </w:rPr>
                        <w:t>105</w:t>
                      </w:r>
                    </w:sdtContent>
                  </w:sdt>
                  <w:r>
                    <w:rPr>
                      <w:szCs w:val="24"/>
                    </w:rPr>
                    <w:t>. Komisija, perskaičiuodama viršutinę kainos ribą dėl korekcijos koeficiento, sprendžia dėl negautų ar viršytų pajamų įvertinimo pagrįstumo, atsižvelgdama į Įmonių pateiktas pagrįstas pajamų pokyčio priežastis, nulemtas elektros energijos visuomeninio tiekimo paslaugos kainos viršutinės ribos diferencijavimo ir (arba) prognozuoto perduoti bei faktiškai perduoto kiekio skirtumo.</w:t>
                  </w:r>
                </w:p>
              </w:sdtContent>
            </w:sdt>
            <w:sdt>
              <w:sdtPr>
                <w:alias w:val="106 p."/>
                <w:tag w:val="part_c1b82f975004487cb41eed3eb8803699"/>
                <w:lock w:val="sdtLocked"/>
                <w:richText/>
              </w:sdtPr>
              <w:sdtContent>
                <w:p>
                  <w:pPr>
                    <w:tabs>
                      <w:tab w:val="left" w:pos="1260"/>
                      <w:tab w:val="left" w:pos="1843"/>
                      <w:tab w:val="left" w:pos="2268"/>
                    </w:tabs>
                    <w:ind w:firstLine="720"/>
                    <w:jc w:val="both"/>
                    <w:rPr>
                      <w:szCs w:val="24"/>
                    </w:rPr>
                  </w:pPr>
                  <w:sdt>
                    <w:sdtPr>
                      <w:alias w:val="Numeris"/>
                      <w:tag w:val="nr_c1b82f975004487cb41eed3eb8803699"/>
                      <w:lock w:val="sdtLocked"/>
                      <w:richText/>
                    </w:sdtPr>
                    <w:sdtContent>
                      <w:r>
                        <w:rPr>
                          <w:szCs w:val="24"/>
                        </w:rPr>
                        <w:t>106</w:t>
                      </w:r>
                    </w:sdtContent>
                  </w:sdt>
                  <w:r>
                    <w:rPr>
                      <w:szCs w:val="24"/>
                    </w:rPr>
                    <w:t>. Pirmaisiais elektros energijos visuomeninio tiekimo paslaugos kainos viršutinės ribos nustatymo metais nenumatytų pasikeitimų ir indeksavimo koeficientas lygus vienetui. Kit</w:t>
                  </w:r>
                  <w:r>
                    <w:rPr>
                      <w:bCs/>
                      <w:szCs w:val="24"/>
                    </w:rPr>
                    <w:t>iems</w:t>
                  </w:r>
                  <w:r>
                    <w:rPr>
                      <w:szCs w:val="24"/>
                    </w:rPr>
                    <w:t xml:space="preserve"> reguliavimo periodo metams koregavimo koeficientai skaičiuojami pagal patikslintus (faktinius) esamųjų metų duomenis.</w:t>
                  </w:r>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Content>
            </w:sdt>
          </w:sdtContent>
        </w:sdt>
        <w:sdt>
          <w:sdtPr>
            <w:alias w:val="skyrius"/>
            <w:tag w:val="part_8d0ecf0a66b14fc9891da7927436df7a"/>
            <w:lock w:val="sdtLocked"/>
            <w:richText/>
          </w:sdtPr>
          <w:sdtContent>
            <w:p>
              <w:pPr>
                <w:tabs>
                  <w:tab w:val="left" w:pos="1134"/>
                  <w:tab w:val="left" w:pos="1843"/>
                  <w:tab w:val="left" w:pos="2268"/>
                </w:tabs>
                <w:jc w:val="center"/>
                <w:rPr>
                  <w:b/>
                  <w:szCs w:val="24"/>
                </w:rPr>
              </w:pPr>
              <w:sdt>
                <w:sdtPr>
                  <w:alias w:val="Numeris"/>
                  <w:tag w:val="nr_8d0ecf0a66b14fc9891da7927436df7a"/>
                  <w:lock w:val="sdtLocked"/>
                  <w:richText/>
                </w:sdtPr>
                <w:sdtContent>
                  <w:r>
                    <w:rPr>
                      <w:b/>
                      <w:szCs w:val="24"/>
                    </w:rPr>
                    <w:t>VI</w:t>
                  </w:r>
                </w:sdtContent>
              </w:sdt>
              <w:r>
                <w:rPr>
                  <w:b/>
                  <w:szCs w:val="24"/>
                </w:rPr>
                <w:t xml:space="preserve"> SKYRIUS</w:t>
              </w:r>
            </w:p>
            <w:p>
              <w:pPr>
                <w:tabs>
                  <w:tab w:val="left" w:pos="1134"/>
                  <w:tab w:val="left" w:pos="1843"/>
                  <w:tab w:val="left" w:pos="2268"/>
                </w:tabs>
                <w:jc w:val="center"/>
                <w:rPr>
                  <w:szCs w:val="24"/>
                </w:rPr>
              </w:pPr>
              <w:sdt>
                <w:sdtPr>
                  <w:alias w:val="Pavadinimas"/>
                  <w:tag w:val="title_8d0ecf0a66b14fc9891da7927436df7a"/>
                  <w:lock w:val="sdtLocked"/>
                  <w:richText/>
                </w:sdtPr>
                <w:sdtContent>
                  <w:r>
                    <w:rPr>
                      <w:b/>
                      <w:szCs w:val="24"/>
                    </w:rPr>
                    <w:t>VISUOMENINIŲ KAINŲ VIRŠUTINIŲ RIBŲ NUSTATYMAS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07 p."/>
                <w:tag w:val="part_d7e62c965c3a4bdbb65eb8ed03523fae"/>
                <w:lock w:val="sdtLocked"/>
                <w:richText/>
              </w:sdtPr>
              <w:sdtContent>
                <w:p>
                  <w:pPr>
                    <w:ind w:firstLine="720"/>
                    <w:contextualSpacing/>
                    <w:jc w:val="both"/>
                    <w:rPr>
                      <w:szCs w:val="22"/>
                    </w:rPr>
                  </w:pPr>
                  <w:sdt>
                    <w:sdtPr>
                      <w:alias w:val="Numeris"/>
                      <w:tag w:val="nr_d7e62c965c3a4bdbb65eb8ed03523fae"/>
                      <w:lock w:val="sdtLocked"/>
                      <w:richText/>
                    </w:sdtPr>
                    <w:sdtContent>
                      <w:r>
                        <w:rPr>
                          <w:szCs w:val="22"/>
                        </w:rPr>
                        <w:t>107</w:t>
                      </w:r>
                    </w:sdtContent>
                  </w:sdt>
                  <w:r>
                    <w:rPr>
                      <w:szCs w:val="22"/>
                    </w:rPr>
                    <w:t>. Vartotojams, kuriems pagal Elektros energetikos įstatymą ir kitus teisės aktus visuomeninis tiekėjas privalo tiekti elektros energiją, visuomeninės elektros energijos kainos viršutinė riba skaičiuojama sumuojant elektros energijos įsigijimo kainą, visuomeninio tiekimo paslaugos, perdavimo paslaugos AĮ tinklais kainos viršutinę ribą, sisteminių paslaugų, VIAP kainas ir skirstymo paslaugų, priklausomai nuo to, iš kurios įtampos tinklų vartotojas gauna elektros energiją, kainų viršutines ribas. Visuomeninių elektros energijos kainų viršutinės ribos papildomai įvertina reguliavimo svertus, pavyzdžiui, elektros energijos įsigijimo kainos pokytį, ir apskaičiuojamos pagal formulę:</w:t>
                  </w:r>
                </w:p>
                <w:p>
                  <w:pPr>
                    <w:spacing w:line="276" w:lineRule="auto"/>
                    <w:ind w:firstLine="780"/>
                    <w:contextualSpacing/>
                    <w:jc w:val="both"/>
                    <w:rPr>
                      <w:szCs w:val="22"/>
                    </w:rPr>
                  </w:pPr>
                </w:p>
                <w:p>
                  <w:pPr>
                    <w:spacing w:line="276" w:lineRule="auto"/>
                    <w:ind w:firstLine="720"/>
                    <w:contextualSpacing/>
                    <w:jc w:val="both"/>
                    <w:rPr>
                      <w:szCs w:val="22"/>
                    </w:rPr>
                  </w:pPr>
                  <w:r>
                    <w:rPr>
                      <w:szCs w:val="22"/>
                      <w:lang w:eastAsia="lt-LT"/>
                    </w:rPr>
                    <w:drawing>
                      <wp:inline distT="0" distB="0" distL="0" distR="0">
                        <wp:extent cx="3847465" cy="422910"/>
                        <wp:effectExtent l="0" t="0" r="635" b="15240"/>
                        <wp:docPr id="1" name="Picture 2" descr="http://www.infolex.lt/ta/PictureThumbnail.aspx?Id=48ec1d5f-4a84-4154-b09d-839992cba24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infolex.lt/ta/PictureThumbnail.aspx?Id=48ec1d5f-4a84-4154-b09d-839992cba24c"/>
                                <pic:cNvPicPr>
                                  <a:picLocks noChangeAspect="1" noChangeArrowheads="1"/>
                                </pic:cNvPicPr>
                              </pic:nvPicPr>
                              <pic:blipFill>
                                <a:blip r:embed="rId19" r:link="rId20">
                                  <a:extLst>
                                    <a:ext uri="{28A0092B-C50C-407E-A947-70E740481C1C}">
                                      <a14:useLocalDpi xmlns:a14="http://schemas.microsoft.com/office/drawing/2010/main" val="0"/>
                                    </a:ext>
                                  </a:extLst>
                                </a:blip>
                                <a:srcRect/>
                                <a:stretch>
                                  <a:fillRect/>
                                </a:stretch>
                              </pic:blipFill>
                              <pic:spPr bwMode="auto">
                                <a:xfrm>
                                  <a:off x="0" y="0"/>
                                  <a:ext cx="3847465" cy="422910"/>
                                </a:xfrm>
                                <a:prstGeom prst="rect">
                                  <a:avLst/>
                                </a:prstGeom>
                                <a:noFill/>
                                <a:ln>
                                  <a:noFill/>
                                </a:ln>
                              </pic:spPr>
                            </pic:pic>
                          </a:graphicData>
                        </a:graphic>
                      </wp:inline>
                    </w:drawing>
                  </w:r>
                  <w:r>
                    <w:rPr>
                      <w:szCs w:val="22"/>
                    </w:rPr>
                    <w:t>                                        (65)</w:t>
                  </w:r>
                </w:p>
                <w:p>
                  <w:pPr>
                    <w:spacing w:line="276" w:lineRule="auto"/>
                    <w:ind w:firstLine="780"/>
                    <w:contextualSpacing/>
                    <w:jc w:val="both"/>
                    <w:rPr>
                      <w:szCs w:val="22"/>
                    </w:rPr>
                  </w:pPr>
                </w:p>
                <w:p>
                  <w:pPr>
                    <w:ind w:firstLine="720"/>
                    <w:contextualSpacing/>
                    <w:jc w:val="both"/>
                    <w:rPr>
                      <w:szCs w:val="22"/>
                    </w:rPr>
                  </w:pPr>
                  <w:r>
                    <w:rPr>
                      <w:i/>
                      <w:iCs/>
                      <w:szCs w:val="22"/>
                    </w:rPr>
                    <w:t>čia:</w:t>
                  </w:r>
                </w:p>
                <w:p>
                  <w:pPr>
                    <w:ind w:firstLine="720"/>
                    <w:contextualSpacing/>
                    <w:jc w:val="both"/>
                    <w:rPr>
                      <w:szCs w:val="22"/>
                    </w:rPr>
                  </w:pPr>
                  <w:r>
                    <w:rPr>
                      <w:szCs w:val="22"/>
                    </w:rPr>
                    <w:t>VT’</w:t>
                  </w:r>
                  <w:r>
                    <w:rPr>
                      <w:szCs w:val="22"/>
                      <w:vertAlign w:val="subscript"/>
                    </w:rPr>
                    <w:t>(10,04)t</w:t>
                  </w:r>
                  <w:r>
                    <w:rPr>
                      <w:szCs w:val="22"/>
                    </w:rPr>
                    <w:t xml:space="preserve"> – visuomeninių elektros energijos kainų viršutinės ribos vartotojams, gaunantiems elektros energiją iš skirstymo atitinkamai VĮ ir ŽĮ tinklų </w:t>
                  </w:r>
                  <w:r>
                    <w:rPr>
                      <w:i/>
                      <w:iCs/>
                      <w:szCs w:val="22"/>
                    </w:rPr>
                    <w:t xml:space="preserve">t </w:t>
                  </w:r>
                  <w:r>
                    <w:rPr>
                      <w:szCs w:val="22"/>
                    </w:rPr>
                    <w:t>metais, Lt/kWh (EUR/kWh);</w:t>
                  </w:r>
                </w:p>
                <w:p>
                  <w:pPr>
                    <w:ind w:firstLine="720"/>
                    <w:contextualSpacing/>
                    <w:jc w:val="both"/>
                    <w:rPr>
                      <w:szCs w:val="22"/>
                    </w:rPr>
                  </w:pPr>
                  <w:r>
                    <w:rPr>
                      <w:szCs w:val="22"/>
                    </w:rPr>
                    <w:t>T</w:t>
                  </w:r>
                  <w:r>
                    <w:rPr>
                      <w:szCs w:val="22"/>
                      <w:vertAlign w:val="subscript"/>
                    </w:rPr>
                    <w:t>g, t</w:t>
                  </w:r>
                  <w:r>
                    <w:rPr>
                      <w:szCs w:val="22"/>
                    </w:rPr>
                    <w:t xml:space="preserve"> – prognozuojama elektros energijos įsigijimo kaina </w:t>
                  </w:r>
                  <w:r>
                    <w:rPr>
                      <w:i/>
                      <w:iCs/>
                      <w:szCs w:val="22"/>
                    </w:rPr>
                    <w:t>t</w:t>
                  </w:r>
                  <w:r>
                    <w:rPr>
                      <w:szCs w:val="22"/>
                    </w:rPr>
                    <w:t xml:space="preserve"> metais, EUR/kWh;</w:t>
                  </w:r>
                </w:p>
                <w:p>
                  <w:pPr>
                    <w:ind w:firstLine="720"/>
                    <w:contextualSpacing/>
                    <w:jc w:val="both"/>
                    <w:rPr>
                      <w:szCs w:val="22"/>
                    </w:rPr>
                  </w:pPr>
                  <w:r>
                    <w:rPr>
                      <w:szCs w:val="22"/>
                    </w:rPr>
                    <w:t>ΔT</w:t>
                  </w:r>
                  <w:r>
                    <w:rPr>
                      <w:szCs w:val="22"/>
                      <w:vertAlign w:val="subscript"/>
                    </w:rPr>
                    <w:t>g, t-2</w:t>
                  </w:r>
                  <w:r>
                    <w:rPr>
                      <w:szCs w:val="22"/>
                    </w:rPr>
                    <w:t xml:space="preserve"> – </w:t>
                  </w:r>
                  <w:r>
                    <w:rPr>
                      <w:i/>
                      <w:iCs/>
                      <w:szCs w:val="22"/>
                    </w:rPr>
                    <w:t>t-2</w:t>
                  </w:r>
                  <w:r>
                    <w:rPr>
                      <w:szCs w:val="22"/>
                    </w:rPr>
                    <w:t xml:space="preserve"> metų faktinės elektros energijos įsigijimo kainos ir prognozuotos elektros energijos įsigijimo kainos skirtumas, EUR/kWh;</w:t>
                  </w:r>
                </w:p>
                <w:p>
                  <w:pPr>
                    <w:ind w:firstLine="720"/>
                    <w:contextualSpacing/>
                    <w:jc w:val="both"/>
                    <w:rPr>
                      <w:szCs w:val="22"/>
                    </w:rPr>
                  </w:pPr>
                  <w:r>
                    <w:rPr>
                      <w:szCs w:val="22"/>
                    </w:rPr>
                    <w:t>T’</w:t>
                  </w:r>
                  <w:r>
                    <w:rPr>
                      <w:szCs w:val="22"/>
                      <w:vertAlign w:val="subscript"/>
                    </w:rPr>
                    <w:t>vt, t</w:t>
                  </w:r>
                  <w:r>
                    <w:rPr>
                      <w:szCs w:val="22"/>
                    </w:rPr>
                    <w:t xml:space="preserve"> – elektros energijos visuomeninio tiekimo paslaugos kainos viršutinė riba </w:t>
                  </w:r>
                  <w:r>
                    <w:rPr>
                      <w:i/>
                      <w:iCs/>
                      <w:szCs w:val="22"/>
                    </w:rPr>
                    <w:t xml:space="preserve">t </w:t>
                  </w:r>
                  <w:r>
                    <w:rPr>
                      <w:szCs w:val="22"/>
                    </w:rPr>
                    <w:t>metais, EUR/kWh;</w:t>
                  </w:r>
                </w:p>
                <w:p>
                  <w:pPr>
                    <w:ind w:firstLine="720"/>
                    <w:contextualSpacing/>
                    <w:jc w:val="both"/>
                    <w:rPr>
                      <w:bCs/>
                      <w:szCs w:val="22"/>
                    </w:rPr>
                  </w:pPr>
                  <w:r>
                    <w:rPr>
                      <w:bCs/>
                      <w:szCs w:val="22"/>
                    </w:rPr>
                    <w:t>T’</w:t>
                  </w:r>
                  <w:r>
                    <w:rPr>
                      <w:bCs/>
                      <w:szCs w:val="22"/>
                      <w:vertAlign w:val="subscript"/>
                    </w:rPr>
                    <w:t>(110), t</w:t>
                  </w:r>
                  <w:r>
                    <w:rPr>
                      <w:bCs/>
                      <w:szCs w:val="22"/>
                    </w:rPr>
                    <w:t xml:space="preserve"> – elektros energijos perdavimo AĮ tinklais paslaugos kainos viršutinė riba </w:t>
                  </w:r>
                  <w:r>
                    <w:rPr>
                      <w:bCs/>
                      <w:i/>
                      <w:iCs/>
                      <w:szCs w:val="22"/>
                    </w:rPr>
                    <w:t xml:space="preserve">t </w:t>
                  </w:r>
                  <w:r>
                    <w:rPr>
                      <w:bCs/>
                      <w:szCs w:val="22"/>
                    </w:rPr>
                    <w:t>metais, EUR/kWh;</w:t>
                  </w:r>
                </w:p>
                <w:p>
                  <w:pPr>
                    <w:ind w:firstLine="720"/>
                    <w:contextualSpacing/>
                    <w:jc w:val="both"/>
                    <w:rPr>
                      <w:bCs/>
                      <w:szCs w:val="22"/>
                    </w:rPr>
                  </w:pPr>
                  <w:r>
                    <w:rPr>
                      <w:bCs/>
                      <w:szCs w:val="22"/>
                    </w:rPr>
                    <w:t>T’</w:t>
                  </w:r>
                  <w:r>
                    <w:rPr>
                      <w:bCs/>
                      <w:szCs w:val="22"/>
                      <w:vertAlign w:val="subscript"/>
                    </w:rPr>
                    <w:t>(10), t</w:t>
                  </w:r>
                  <w:r>
                    <w:rPr>
                      <w:bCs/>
                      <w:szCs w:val="22"/>
                    </w:rPr>
                    <w:t xml:space="preserve"> – elektros energijos skirstymo paslaugos VĮ tinklais kainos viršutinė riba </w:t>
                  </w:r>
                  <w:r>
                    <w:rPr>
                      <w:bCs/>
                      <w:i/>
                      <w:iCs/>
                      <w:szCs w:val="22"/>
                    </w:rPr>
                    <w:t xml:space="preserve">t </w:t>
                  </w:r>
                  <w:r>
                    <w:rPr>
                      <w:bCs/>
                      <w:szCs w:val="22"/>
                    </w:rPr>
                    <w:t>metais, EUR/kWh;</w:t>
                  </w:r>
                </w:p>
                <w:p>
                  <w:pPr>
                    <w:ind w:firstLine="720"/>
                    <w:contextualSpacing/>
                    <w:jc w:val="both"/>
                    <w:rPr>
                      <w:szCs w:val="22"/>
                    </w:rPr>
                  </w:pPr>
                  <w:r>
                    <w:rPr>
                      <w:bCs/>
                      <w:szCs w:val="22"/>
                    </w:rPr>
                    <w:t>T’</w:t>
                  </w:r>
                  <w:r>
                    <w:rPr>
                      <w:bCs/>
                      <w:szCs w:val="22"/>
                      <w:vertAlign w:val="subscript"/>
                    </w:rPr>
                    <w:t>(04), t</w:t>
                  </w:r>
                  <w:r>
                    <w:rPr>
                      <w:bCs/>
                      <w:szCs w:val="22"/>
                    </w:rPr>
                    <w:t xml:space="preserve"> – elektros energijos skirstymo paslaugos ŽĮ tinklais kainos viršutinė riba, t metais, EUR/kWh, 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w:t>
                  </w:r>
                </w:p>
                <w:p>
                  <w:pPr>
                    <w:ind w:firstLine="720"/>
                    <w:contextualSpacing/>
                    <w:jc w:val="both"/>
                    <w:rPr>
                      <w:szCs w:val="22"/>
                    </w:rPr>
                  </w:pPr>
                  <w:r>
                    <w:rPr>
                      <w:szCs w:val="22"/>
                    </w:rPr>
                    <w:t>T</w:t>
                  </w:r>
                  <w:r>
                    <w:rPr>
                      <w:szCs w:val="22"/>
                      <w:vertAlign w:val="subscript"/>
                    </w:rPr>
                    <w:t xml:space="preserve">sis, t </w:t>
                  </w:r>
                  <w:r>
                    <w:rPr>
                      <w:szCs w:val="22"/>
                    </w:rPr>
                    <w:t xml:space="preserve">– elektros energijos sisteminių paslaugų kaina, apskaičiuota vadovaujantis 2012 m. liepos 27 d. Komisijos nutarimu Nr. O3-200 „Dėl Elektros energijos sisteminių paslaugų kainos nustatymo metodikos patvirtinimo“ patvirtinta Elektros energijos sisteminių paslaugų kainos nustatymo metodika, </w:t>
                  </w:r>
                  <w:r>
                    <w:rPr>
                      <w:i/>
                      <w:iCs/>
                      <w:szCs w:val="22"/>
                    </w:rPr>
                    <w:t xml:space="preserve">t </w:t>
                  </w:r>
                  <w:r>
                    <w:rPr>
                      <w:szCs w:val="22"/>
                    </w:rPr>
                    <w:t>metais, EUR/kWh;</w:t>
                  </w:r>
                </w:p>
                <w:p>
                  <w:pPr>
                    <w:ind w:firstLine="720"/>
                    <w:contextualSpacing/>
                    <w:jc w:val="both"/>
                    <w:rPr>
                      <w:szCs w:val="24"/>
                      <w:lang w:eastAsia="lt-LT"/>
                    </w:rPr>
                  </w:pPr>
                  <w:r>
                    <w:rPr>
                      <w:szCs w:val="22"/>
                    </w:rPr>
                    <w:t>T</w:t>
                  </w:r>
                  <w:r>
                    <w:rPr>
                      <w:szCs w:val="22"/>
                      <w:vertAlign w:val="subscript"/>
                    </w:rPr>
                    <w:t>viap, t</w:t>
                  </w:r>
                  <w:r>
                    <w:rPr>
                      <w:szCs w:val="22"/>
                    </w:rPr>
                    <w:t xml:space="preserve"> – elektros energijos viešuosius interesus atitinkančių paslaugų kaina, apskaičiuota vadovaujantis 2012 m. rugsėjo 28 d. Komisijos nutarimu Nr. O3-279 „Dėl Viešuosius interesus atitinkančių paslaugų elektros energetikos sektoriuje kainos nustatymo metodikos patvirtinimo“ patvirtinta Viešuosius interesus atitinkančių paslaugų elektros energetikos sektoriuje kainos nustatymo metodika, </w:t>
                  </w:r>
                  <w:r>
                    <w:rPr>
                      <w:i/>
                      <w:iCs/>
                      <w:szCs w:val="22"/>
                    </w:rPr>
                    <w:t xml:space="preserve">t </w:t>
                  </w:r>
                  <w:r>
                    <w:rPr>
                      <w:szCs w:val="22"/>
                    </w:rPr>
                    <w:t xml:space="preserve">metais, EUR/kWh.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64650190e11e68eb0b4a9a30fc97f">
                    <w:r w:rsidRPr="00532B9F">
                      <w:rPr>
                        <w:rFonts w:ascii="Times New Roman" w:eastAsia="MS Mincho" w:hAnsi="Times New Roman"/>
                        <w:sz w:val="20"/>
                        <w:i/>
                        <w:iCs/>
                        <w:color w:val="0000FF" w:themeColor="hyperlink"/>
                        <w:u w:val="single"/>
                      </w:rPr>
                      <w:t>O3-122</w:t>
                    </w:r>
                  </w:fldSimple>
                  <w:r>
                    <w:rPr>
                      <w:rFonts w:ascii="Times New Roman" w:eastAsia="MS Mincho" w:hAnsi="Times New Roman"/>
                      <w:sz w:val="20"/>
                      <w:i/>
                      <w:iCs/>
                    </w:rPr>
                    <w:t>,
2016-05-13,
paskelbta TAR 2016-05-13, i. k. 2016-12616            </w:t>
                  </w:r>
                </w:p>
                <w:p/>
              </w:sdtContent>
            </w:sdt>
            <w:sdt>
              <w:sdtPr>
                <w:alias w:val="108 p."/>
                <w:tag w:val="part_5d22d755bd5b4ae89af41af36abc2135"/>
                <w:lock w:val="sdtLocked"/>
                <w:richText/>
              </w:sdtPr>
              <w:sdtContent>
                <w:p>
                  <w:pPr>
                    <w:tabs>
                      <w:tab w:val="left" w:pos="1260"/>
                      <w:tab w:val="left" w:pos="1843"/>
                      <w:tab w:val="left" w:pos="2268"/>
                    </w:tabs>
                    <w:ind w:right="-1" w:firstLine="720"/>
                    <w:jc w:val="both"/>
                    <w:rPr>
                      <w:szCs w:val="24"/>
                    </w:rPr>
                  </w:pPr>
                  <w:sdt>
                    <w:sdtPr>
                      <w:alias w:val="Numeris"/>
                      <w:tag w:val="nr_5d22d755bd5b4ae89af41af36abc2135"/>
                      <w:lock w:val="sdtLocked"/>
                      <w:richText/>
                    </w:sdtPr>
                    <w:sdtContent>
                      <w:r>
                        <w:rPr>
                          <w:szCs w:val="24"/>
                        </w:rPr>
                        <w:t>108</w:t>
                      </w:r>
                    </w:sdtContent>
                  </w:sdt>
                  <w:r>
                    <w:rPr>
                      <w:szCs w:val="24"/>
                    </w:rPr>
                    <w:t>. Elektros energijos įsigijimo kainos bei prognozuotos ir faktinės elektros energijos įsigijimo kainos skirtumas nustatomas remiantis paslaugos teikėjo pateiktų faktinių ir prognozuotų duomenų analize. Jei Įmonė įsigijo ar planuoja įsigyti elektros energiją brangiau nei galima pagal objektyvią situaciją rinkoje, Komisijos motyvuotu sprendimu dalis elektros energijos kaštų neįskaičiuojama į visuomeninės elektros energijos kainos viršutinę ribą.</w:t>
                  </w:r>
                </w:p>
              </w:sdtContent>
            </w:sdt>
            <w:sdt>
              <w:sdtPr>
                <w:alias w:val="109 p."/>
                <w:tag w:val="part_20bcc833610d4eb6a949e1f4e99bd21a"/>
                <w:lock w:val="sdtLocked"/>
                <w:richText/>
              </w:sdtPr>
              <w:sdtContent>
                <w:p>
                  <w:pPr>
                    <w:tabs>
                      <w:tab w:val="left" w:pos="1260"/>
                      <w:tab w:val="left" w:pos="1843"/>
                      <w:tab w:val="left" w:pos="2268"/>
                    </w:tabs>
                    <w:ind w:right="-1" w:firstLine="720"/>
                    <w:jc w:val="both"/>
                    <w:rPr>
                      <w:szCs w:val="24"/>
                    </w:rPr>
                  </w:pPr>
                  <w:sdt>
                    <w:sdtPr>
                      <w:alias w:val="Numeris"/>
                      <w:tag w:val="nr_20bcc833610d4eb6a949e1f4e99bd21a"/>
                      <w:lock w:val="sdtLocked"/>
                      <w:richText/>
                    </w:sdtPr>
                    <w:sdtContent>
                      <w:r>
                        <w:rPr>
                          <w:szCs w:val="24"/>
                        </w:rPr>
                        <w:t>109</w:t>
                      </w:r>
                    </w:sdtContent>
                  </w:sdt>
                  <w:r>
                    <w:rPr>
                      <w:szCs w:val="24"/>
                    </w:rPr>
                    <w:t xml:space="preserve">. Komisijos sprendimu įvertinamas prognozuotos elektros energijos įsigijimo kainos ir faktinės elektros energijos įsigijimo kainos, kurią faktiškai mokėjo visuomeninis tiekėjas, skirtumas kainos galiojimo laikotarpiui </w:t>
                  </w:r>
                  <w:r>
                    <w:rPr>
                      <w:i/>
                      <w:szCs w:val="24"/>
                    </w:rPr>
                    <w:t>t-2</w:t>
                  </w:r>
                  <w:r>
                    <w:rPr>
                      <w:szCs w:val="24"/>
                    </w:rPr>
                    <w:t xml:space="preserve"> ir apskaičiuojamas pagal formulę:</w:t>
                  </w:r>
                </w:p>
                <w:p>
                  <w:pPr>
                    <w:tabs>
                      <w:tab w:val="left" w:pos="1260"/>
                      <w:tab w:val="left" w:pos="1843"/>
                      <w:tab w:val="left" w:pos="2268"/>
                    </w:tabs>
                    <w:ind w:right="-1"/>
                    <w:jc w:val="both"/>
                    <w:rPr>
                      <w:szCs w:val="24"/>
                    </w:rPr>
                  </w:pPr>
                </w:p>
                <w:p>
                  <w:pPr>
                    <w:tabs>
                      <w:tab w:val="left" w:pos="9214"/>
                    </w:tabs>
                    <w:ind w:right="-1"/>
                    <w:jc w:val="both"/>
                    <w:rPr>
                      <w:szCs w:val="24"/>
                    </w:rPr>
                  </w:pPr>
                  <w:r>
                    <w:rPr>
                      <w:szCs w:val="24"/>
                      <w:lang w:eastAsia="lt-LT"/>
                    </w:rPr>
                    <w:drawing>
                      <wp:inline distT="0" distB="0" distL="0" distR="0">
                        <wp:extent cx="2076450" cy="476250"/>
                        <wp:effectExtent l="0" t="0" r="0" b="0"/>
                        <wp:docPr id="11" name="Paveikslėlis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76450" cy="476250"/>
                                </a:xfrm>
                                <a:prstGeom prst="rect">
                                  <a:avLst/>
                                </a:prstGeom>
                                <a:noFill/>
                              </pic:spPr>
                            </pic:pic>
                          </a:graphicData>
                        </a:graphic>
                      </wp:inline>
                    </w:drawing>
                  </w:r>
                  <w:r>
                    <w:rPr>
                      <w:szCs w:val="24"/>
                    </w:rPr>
                    <w:tab/>
                    <w:t>(66)</w:t>
                  </w:r>
                </w:p>
                <w:p>
                  <w:pPr>
                    <w:tabs>
                      <w:tab w:val="left" w:pos="1134"/>
                      <w:tab w:val="left" w:pos="1843"/>
                      <w:tab w:val="left" w:pos="2268"/>
                    </w:tabs>
                    <w:jc w:val="both"/>
                    <w:rPr>
                      <w:szCs w:val="24"/>
                    </w:rPr>
                  </w:pPr>
                </w:p>
                <w:p>
                  <w:pPr>
                    <w:tabs>
                      <w:tab w:val="left" w:pos="1134"/>
                      <w:tab w:val="left" w:pos="1843"/>
                      <w:tab w:val="left" w:pos="2268"/>
                      <w:tab w:val="left" w:pos="7240"/>
                    </w:tabs>
                    <w:suppressAutoHyphens/>
                    <w:jc w:val="both"/>
                    <w:rPr>
                      <w:i/>
                      <w:szCs w:val="24"/>
                      <w:lang w:eastAsia="lt-LT"/>
                    </w:rPr>
                  </w:pPr>
                  <w:r>
                    <w:rPr>
                      <w:i/>
                      <w:szCs w:val="24"/>
                      <w:lang w:eastAsia="lt-LT"/>
                    </w:rPr>
                    <w:t>čia:</w:t>
                  </w:r>
                </w:p>
                <w:p>
                  <w:pPr>
                    <w:tabs>
                      <w:tab w:val="left" w:pos="1134"/>
                      <w:tab w:val="left" w:pos="1843"/>
                      <w:tab w:val="left" w:pos="2268"/>
                    </w:tabs>
                    <w:jc w:val="both"/>
                    <w:rPr>
                      <w:bCs/>
                      <w:szCs w:val="24"/>
                      <w:lang w:eastAsia="lt-LT"/>
                    </w:rPr>
                  </w:pPr>
                  <w:r>
                    <w:rPr>
                      <w:bCs/>
                      <w:szCs w:val="24"/>
                      <w:lang w:eastAsia="lt-LT"/>
                    </w:rPr>
                    <w:t>ΔT</w:t>
                  </w:r>
                  <w:r>
                    <w:rPr>
                      <w:bCs/>
                      <w:szCs w:val="24"/>
                      <w:vertAlign w:val="subscript"/>
                      <w:lang w:eastAsia="lt-LT"/>
                    </w:rPr>
                    <w:t>g,t-2</w:t>
                  </w:r>
                  <w:r>
                    <w:rPr>
                      <w:bCs/>
                      <w:szCs w:val="24"/>
                      <w:lang w:eastAsia="lt-LT"/>
                    </w:rPr>
                    <w:t xml:space="preserve"> – </w:t>
                  </w:r>
                  <w:r>
                    <w:rPr>
                      <w:bCs/>
                      <w:i/>
                      <w:szCs w:val="24"/>
                      <w:lang w:eastAsia="lt-LT"/>
                    </w:rPr>
                    <w:t>t-2</w:t>
                  </w:r>
                  <w:r>
                    <w:rPr>
                      <w:bCs/>
                      <w:szCs w:val="24"/>
                      <w:lang w:eastAsia="lt-LT"/>
                    </w:rPr>
                    <w:t xml:space="preserve"> metų faktinės elektros energijos įsigijimo kainos ir prognozuotos elektros energijos įsigijimo kainos skirtumas, EUR/kWh;</w:t>
                  </w:r>
                </w:p>
                <w:p>
                  <w:pPr>
                    <w:tabs>
                      <w:tab w:val="left" w:pos="1134"/>
                      <w:tab w:val="left" w:pos="1843"/>
                      <w:tab w:val="left" w:pos="2268"/>
                    </w:tabs>
                    <w:jc w:val="both"/>
                    <w:rPr>
                      <w:bCs/>
                      <w:szCs w:val="24"/>
                      <w:lang w:eastAsia="lt-LT"/>
                    </w:rPr>
                  </w:pPr>
                  <w:r>
                    <w:rPr>
                      <w:bCs/>
                      <w:szCs w:val="24"/>
                      <w:lang w:eastAsia="lt-LT"/>
                    </w:rPr>
                    <w:t>T</w:t>
                  </w:r>
                  <w:r>
                    <w:rPr>
                      <w:bCs/>
                      <w:szCs w:val="24"/>
                      <w:vertAlign w:val="subscript"/>
                      <w:lang w:eastAsia="lt-LT"/>
                    </w:rPr>
                    <w:t>g,t-2</w:t>
                  </w:r>
                  <w:r>
                    <w:rPr>
                      <w:bCs/>
                      <w:szCs w:val="24"/>
                      <w:lang w:eastAsia="lt-LT"/>
                    </w:rPr>
                    <w:t xml:space="preserve"> – </w:t>
                  </w:r>
                  <w:r>
                    <w:rPr>
                      <w:bCs/>
                      <w:i/>
                      <w:szCs w:val="24"/>
                      <w:lang w:eastAsia="lt-LT"/>
                    </w:rPr>
                    <w:t>t-2</w:t>
                  </w:r>
                  <w:r>
                    <w:rPr>
                      <w:bCs/>
                      <w:szCs w:val="24"/>
                      <w:lang w:eastAsia="lt-LT"/>
                    </w:rPr>
                    <w:t xml:space="preserve"> metams nustatyta elektros energijos įsigijimo kaina, EUR/kWh;</w:t>
                  </w:r>
                </w:p>
                <w:p>
                  <w:pPr>
                    <w:tabs>
                      <w:tab w:val="left" w:pos="1134"/>
                      <w:tab w:val="left" w:pos="1843"/>
                      <w:tab w:val="left" w:pos="2268"/>
                    </w:tabs>
                    <w:jc w:val="both"/>
                    <w:rPr>
                      <w:szCs w:val="24"/>
                    </w:rPr>
                  </w:pPr>
                  <w:r>
                    <w:rPr>
                      <w:iCs/>
                      <w:szCs w:val="24"/>
                    </w:rPr>
                    <w:t>T</w:t>
                  </w:r>
                  <w:r>
                    <w:rPr>
                      <w:iCs/>
                      <w:szCs w:val="24"/>
                      <w:vertAlign w:val="subscript"/>
                    </w:rPr>
                    <w:t>g,t</w:t>
                  </w:r>
                  <w:r>
                    <w:rPr>
                      <w:szCs w:val="24"/>
                      <w:vertAlign w:val="subscript"/>
                    </w:rPr>
                    <w:t xml:space="preserve">-2,f </w:t>
                  </w:r>
                  <w:r>
                    <w:rPr>
                      <w:szCs w:val="24"/>
                    </w:rPr>
                    <w:t>– faktinė elektros energijos įsigijimo kaina nustatyta</w:t>
                  </w:r>
                  <w:r>
                    <w:rPr>
                      <w:i/>
                      <w:iCs/>
                      <w:szCs w:val="24"/>
                    </w:rPr>
                    <w:t xml:space="preserve"> </w:t>
                  </w:r>
                  <w:r>
                    <w:rPr>
                      <w:szCs w:val="24"/>
                    </w:rPr>
                    <w:t>jos galiojimo laikotarpiui</w:t>
                  </w:r>
                  <w:r>
                    <w:rPr>
                      <w:i/>
                      <w:iCs/>
                      <w:szCs w:val="24"/>
                    </w:rPr>
                    <w:t xml:space="preserve"> t</w:t>
                  </w:r>
                  <w:r>
                    <w:rPr>
                      <w:i/>
                      <w:szCs w:val="24"/>
                    </w:rPr>
                    <w:t>-2</w:t>
                  </w:r>
                  <w:r>
                    <w:rPr>
                      <w:szCs w:val="24"/>
                    </w:rPr>
                    <w:t xml:space="preserve">, </w:t>
                  </w:r>
                  <w:r>
                    <w:rPr>
                      <w:szCs w:val="24"/>
                      <w:lang w:eastAsia="lt-LT"/>
                    </w:rPr>
                    <w:t>EUR</w:t>
                  </w:r>
                  <w:r>
                    <w:rPr>
                      <w:szCs w:val="24"/>
                    </w:rPr>
                    <w:t>/kWh;</w:t>
                  </w:r>
                </w:p>
                <w:p>
                  <w:pPr>
                    <w:tabs>
                      <w:tab w:val="left" w:pos="1134"/>
                      <w:tab w:val="left" w:pos="1843"/>
                      <w:tab w:val="left" w:pos="2268"/>
                    </w:tabs>
                    <w:jc w:val="both"/>
                    <w:rPr>
                      <w:szCs w:val="24"/>
                    </w:rPr>
                  </w:pPr>
                  <w:r>
                    <w:rPr>
                      <w:szCs w:val="24"/>
                    </w:rPr>
                    <w:t>E</w:t>
                  </w:r>
                  <w:r>
                    <w:rPr>
                      <w:szCs w:val="24"/>
                      <w:vertAlign w:val="subscript"/>
                    </w:rPr>
                    <w:t>vt,t</w:t>
                  </w:r>
                  <w:r>
                    <w:rPr>
                      <w:szCs w:val="24"/>
                    </w:rPr>
                    <w:t xml:space="preserve"> – visuomeninio tiekėjo prognozuojamas parduoti elektros energijos kiekis </w:t>
                  </w:r>
                  <w:r>
                    <w:rPr>
                      <w:i/>
                      <w:szCs w:val="24"/>
                    </w:rPr>
                    <w:t xml:space="preserve">t </w:t>
                  </w:r>
                  <w:r>
                    <w:rPr>
                      <w:szCs w:val="24"/>
                    </w:rPr>
                    <w:t>metais, kWh;</w:t>
                  </w:r>
                </w:p>
                <w:p>
                  <w:pPr>
                    <w:tabs>
                      <w:tab w:val="left" w:pos="1134"/>
                      <w:tab w:val="left" w:pos="1843"/>
                      <w:tab w:val="left" w:pos="2268"/>
                    </w:tabs>
                    <w:jc w:val="both"/>
                    <w:rPr>
                      <w:szCs w:val="24"/>
                    </w:rPr>
                  </w:pPr>
                  <w:r>
                    <w:rPr>
                      <w:szCs w:val="24"/>
                    </w:rPr>
                    <w:t>E</w:t>
                  </w:r>
                  <w:r>
                    <w:rPr>
                      <w:szCs w:val="24"/>
                      <w:vertAlign w:val="subscript"/>
                    </w:rPr>
                    <w:t>vt,t-2</w:t>
                  </w:r>
                  <w:r>
                    <w:rPr>
                      <w:szCs w:val="24"/>
                    </w:rPr>
                    <w:t xml:space="preserve"> – </w:t>
                  </w:r>
                  <w:r>
                    <w:rPr>
                      <w:i/>
                      <w:szCs w:val="24"/>
                    </w:rPr>
                    <w:t>t-2</w:t>
                  </w:r>
                  <w:r>
                    <w:rPr>
                      <w:szCs w:val="24"/>
                    </w:rPr>
                    <w:t xml:space="preserve"> metams visuomeninio tiekėjo prognozuotas parduoti elektros energijos kiekis , kWh.</w:t>
                  </w:r>
                </w:p>
              </w:sdtContent>
            </w:sdt>
            <w:sdt>
              <w:sdtPr>
                <w:alias w:val="110 p."/>
                <w:tag w:val="part_dc233177956d47df8fee2c653947e98b"/>
                <w:lock w:val="sdtLocked"/>
                <w:richText/>
              </w:sdtPr>
              <w:sdtContent>
                <w:p>
                  <w:pPr>
                    <w:tabs>
                      <w:tab w:val="left" w:pos="1134"/>
                    </w:tabs>
                    <w:ind w:firstLine="709"/>
                    <w:jc w:val="both"/>
                    <w:rPr>
                      <w:szCs w:val="24"/>
                    </w:rPr>
                  </w:pPr>
                  <w:sdt>
                    <w:sdtPr>
                      <w:alias w:val="Numeris"/>
                      <w:tag w:val="nr_dc233177956d47df8fee2c653947e98b"/>
                      <w:lock w:val="sdtLocked"/>
                      <w:richText/>
                    </w:sdtPr>
                    <w:sdtContent>
                      <w:r>
                        <w:rPr>
                          <w:szCs w:val="24"/>
                        </w:rPr>
                        <w:t>110</w:t>
                      </w:r>
                    </w:sdtContent>
                  </w:sdt>
                  <w:r>
                    <w:rPr>
                      <w:szCs w:val="24"/>
                    </w:rPr>
                    <w:t>. Komisijos motyvuotu sprendimu dalis elektros energijos įsigijimo kaštų, numatytų sutartyse, neįtraukiami, jei jie didesni nei galimi rinkoje, įvertinus objektyvias aplinkybes. Rinkos sąlygomis, susiformavusiomis elektros energijos įsigijimo sąnaudomis laikomos sąnaudos, kurios būtų patirtos elektros energiją įsigyjant elektros energijos biržoje, įskaitant visus mokesčius, kurie yra būtini perkant elektros energiją biržoje.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1 p."/>
                <w:tag w:val="part_ff5be40492364ee9af845701df951c7a"/>
                <w:lock w:val="sdtLocked"/>
                <w:richText/>
              </w:sdtPr>
              <w:sdtContent>
                <w:p>
                  <w:pPr>
                    <w:tabs>
                      <w:tab w:val="left" w:pos="1260"/>
                      <w:tab w:val="left" w:pos="1843"/>
                      <w:tab w:val="left" w:pos="2268"/>
                    </w:tabs>
                    <w:ind w:firstLine="720"/>
                    <w:jc w:val="both"/>
                  </w:pPr>
                  <w:sdt>
                    <w:sdtPr>
                      <w:alias w:val="Numeris"/>
                      <w:tag w:val="nr_ff5be40492364ee9af845701df951c7a"/>
                      <w:lock w:val="sdtLocked"/>
                      <w:richText/>
                    </w:sdtPr>
                    <w:sdtContent>
                      <w:r>
                        <w:rPr>
                          <w:szCs w:val="24"/>
                        </w:rPr>
                        <w:t>111</w:t>
                      </w:r>
                    </w:sdtContent>
                  </w:sdt>
                  <w:r>
                    <w:rPr>
                      <w:szCs w:val="24"/>
                    </w:rPr>
                    <w:t>. Komisijos motyvuotu sprendimu visuomeninio tiekimo paslaugų kainos viršutinės ribos gali būti koreguojamos skirtumu tarp visuomeninio tiekėjo garantiniam elektros energijos tiekimui vykdyti patirtų kaštų ir iš garantinio elektros energijos tiekimo gautų pajamų.</w:t>
                  </w:r>
                  <w:r>
                    <w:t xml:space="preserve">   </w:t>
                  </w:r>
                </w:p>
              </w:sdtContent>
            </w:sdt>
            <w:sdt>
              <w:sdtPr>
                <w:alias w:val="111-1 p."/>
                <w:tag w:val="part_8affc7e6c50c46268cdeebea479eccaa"/>
                <w:lock w:val="sdtLocked"/>
                <w:richText/>
              </w:sdtPr>
              <w:sdtContent>
                <w:p>
                  <w:pPr>
                    <w:tabs>
                      <w:tab w:val="left" w:pos="1134"/>
                    </w:tabs>
                    <w:ind w:firstLine="709"/>
                    <w:jc w:val="both"/>
                    <w:rPr>
                      <w:szCs w:val="24"/>
                    </w:rPr>
                  </w:pPr>
                  <w:sdt>
                    <w:sdtPr>
                      <w:alias w:val="Numeris"/>
                      <w:tag w:val="nr_8affc7e6c50c46268cdeebea479eccaa"/>
                      <w:lock w:val="sdtLocked"/>
                      <w:richText/>
                    </w:sdtPr>
                    <w:sdtContent>
                      <w:r>
                        <w:rPr>
                          <w:szCs w:val="24"/>
                        </w:rPr>
                        <w:t>111</w:t>
                      </w:r>
                      <w:r>
                        <w:rPr>
                          <w:szCs w:val="24"/>
                          <w:vertAlign w:val="superscript"/>
                        </w:rPr>
                        <w:t>1</w:t>
                      </w:r>
                    </w:sdtContent>
                  </w:sdt>
                  <w:r>
                    <w:rPr>
                      <w:szCs w:val="24"/>
                    </w:rPr>
                    <w:t>. Prognozuojama elektros energijos įsigijimo kaina nustatoma kaip prognozuojamos įsigyti elektros energijos kiekio ir kainos sandauga, įskaitant balansavimo energijos sąnaudas, kurios negali būti didesnės nei 4 proc. nuo visų elektros energijos įsigijimo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skyrius"/>
            <w:tag w:val="part_91062acbbca44a6d933028739b86585d"/>
            <w:lock w:val="sdtLocked"/>
            <w:richText/>
          </w:sdtPr>
          <w:sdtContent>
            <w:p>
              <w:pPr>
                <w:tabs>
                  <w:tab w:val="left" w:pos="1134"/>
                  <w:tab w:val="left" w:pos="1843"/>
                  <w:tab w:val="left" w:pos="2268"/>
                </w:tabs>
                <w:suppressAutoHyphens/>
                <w:jc w:val="center"/>
                <w:textAlignment w:val="center"/>
                <w:rPr>
                  <w:b/>
                  <w:szCs w:val="24"/>
                </w:rPr>
              </w:pPr>
              <w:sdt>
                <w:sdtPr>
                  <w:alias w:val="Numeris"/>
                  <w:tag w:val="nr_91062acbbca44a6d933028739b86585d"/>
                  <w:lock w:val="sdtLocked"/>
                  <w:richText/>
                </w:sdtPr>
                <w:sdtContent>
                  <w:r>
                    <w:rPr>
                      <w:b/>
                      <w:szCs w:val="24"/>
                    </w:rPr>
                    <w:t>VII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91062acbbca44a6d933028739b86585d"/>
                  <w:lock w:val="sdtLocked"/>
                  <w:richText/>
                </w:sdtPr>
                <w:sdtContent>
                  <w:r>
                    <w:rPr>
                      <w:b/>
                      <w:szCs w:val="24"/>
                    </w:rPr>
                    <w:t>REIKALAVIMAI, SUSIJĘ SU ĮMONIŲ REGULIUOJAMŲ VEIKLŲ KAINŲ IR KAINŲ VIRŠUTINIŲ RIBŲ NUSTATYMU</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12 p."/>
                <w:tag w:val="part_5322b193481a4986a9e46d15c530740a"/>
                <w:lock w:val="sdtLocked"/>
                <w:richText/>
              </w:sdtPr>
              <w:sdtContent>
                <w:p>
                  <w:pPr>
                    <w:tabs>
                      <w:tab w:val="left" w:pos="1260"/>
                      <w:tab w:val="left" w:pos="1843"/>
                      <w:tab w:val="left" w:pos="2268"/>
                    </w:tabs>
                    <w:ind w:firstLine="720"/>
                    <w:jc w:val="both"/>
                    <w:rPr>
                      <w:szCs w:val="24"/>
                    </w:rPr>
                  </w:pPr>
                  <w:sdt>
                    <w:sdtPr>
                      <w:alias w:val="Numeris"/>
                      <w:tag w:val="nr_5322b193481a4986a9e46d15c530740a"/>
                      <w:lock w:val="sdtLocked"/>
                      <w:richText/>
                    </w:sdtPr>
                    <w:sdtContent>
                      <w:r>
                        <w:rPr>
                          <w:szCs w:val="24"/>
                        </w:rPr>
                        <w:t>112</w:t>
                      </w:r>
                    </w:sdtContent>
                  </w:sdt>
                  <w:r>
                    <w:rPr>
                      <w:szCs w:val="24"/>
                    </w:rPr>
                    <w:t>. Elektros energijos visuomeninis tiekėjas nustato elektros energijos visuomeninio tiekimo paslaugos kainą (tarifų svertinį vidurkį), lygią arba nedidesnę nei elektros energijos visuomeninio tiekimo paslaugos kainos viršutinė riba.</w:t>
                  </w:r>
                </w:p>
              </w:sdtContent>
            </w:sdt>
            <w:sdt>
              <w:sdtPr>
                <w:alias w:val="113 p."/>
                <w:tag w:val="part_1c3f88dd24c04aa3bd490abd485f5f4c"/>
                <w:lock w:val="sdtLocked"/>
                <w:richText/>
              </w:sdtPr>
              <w:sdtContent>
                <w:p>
                  <w:pPr>
                    <w:tabs>
                      <w:tab w:val="left" w:pos="1260"/>
                      <w:tab w:val="left" w:pos="1843"/>
                      <w:tab w:val="left" w:pos="2268"/>
                    </w:tabs>
                    <w:ind w:firstLine="720"/>
                    <w:jc w:val="both"/>
                    <w:rPr>
                      <w:szCs w:val="24"/>
                    </w:rPr>
                  </w:pPr>
                  <w:sdt>
                    <w:sdtPr>
                      <w:alias w:val="Numeris"/>
                      <w:tag w:val="nr_1c3f88dd24c04aa3bd490abd485f5f4c"/>
                      <w:lock w:val="sdtLocked"/>
                      <w:richText/>
                    </w:sdtPr>
                    <w:sdtContent>
                      <w:r>
                        <w:rPr>
                          <w:szCs w:val="24"/>
                        </w:rPr>
                        <w:t>113</w:t>
                      </w:r>
                    </w:sdtContent>
                  </w:sdt>
                  <w:r>
                    <w:rPr>
                      <w:szCs w:val="24"/>
                    </w:rPr>
                    <w:t>. PSO ir STO nustato elektros energijos perdavimo ir skirstymo kainas, neviršijančias jiems nustatytų kainų viršutinių ribų.</w:t>
                  </w:r>
                </w:p>
              </w:sdtContent>
            </w:sdt>
            <w:sdt>
              <w:sdtPr>
                <w:alias w:val="114 p."/>
                <w:tag w:val="part_b13e241518164bea8498fcf9fb9aca8e"/>
                <w:lock w:val="sdtLocked"/>
                <w:richText/>
              </w:sdtPr>
              <w:sdtContent>
                <w:p>
                  <w:pPr>
                    <w:tabs>
                      <w:tab w:val="left" w:pos="1260"/>
                      <w:tab w:val="left" w:pos="1843"/>
                      <w:tab w:val="left" w:pos="2268"/>
                    </w:tabs>
                    <w:ind w:firstLine="720"/>
                    <w:jc w:val="both"/>
                    <w:rPr>
                      <w:szCs w:val="24"/>
                    </w:rPr>
                  </w:pPr>
                  <w:sdt>
                    <w:sdtPr>
                      <w:alias w:val="Numeris"/>
                      <w:tag w:val="nr_b13e241518164bea8498fcf9fb9aca8e"/>
                      <w:lock w:val="sdtLocked"/>
                      <w:richText/>
                    </w:sdtPr>
                    <w:sdtContent>
                      <w:r>
                        <w:rPr>
                          <w:szCs w:val="24"/>
                        </w:rPr>
                        <w:t>114</w:t>
                      </w:r>
                    </w:sdtContent>
                  </w:sdt>
                  <w:r>
                    <w:rPr>
                      <w:szCs w:val="24"/>
                    </w:rPr>
                    <w:t>. Visuomeninę elektros energijos kainą ir tarifus apskaičiuoja ir nustato visuomeninis tiekėjas 6 kalendoriniams mėnesiams.</w:t>
                  </w:r>
                </w:p>
              </w:sdtContent>
            </w:sdt>
            <w:sdt>
              <w:sdtPr>
                <w:alias w:val="115 p."/>
                <w:tag w:val="part_0678709eeb3f48e686d3bccedd01e5b0"/>
                <w:lock w:val="sdtLocked"/>
                <w:richText/>
              </w:sdtPr>
              <w:sdtContent>
                <w:p>
                  <w:pPr>
                    <w:tabs>
                      <w:tab w:val="left" w:pos="1260"/>
                      <w:tab w:val="left" w:pos="1843"/>
                      <w:tab w:val="left" w:pos="2268"/>
                    </w:tabs>
                    <w:ind w:firstLine="720"/>
                    <w:jc w:val="both"/>
                    <w:rPr>
                      <w:szCs w:val="24"/>
                    </w:rPr>
                  </w:pPr>
                  <w:sdt>
                    <w:sdtPr>
                      <w:alias w:val="Numeris"/>
                      <w:tag w:val="nr_0678709eeb3f48e686d3bccedd01e5b0"/>
                      <w:lock w:val="sdtLocked"/>
                      <w:richText/>
                    </w:sdtPr>
                    <w:sdtContent>
                      <w:r>
                        <w:rPr>
                          <w:szCs w:val="24"/>
                        </w:rPr>
                        <w:t>115</w:t>
                      </w:r>
                    </w:sdtContent>
                  </w:sdt>
                  <w:r>
                    <w:rPr>
                      <w:szCs w:val="24"/>
                    </w:rPr>
                    <w:t xml:space="preserve">. Reguliuojamų paslaugų kainų viršutinėms riboms nustatyti Įmonė  iki rugsėjo 1 d. pateikia:</w:t>
                  </w:r>
                </w:p>
                <w:sdt>
                  <w:sdtPr>
                    <w:alias w:val="115.1 p."/>
                    <w:tag w:val="part_6d70b55309224d9dbc24c463cb9d622e"/>
                    <w:lock w:val="sdtLocked"/>
                    <w:richText/>
                  </w:sdtPr>
                  <w:sdtContent>
                    <w:p>
                      <w:pPr>
                        <w:tabs>
                          <w:tab w:val="left" w:pos="1440"/>
                          <w:tab w:val="left" w:pos="1843"/>
                          <w:tab w:val="left" w:pos="2268"/>
                        </w:tabs>
                        <w:ind w:firstLine="720"/>
                        <w:jc w:val="both"/>
                        <w:rPr>
                          <w:szCs w:val="24"/>
                        </w:rPr>
                      </w:pPr>
                      <w:sdt>
                        <w:sdtPr>
                          <w:alias w:val="Numeris"/>
                          <w:tag w:val="nr_6d70b55309224d9dbc24c463cb9d622e"/>
                          <w:lock w:val="sdtLocked"/>
                          <w:richText/>
                        </w:sdtPr>
                        <w:sdtContent>
                          <w:r>
                            <w:rPr>
                              <w:szCs w:val="24"/>
                            </w:rPr>
                            <w:t>115.1</w:t>
                          </w:r>
                        </w:sdtContent>
                      </w:sdt>
                      <w:r>
                        <w:rPr>
                          <w:szCs w:val="24"/>
                        </w:rPr>
                        <w:t>. PSO:</w:t>
                      </w:r>
                    </w:p>
                    <w:sdt>
                      <w:sdtPr>
                        <w:alias w:val="115.1.1 p."/>
                        <w:tag w:val="part_45293bc5d230476eb21f497949885b35"/>
                        <w:lock w:val="sdtLocked"/>
                        <w:richText/>
                      </w:sdtPr>
                      <w:sdtContent>
                        <w:p>
                          <w:pPr>
                            <w:tabs>
                              <w:tab w:val="left" w:pos="1620"/>
                              <w:tab w:val="left" w:pos="1843"/>
                              <w:tab w:val="left" w:pos="2268"/>
                            </w:tabs>
                            <w:ind w:firstLine="720"/>
                            <w:jc w:val="both"/>
                            <w:rPr>
                              <w:szCs w:val="24"/>
                            </w:rPr>
                          </w:pPr>
                          <w:sdt>
                            <w:sdtPr>
                              <w:alias w:val="Numeris"/>
                              <w:tag w:val="nr_45293bc5d230476eb21f497949885b35"/>
                              <w:lock w:val="sdtLocked"/>
                              <w:richText/>
                            </w:sdtPr>
                            <w:sdtContent>
                              <w:r>
                                <w:rPr>
                                  <w:szCs w:val="24"/>
                                </w:rPr>
                                <w:t>115.1.1</w:t>
                              </w:r>
                            </w:sdtContent>
                          </w:sdt>
                          <w:r>
                            <w:rPr>
                              <w:szCs w:val="24"/>
                            </w:rPr>
                            <w:t>. PSO Modelio techninių duomenų įvesties lenteles (Metodikos 11 priedas);</w:t>
                          </w:r>
                        </w:p>
                      </w:sdtContent>
                    </w:sdt>
                    <w:sdt>
                      <w:sdtPr>
                        <w:alias w:val="115.1.2 p."/>
                        <w:tag w:val="part_fbfe2e7503674615a3ecb3166b708ebd"/>
                        <w:lock w:val="sdtLocked"/>
                        <w:richText/>
                      </w:sdtPr>
                      <w:sdtContent>
                        <w:p>
                          <w:pPr>
                            <w:tabs>
                              <w:tab w:val="left" w:pos="1620"/>
                              <w:tab w:val="left" w:pos="1843"/>
                              <w:tab w:val="left" w:pos="2268"/>
                            </w:tabs>
                            <w:ind w:firstLine="720"/>
                            <w:jc w:val="both"/>
                            <w:rPr>
                              <w:szCs w:val="24"/>
                            </w:rPr>
                          </w:pPr>
                          <w:sdt>
                            <w:sdtPr>
                              <w:alias w:val="Numeris"/>
                              <w:tag w:val="nr_fbfe2e7503674615a3ecb3166b708ebd"/>
                              <w:lock w:val="sdtLocked"/>
                              <w:richText/>
                            </w:sdtPr>
                            <w:sdtContent>
                              <w:r>
                                <w:rPr>
                                  <w:szCs w:val="24"/>
                                </w:rPr>
                                <w:t>115.1.2</w:t>
                              </w:r>
                            </w:sdtContent>
                          </w:sdt>
                          <w:r>
                            <w:rPr>
                              <w:szCs w:val="24"/>
                            </w:rPr>
                            <w:t>. naujų investicijų ir naujų prijungimų duomenis (Metodikos 12 priedas);</w:t>
                          </w:r>
                        </w:p>
                      </w:sdtContent>
                    </w:sdt>
                    <w:sdt>
                      <w:sdtPr>
                        <w:alias w:val="115.1.3 p."/>
                        <w:tag w:val="part_b15e41bd5ef04da4b57420fedc5880a6"/>
                        <w:lock w:val="sdtLocked"/>
                        <w:richText/>
                      </w:sdtPr>
                      <w:sdtContent>
                        <w:p>
                          <w:pPr>
                            <w:tabs>
                              <w:tab w:val="left" w:pos="1620"/>
                              <w:tab w:val="left" w:pos="1843"/>
                              <w:tab w:val="left" w:pos="2268"/>
                            </w:tabs>
                            <w:ind w:firstLine="720"/>
                            <w:jc w:val="both"/>
                            <w:rPr>
                              <w:szCs w:val="24"/>
                            </w:rPr>
                          </w:pPr>
                          <w:sdt>
                            <w:sdtPr>
                              <w:alias w:val="Numeris"/>
                              <w:tag w:val="nr_b15e41bd5ef04da4b57420fedc5880a6"/>
                              <w:lock w:val="sdtLocked"/>
                              <w:richText/>
                            </w:sdtPr>
                            <w:sdtContent>
                              <w:r>
                                <w:rPr>
                                  <w:szCs w:val="24"/>
                                </w:rPr>
                                <w:t>115.1.3</w:t>
                              </w:r>
                            </w:sdtContent>
                          </w:sdt>
                          <w:r>
                            <w:rPr>
                              <w:szCs w:val="24"/>
                            </w:rPr>
                            <w:t>. duomenų suvestinę kainos viršutinei ribai nustatyti (Metodikos 1 priedas);</w:t>
                          </w:r>
                        </w:p>
                      </w:sdtContent>
                    </w:sdt>
                    <w:sdt>
                      <w:sdtPr>
                        <w:alias w:val="115.1.4 p."/>
                        <w:tag w:val="part_b66df574d0ed42ceaa65ea78b6359534"/>
                        <w:lock w:val="sdtLocked"/>
                        <w:richText/>
                      </w:sdtPr>
                      <w:sdtContent>
                        <w:p>
                          <w:pPr>
                            <w:tabs>
                              <w:tab w:val="left" w:pos="1620"/>
                              <w:tab w:val="left" w:pos="1843"/>
                              <w:tab w:val="left" w:pos="2268"/>
                            </w:tabs>
                            <w:ind w:firstLine="720"/>
                            <w:jc w:val="both"/>
                            <w:rPr>
                              <w:szCs w:val="24"/>
                            </w:rPr>
                          </w:pPr>
                          <w:sdt>
                            <w:sdtPr>
                              <w:alias w:val="Numeris"/>
                              <w:tag w:val="nr_b66df574d0ed42ceaa65ea78b6359534"/>
                              <w:lock w:val="sdtLocked"/>
                              <w:richText/>
                            </w:sdtPr>
                            <w:sdtContent>
                              <w:r>
                                <w:rPr>
                                  <w:szCs w:val="24"/>
                                </w:rPr>
                                <w:t>115.1.4</w:t>
                              </w:r>
                            </w:sdtContent>
                          </w:sdt>
                          <w:r>
                            <w:rPr>
                              <w:szCs w:val="24"/>
                            </w:rPr>
                            <w:t>. duomenis perdavimo AĮ tinklais bei tinklo valdymo paslaugos kainos viršutinei ribai nustatyti (Metodikos 5 priedas);</w:t>
                          </w:r>
                        </w:p>
                      </w:sdtContent>
                    </w:sdt>
                    <w:sdt>
                      <w:sdtPr>
                        <w:alias w:val="115.1.5 p."/>
                        <w:tag w:val="part_70135212cd724622bb715fd93c3091e7"/>
                        <w:lock w:val="sdtLocked"/>
                        <w:richText/>
                      </w:sdtPr>
                      <w:sdtContent>
                        <w:p>
                          <w:pPr>
                            <w:tabs>
                              <w:tab w:val="left" w:pos="1620"/>
                              <w:tab w:val="left" w:pos="1843"/>
                              <w:tab w:val="left" w:pos="2268"/>
                            </w:tabs>
                            <w:ind w:firstLine="720"/>
                            <w:jc w:val="both"/>
                            <w:rPr>
                              <w:szCs w:val="24"/>
                            </w:rPr>
                          </w:pPr>
                          <w:sdt>
                            <w:sdtPr>
                              <w:alias w:val="Numeris"/>
                              <w:tag w:val="nr_70135212cd724622bb715fd93c3091e7"/>
                              <w:lock w:val="sdtLocked"/>
                              <w:richText/>
                            </w:sdtPr>
                            <w:sdtContent>
                              <w:r>
                                <w:rPr>
                                  <w:szCs w:val="24"/>
                                </w:rPr>
                                <w:t>115.1.5</w:t>
                              </w:r>
                            </w:sdtContent>
                          </w:sdt>
                          <w:r>
                            <w:rPr>
                              <w:szCs w:val="24"/>
                            </w:rPr>
                            <w:t>. veiklai naudojamo turto vertės skaičiavimo lentelę, atskirai nurodant visų teikiamų paslaugų duomenis (Metodikos 2 priedas);</w:t>
                          </w:r>
                        </w:p>
                      </w:sdtContent>
                    </w:sdt>
                    <w:sdt>
                      <w:sdtPr>
                        <w:alias w:val="115.1.6 p."/>
                        <w:tag w:val="part_43f980be17a54bb994601993c9c6e7f8"/>
                        <w:lock w:val="sdtLocked"/>
                        <w:richText/>
                      </w:sdtPr>
                      <w:sdtContent>
                        <w:p>
                          <w:pPr>
                            <w:tabs>
                              <w:tab w:val="left" w:pos="1620"/>
                              <w:tab w:val="left" w:pos="1843"/>
                              <w:tab w:val="left" w:pos="2268"/>
                            </w:tabs>
                            <w:ind w:firstLine="720"/>
                            <w:jc w:val="both"/>
                            <w:rPr>
                              <w:szCs w:val="24"/>
                            </w:rPr>
                          </w:pPr>
                          <w:sdt>
                            <w:sdtPr>
                              <w:alias w:val="Numeris"/>
                              <w:tag w:val="nr_43f980be17a54bb994601993c9c6e7f8"/>
                              <w:lock w:val="sdtLocked"/>
                              <w:richText/>
                            </w:sdtPr>
                            <w:sdtContent>
                              <w:r>
                                <w:rPr>
                                  <w:szCs w:val="24"/>
                                </w:rPr>
                                <w:t>115.1.6</w:t>
                              </w:r>
                            </w:sdtContent>
                          </w:sdt>
                          <w:r>
                            <w:rPr>
                              <w:szCs w:val="24"/>
                            </w:rPr>
                            <w:t>. ilgalaikės reguliuojamos veiklos programos lentelę (Metodikos 3 priedas);</w:t>
                          </w:r>
                        </w:p>
                      </w:sdtContent>
                    </w:sdt>
                    <w:sdt>
                      <w:sdtPr>
                        <w:alias w:val="115.1.7 p."/>
                        <w:tag w:val="part_b58fe547825947eeaf96cc522bf9da33"/>
                        <w:lock w:val="sdtLocked"/>
                        <w:richText/>
                      </w:sdtPr>
                      <w:sdtContent>
                        <w:p>
                          <w:pPr>
                            <w:tabs>
                              <w:tab w:val="left" w:pos="1620"/>
                              <w:tab w:val="left" w:pos="1843"/>
                              <w:tab w:val="left" w:pos="2268"/>
                            </w:tabs>
                            <w:ind w:firstLine="720"/>
                            <w:jc w:val="both"/>
                            <w:rPr>
                              <w:szCs w:val="24"/>
                            </w:rPr>
                          </w:pPr>
                          <w:sdt>
                            <w:sdtPr>
                              <w:alias w:val="Numeris"/>
                              <w:tag w:val="nr_b58fe547825947eeaf96cc522bf9da33"/>
                              <w:lock w:val="sdtLocked"/>
                              <w:richText/>
                            </w:sdtPr>
                            <w:sdtContent>
                              <w:r>
                                <w:rPr>
                                  <w:szCs w:val="24"/>
                                </w:rPr>
                                <w:t>115.1.7</w:t>
                              </w:r>
                            </w:sdtContent>
                          </w:sdt>
                          <w:r>
                            <w:rPr>
                              <w:szCs w:val="24"/>
                            </w:rPr>
                            <w:t>. valdomo turto priežiūros ir eksploatavimo planą (Metodikos 4 priedas);</w:t>
                          </w:r>
                        </w:p>
                      </w:sdtContent>
                    </w:sdt>
                    <w:sdt>
                      <w:sdtPr>
                        <w:alias w:val="115.1.8 p."/>
                        <w:tag w:val="part_7b6b186262c1430f9bf6680fc591d69f"/>
                        <w:lock w:val="sdtLocked"/>
                        <w:richText/>
                      </w:sdtPr>
                      <w:sdtContent>
                        <w:p>
                          <w:pPr>
                            <w:tabs>
                              <w:tab w:val="left" w:pos="1134"/>
                            </w:tabs>
                            <w:ind w:firstLine="709"/>
                            <w:jc w:val="both"/>
                            <w:rPr>
                              <w:szCs w:val="24"/>
                            </w:rPr>
                          </w:pPr>
                          <w:sdt>
                            <w:sdtPr>
                              <w:alias w:val="Numeris"/>
                              <w:tag w:val="nr_7b6b186262c1430f9bf6680fc591d69f"/>
                              <w:lock w:val="sdtLocked"/>
                              <w:richText/>
                            </w:sdtPr>
                            <w:sdtContent>
                              <w:r>
                                <w:rPr>
                                  <w:szCs w:val="24"/>
                                </w:rPr>
                                <w:t>115.1.8</w:t>
                              </w:r>
                            </w:sdtContent>
                          </w:sdt>
                          <w:r>
                            <w:rPr>
                              <w:szCs w:val="24"/>
                            </w:rPr>
                            <w:t>. aiškinamąjį raštą, kuriame nurodomas detalus pateiktų duomenų pagrindimas ir įrodymai dėl veiklos efektyvumo gautų sutaupymų;</w:t>
                          </w:r>
                          <w:r>
                            <w:t xml:space="preserve"> </w:t>
                          </w:r>
                        </w:p>
                      </w:sdtContent>
                    </w:sdt>
                    <w:sdt>
                      <w:sdtPr>
                        <w:alias w:val="115.1.9 p."/>
                        <w:tag w:val="part_78d0069b13164726a2bb0a2c69440811"/>
                        <w:lock w:val="sdtLocked"/>
                        <w:richText/>
                      </w:sdtPr>
                      <w:sdtContent>
                        <w:p>
                          <w:pPr>
                            <w:tabs>
                              <w:tab w:val="left" w:pos="1620"/>
                              <w:tab w:val="left" w:pos="1843"/>
                              <w:tab w:val="left" w:pos="2268"/>
                            </w:tabs>
                            <w:ind w:firstLine="720"/>
                            <w:jc w:val="both"/>
                            <w:rPr>
                              <w:szCs w:val="24"/>
                            </w:rPr>
                          </w:pPr>
                          <w:sdt>
                            <w:sdtPr>
                              <w:alias w:val="Numeris"/>
                              <w:tag w:val="nr_78d0069b13164726a2bb0a2c69440811"/>
                              <w:lock w:val="sdtLocked"/>
                              <w:richText/>
                            </w:sdtPr>
                            <w:sdtContent>
                              <w:r>
                                <w:rPr>
                                  <w:szCs w:val="24"/>
                                </w:rPr>
                                <w:t>115.1.9</w:t>
                              </w:r>
                            </w:sdtContent>
                          </w:sdt>
                          <w:r>
                            <w:rPr>
                              <w:szCs w:val="24"/>
                            </w:rPr>
                            <w:t>. efektyvumo rodiklius (Metodikos 8 priedas);</w:t>
                          </w:r>
                        </w:p>
                      </w:sdtContent>
                    </w:sdt>
                    <w:sdt>
                      <w:sdtPr>
                        <w:alias w:val="115.1.10 p."/>
                        <w:tag w:val="part_8cb574810cdd4a2497c5d905f3f746f7"/>
                        <w:lock w:val="sdtLocked"/>
                        <w:richText/>
                      </w:sdtPr>
                      <w:sdtContent>
                        <w:p>
                          <w:pPr>
                            <w:ind w:firstLine="720"/>
                            <w:jc w:val="both"/>
                            <w:rPr>
                              <w:szCs w:val="24"/>
                            </w:rPr>
                          </w:pPr>
                          <w:sdt>
                            <w:sdtPr>
                              <w:alias w:val="Numeris"/>
                              <w:tag w:val="nr_8cb574810cdd4a2497c5d905f3f746f7"/>
                              <w:lock w:val="sdtLocked"/>
                              <w:richText/>
                            </w:sdtPr>
                            <w:sdtContent>
                              <w:r>
                                <w:rPr>
                                  <w:szCs w:val="24"/>
                                </w:rPr>
                                <w:t>115.1.10</w:t>
                              </w:r>
                            </w:sdtContent>
                          </w:sdt>
                          <w:r>
                            <w:rPr>
                              <w:szCs w:val="24"/>
                            </w:rPr>
                            <w:t>. duomenų suvestinę nekoreguotų Modeliu nustatytų pajamų koregavimui ir kainų viršutinių ribų perskaičiavimui (Metodikos 13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2 p."/>
                    <w:tag w:val="part_8f9d2451a8994638989b74f2b850c557"/>
                    <w:lock w:val="sdtLocked"/>
                    <w:richText/>
                  </w:sdtPr>
                  <w:sdtContent>
                    <w:p>
                      <w:pPr>
                        <w:tabs>
                          <w:tab w:val="left" w:pos="426"/>
                          <w:tab w:val="left" w:pos="1440"/>
                          <w:tab w:val="left" w:pos="1843"/>
                          <w:tab w:val="left" w:pos="2268"/>
                        </w:tabs>
                        <w:ind w:firstLine="720"/>
                        <w:jc w:val="both"/>
                        <w:rPr>
                          <w:szCs w:val="24"/>
                        </w:rPr>
                      </w:pPr>
                      <w:sdt>
                        <w:sdtPr>
                          <w:alias w:val="Numeris"/>
                          <w:tag w:val="nr_8f9d2451a8994638989b74f2b850c557"/>
                          <w:lock w:val="sdtLocked"/>
                          <w:richText/>
                        </w:sdtPr>
                        <w:sdtContent>
                          <w:r>
                            <w:rPr>
                              <w:szCs w:val="24"/>
                            </w:rPr>
                            <w:t>115.2</w:t>
                          </w:r>
                        </w:sdtContent>
                      </w:sdt>
                      <w:r>
                        <w:rPr>
                          <w:szCs w:val="24"/>
                        </w:rPr>
                        <w:t>. STO:</w:t>
                      </w:r>
                    </w:p>
                    <w:sdt>
                      <w:sdtPr>
                        <w:alias w:val="115.2.1 p."/>
                        <w:tag w:val="part_bf5b0278e4ec4a2280e3c652ea3174fb"/>
                        <w:lock w:val="sdtLocked"/>
                        <w:richText/>
                      </w:sdtPr>
                      <w:sdtContent>
                        <w:p>
                          <w:pPr>
                            <w:tabs>
                              <w:tab w:val="left" w:pos="1620"/>
                              <w:tab w:val="left" w:pos="1843"/>
                              <w:tab w:val="left" w:pos="2268"/>
                            </w:tabs>
                            <w:ind w:firstLine="720"/>
                            <w:jc w:val="both"/>
                            <w:rPr>
                              <w:szCs w:val="24"/>
                            </w:rPr>
                          </w:pPr>
                          <w:sdt>
                            <w:sdtPr>
                              <w:alias w:val="Numeris"/>
                              <w:tag w:val="nr_bf5b0278e4ec4a2280e3c652ea3174fb"/>
                              <w:lock w:val="sdtLocked"/>
                              <w:richText/>
                            </w:sdtPr>
                            <w:sdtContent>
                              <w:r>
                                <w:rPr>
                                  <w:szCs w:val="24"/>
                                </w:rPr>
                                <w:t>115.2.1</w:t>
                              </w:r>
                            </w:sdtContent>
                          </w:sdt>
                          <w:r>
                            <w:rPr>
                              <w:szCs w:val="24"/>
                            </w:rPr>
                            <w:t>. STO Modelio techninių duomenų įvesties lenteles (Metodikos 10 priedas);</w:t>
                          </w:r>
                        </w:p>
                      </w:sdtContent>
                    </w:sdt>
                    <w:sdt>
                      <w:sdtPr>
                        <w:alias w:val="115.2.2 p."/>
                        <w:tag w:val="part_c4e5039e95d746bb9a014f2410d939cb"/>
                        <w:lock w:val="sdtLocked"/>
                        <w:richText/>
                      </w:sdtPr>
                      <w:sdtContent>
                        <w:p>
                          <w:pPr>
                            <w:tabs>
                              <w:tab w:val="left" w:pos="1620"/>
                              <w:tab w:val="left" w:pos="1843"/>
                              <w:tab w:val="left" w:pos="2268"/>
                            </w:tabs>
                            <w:ind w:firstLine="720"/>
                            <w:jc w:val="both"/>
                            <w:rPr>
                              <w:szCs w:val="24"/>
                            </w:rPr>
                          </w:pPr>
                          <w:sdt>
                            <w:sdtPr>
                              <w:alias w:val="Numeris"/>
                              <w:tag w:val="nr_c4e5039e95d746bb9a014f2410d939cb"/>
                              <w:lock w:val="sdtLocked"/>
                              <w:richText/>
                            </w:sdtPr>
                            <w:sdtContent>
                              <w:r>
                                <w:rPr>
                                  <w:szCs w:val="24"/>
                                </w:rPr>
                                <w:t>115.2.2</w:t>
                              </w:r>
                            </w:sdtContent>
                          </w:sdt>
                          <w:r>
                            <w:rPr>
                              <w:szCs w:val="24"/>
                            </w:rPr>
                            <w:t>. naujų investicijų ir naujų prijungimų duomenis (Metodikos 12 priedas);</w:t>
                          </w:r>
                        </w:p>
                      </w:sdtContent>
                    </w:sdt>
                    <w:sdt>
                      <w:sdtPr>
                        <w:alias w:val="115.2.3 p."/>
                        <w:tag w:val="part_017c5bc2cebb44659362ba541125a19f"/>
                        <w:lock w:val="sdtLocked"/>
                        <w:richText/>
                      </w:sdtPr>
                      <w:sdtContent>
                        <w:p>
                          <w:pPr>
                            <w:tabs>
                              <w:tab w:val="left" w:pos="1620"/>
                              <w:tab w:val="left" w:pos="1843"/>
                              <w:tab w:val="left" w:pos="2268"/>
                            </w:tabs>
                            <w:ind w:firstLine="720"/>
                            <w:jc w:val="both"/>
                            <w:rPr>
                              <w:szCs w:val="24"/>
                            </w:rPr>
                          </w:pPr>
                          <w:sdt>
                            <w:sdtPr>
                              <w:alias w:val="Numeris"/>
                              <w:tag w:val="nr_017c5bc2cebb44659362ba541125a19f"/>
                              <w:lock w:val="sdtLocked"/>
                              <w:richText/>
                            </w:sdtPr>
                            <w:sdtContent>
                              <w:r>
                                <w:rPr>
                                  <w:szCs w:val="24"/>
                                </w:rPr>
                                <w:t>115.2.3</w:t>
                              </w:r>
                            </w:sdtContent>
                          </w:sdt>
                          <w:r>
                            <w:rPr>
                              <w:szCs w:val="24"/>
                            </w:rPr>
                            <w:t>. duomenų suvestinę kainos viršutinei ribai nustatyti (Metodikos 1 priedas);</w:t>
                          </w:r>
                        </w:p>
                      </w:sdtContent>
                    </w:sdt>
                    <w:sdt>
                      <w:sdtPr>
                        <w:alias w:val="115.2.4 p."/>
                        <w:tag w:val="part_cb9dcdd314fd41b2b1afe7866036d8d7"/>
                        <w:lock w:val="sdtLocked"/>
                        <w:richText/>
                      </w:sdtPr>
                      <w:sdtContent>
                        <w:p>
                          <w:pPr>
                            <w:tabs>
                              <w:tab w:val="left" w:pos="1620"/>
                              <w:tab w:val="left" w:pos="1843"/>
                              <w:tab w:val="left" w:pos="2268"/>
                            </w:tabs>
                            <w:ind w:firstLine="720"/>
                            <w:jc w:val="both"/>
                            <w:rPr>
                              <w:szCs w:val="24"/>
                            </w:rPr>
                          </w:pPr>
                          <w:sdt>
                            <w:sdtPr>
                              <w:alias w:val="Numeris"/>
                              <w:tag w:val="nr_cb9dcdd314fd41b2b1afe7866036d8d7"/>
                              <w:lock w:val="sdtLocked"/>
                              <w:richText/>
                            </w:sdtPr>
                            <w:sdtContent>
                              <w:r>
                                <w:rPr>
                                  <w:szCs w:val="24"/>
                                </w:rPr>
                                <w:t>115.2.4</w:t>
                              </w:r>
                            </w:sdtContent>
                          </w:sdt>
                          <w:r>
                            <w:rPr>
                              <w:szCs w:val="24"/>
                            </w:rPr>
                            <w:t xml:space="preserve">. duomenis skirstymo ŽĮ ir VĮ tinklais viršutinei ribai nustatyti (Metodikos </w:t>
                            <w:br/>
                            <w:t>6 priedas);</w:t>
                          </w:r>
                        </w:p>
                      </w:sdtContent>
                    </w:sdt>
                    <w:sdt>
                      <w:sdtPr>
                        <w:alias w:val="115.2.5 p."/>
                        <w:tag w:val="part_43ca4a1251d94038a6d5fa9afb1f4cb1"/>
                        <w:lock w:val="sdtLocked"/>
                        <w:richText/>
                      </w:sdtPr>
                      <w:sdtContent>
                        <w:p>
                          <w:pPr>
                            <w:tabs>
                              <w:tab w:val="left" w:pos="1620"/>
                              <w:tab w:val="left" w:pos="1843"/>
                              <w:tab w:val="left" w:pos="2268"/>
                            </w:tabs>
                            <w:ind w:firstLine="720"/>
                            <w:jc w:val="both"/>
                            <w:rPr>
                              <w:szCs w:val="24"/>
                            </w:rPr>
                          </w:pPr>
                          <w:sdt>
                            <w:sdtPr>
                              <w:alias w:val="Numeris"/>
                              <w:tag w:val="nr_43ca4a1251d94038a6d5fa9afb1f4cb1"/>
                              <w:lock w:val="sdtLocked"/>
                              <w:richText/>
                            </w:sdtPr>
                            <w:sdtContent>
                              <w:r>
                                <w:rPr>
                                  <w:szCs w:val="24"/>
                                </w:rPr>
                                <w:t>115.2.5</w:t>
                              </w:r>
                            </w:sdtContent>
                          </w:sdt>
                          <w:r>
                            <w:rPr>
                              <w:szCs w:val="24"/>
                            </w:rPr>
                            <w:t>. veiklai naudojamo turto vertės skaičiavimo lentelę, atskirai nurodant visų teikiamų paslaugų duomenis (Metodikos 2 priedas);</w:t>
                          </w:r>
                        </w:p>
                      </w:sdtContent>
                    </w:sdt>
                    <w:sdt>
                      <w:sdtPr>
                        <w:alias w:val="115.2.6 p."/>
                        <w:tag w:val="part_73c0b00113e24595ac4651175612a11b"/>
                        <w:lock w:val="sdtLocked"/>
                        <w:richText/>
                      </w:sdtPr>
                      <w:sdtContent>
                        <w:p>
                          <w:pPr>
                            <w:tabs>
                              <w:tab w:val="left" w:pos="1620"/>
                              <w:tab w:val="left" w:pos="1843"/>
                              <w:tab w:val="left" w:pos="2268"/>
                            </w:tabs>
                            <w:ind w:firstLine="720"/>
                            <w:jc w:val="both"/>
                            <w:rPr>
                              <w:szCs w:val="24"/>
                            </w:rPr>
                          </w:pPr>
                          <w:sdt>
                            <w:sdtPr>
                              <w:alias w:val="Numeris"/>
                              <w:tag w:val="nr_73c0b00113e24595ac4651175612a11b"/>
                              <w:lock w:val="sdtLocked"/>
                              <w:richText/>
                            </w:sdtPr>
                            <w:sdtContent>
                              <w:r>
                                <w:rPr>
                                  <w:szCs w:val="24"/>
                                </w:rPr>
                                <w:t>115.2.6</w:t>
                              </w:r>
                            </w:sdtContent>
                          </w:sdt>
                          <w:r>
                            <w:rPr>
                              <w:szCs w:val="24"/>
                            </w:rPr>
                            <w:t>. ilgalaikės reguliuojamos veiklos programos lentelę (Metodikos 3 priedas);</w:t>
                          </w:r>
                        </w:p>
                      </w:sdtContent>
                    </w:sdt>
                    <w:sdt>
                      <w:sdtPr>
                        <w:alias w:val="115.2.7 p."/>
                        <w:tag w:val="part_8be74bfa1ab040a99cf740dafcefb6b9"/>
                        <w:lock w:val="sdtLocked"/>
                        <w:richText/>
                      </w:sdtPr>
                      <w:sdtContent>
                        <w:p>
                          <w:pPr>
                            <w:tabs>
                              <w:tab w:val="left" w:pos="1620"/>
                              <w:tab w:val="left" w:pos="1843"/>
                              <w:tab w:val="left" w:pos="2268"/>
                            </w:tabs>
                            <w:ind w:firstLine="720"/>
                            <w:jc w:val="both"/>
                            <w:rPr>
                              <w:szCs w:val="24"/>
                            </w:rPr>
                          </w:pPr>
                          <w:sdt>
                            <w:sdtPr>
                              <w:alias w:val="Numeris"/>
                              <w:tag w:val="nr_8be74bfa1ab040a99cf740dafcefb6b9"/>
                              <w:lock w:val="sdtLocked"/>
                              <w:richText/>
                            </w:sdtPr>
                            <w:sdtContent>
                              <w:r>
                                <w:rPr>
                                  <w:szCs w:val="24"/>
                                </w:rPr>
                                <w:t>115.2.7</w:t>
                              </w:r>
                            </w:sdtContent>
                          </w:sdt>
                          <w:r>
                            <w:rPr>
                              <w:szCs w:val="24"/>
                            </w:rPr>
                            <w:t>. valdomo turto priežiūros ir eksploatavimo planą (Metodikos 4 priedas);</w:t>
                          </w:r>
                        </w:p>
                      </w:sdtContent>
                    </w:sdt>
                    <w:sdt>
                      <w:sdtPr>
                        <w:alias w:val="115.2.8 p."/>
                        <w:tag w:val="part_636bf087b7f740f399a58fae0bb6b7d6"/>
                        <w:lock w:val="sdtLocked"/>
                        <w:richText/>
                      </w:sdtPr>
                      <w:sdtContent>
                        <w:p>
                          <w:pPr>
                            <w:tabs>
                              <w:tab w:val="left" w:pos="1134"/>
                            </w:tabs>
                            <w:ind w:firstLine="709"/>
                            <w:jc w:val="both"/>
                            <w:rPr>
                              <w:szCs w:val="24"/>
                            </w:rPr>
                          </w:pPr>
                          <w:sdt>
                            <w:sdtPr>
                              <w:alias w:val="Numeris"/>
                              <w:tag w:val="nr_636bf087b7f740f399a58fae0bb6b7d6"/>
                              <w:lock w:val="sdtLocked"/>
                              <w:richText/>
                            </w:sdtPr>
                            <w:sdtContent>
                              <w:r>
                                <w:rPr>
                                  <w:szCs w:val="24"/>
                                </w:rPr>
                                <w:t>115.2.8</w:t>
                              </w:r>
                            </w:sdtContent>
                          </w:sdt>
                          <w:r>
                            <w:rPr>
                              <w:szCs w:val="24"/>
                            </w:rPr>
                            <w:t>. aiškinamąjį raštą, kuriame nurodomas detalus pateiktų duomenų pagrindimas ir įrodymai dėl veiklos efektyvumo gautų sutaupymų;</w:t>
                          </w:r>
                          <w:r>
                            <w:t xml:space="preserve"> </w:t>
                          </w:r>
                        </w:p>
                      </w:sdtContent>
                    </w:sdt>
                    <w:sdt>
                      <w:sdtPr>
                        <w:alias w:val="115.2.9 p."/>
                        <w:tag w:val="part_49ab48c3048045afbfd702d9b0404721"/>
                        <w:lock w:val="sdtLocked"/>
                        <w:richText/>
                      </w:sdtPr>
                      <w:sdtContent>
                        <w:p>
                          <w:pPr>
                            <w:tabs>
                              <w:tab w:val="left" w:pos="1620"/>
                              <w:tab w:val="left" w:pos="1843"/>
                              <w:tab w:val="left" w:pos="2268"/>
                            </w:tabs>
                            <w:ind w:firstLine="720"/>
                            <w:jc w:val="both"/>
                            <w:rPr>
                              <w:szCs w:val="24"/>
                            </w:rPr>
                          </w:pPr>
                          <w:sdt>
                            <w:sdtPr>
                              <w:alias w:val="Numeris"/>
                              <w:tag w:val="nr_49ab48c3048045afbfd702d9b0404721"/>
                              <w:lock w:val="sdtLocked"/>
                              <w:richText/>
                            </w:sdtPr>
                            <w:sdtContent>
                              <w:r>
                                <w:rPr>
                                  <w:szCs w:val="24"/>
                                </w:rPr>
                                <w:t>115.2.9</w:t>
                              </w:r>
                            </w:sdtContent>
                          </w:sdt>
                          <w:r>
                            <w:rPr>
                              <w:szCs w:val="24"/>
                            </w:rPr>
                            <w:t>. efektyvumo rodiklius (Metodikos 9 priedas);</w:t>
                          </w:r>
                        </w:p>
                      </w:sdtContent>
                    </w:sdt>
                    <w:sdt>
                      <w:sdtPr>
                        <w:alias w:val="115.2.10 p."/>
                        <w:tag w:val="part_11ca7ed632334a73adfb0647d98bdc6a"/>
                        <w:lock w:val="sdtLocked"/>
                        <w:richText/>
                      </w:sdtPr>
                      <w:sdtContent>
                        <w:p>
                          <w:pPr>
                            <w:ind w:firstLine="709"/>
                            <w:jc w:val="both"/>
                            <w:rPr>
                              <w:szCs w:val="24"/>
                            </w:rPr>
                          </w:pPr>
                          <w:sdt>
                            <w:sdtPr>
                              <w:alias w:val="Numeris"/>
                              <w:tag w:val="nr_11ca7ed632334a73adfb0647d98bdc6a"/>
                              <w:lock w:val="sdtLocked"/>
                              <w:richText/>
                            </w:sdtPr>
                            <w:sdtContent>
                              <w:r>
                                <w:rPr>
                                  <w:szCs w:val="24"/>
                                </w:rPr>
                                <w:t>115.2.10</w:t>
                              </w:r>
                            </w:sdtContent>
                          </w:sdt>
                          <w:r>
                            <w:rPr>
                              <w:szCs w:val="24"/>
                            </w:rPr>
                            <w:t>. duomenų suvestinę nekoreguotų Modeliu nustatytų pajamų koregavimui ir kainų viršutinių ribų perskaičiavimui (Metodikos 13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3 p."/>
                    <w:tag w:val="part_d6a9e2adbfe5409799b422e46b0cf09f"/>
                    <w:lock w:val="sdtLocked"/>
                    <w:richText/>
                  </w:sdtPr>
                  <w:sdtContent>
                    <w:p>
                      <w:pPr>
                        <w:tabs>
                          <w:tab w:val="left" w:pos="1440"/>
                          <w:tab w:val="left" w:pos="1843"/>
                          <w:tab w:val="left" w:pos="2268"/>
                        </w:tabs>
                        <w:ind w:firstLine="720"/>
                        <w:jc w:val="both"/>
                        <w:rPr>
                          <w:szCs w:val="24"/>
                        </w:rPr>
                      </w:pPr>
                      <w:sdt>
                        <w:sdtPr>
                          <w:alias w:val="Numeris"/>
                          <w:tag w:val="nr_d6a9e2adbfe5409799b422e46b0cf09f"/>
                          <w:lock w:val="sdtLocked"/>
                          <w:richText/>
                        </w:sdtPr>
                        <w:sdtContent>
                          <w:r>
                            <w:rPr>
                              <w:szCs w:val="24"/>
                            </w:rPr>
                            <w:t>115.3</w:t>
                          </w:r>
                        </w:sdtContent>
                      </w:sdt>
                      <w:r>
                        <w:rPr>
                          <w:szCs w:val="24"/>
                        </w:rPr>
                        <w:t>. Skirstomojo tinklo įmonės, savo teritorijoje turinčios mažiau nei 100 tūkst. vartotojų:</w:t>
                      </w:r>
                    </w:p>
                    <w:sdt>
                      <w:sdtPr>
                        <w:alias w:val="115.3.1 p."/>
                        <w:tag w:val="part_2814a966f3944157896dc27b2f698d31"/>
                        <w:lock w:val="sdtLocked"/>
                        <w:richText/>
                      </w:sdtPr>
                      <w:sdtContent>
                        <w:p>
                          <w:pPr>
                            <w:tabs>
                              <w:tab w:val="left" w:pos="1418"/>
                              <w:tab w:val="left" w:pos="1620"/>
                              <w:tab w:val="left" w:pos="1843"/>
                              <w:tab w:val="left" w:pos="2268"/>
                            </w:tabs>
                            <w:ind w:firstLine="720"/>
                            <w:jc w:val="both"/>
                            <w:rPr>
                              <w:szCs w:val="24"/>
                            </w:rPr>
                          </w:pPr>
                          <w:sdt>
                            <w:sdtPr>
                              <w:alias w:val="Numeris"/>
                              <w:tag w:val="nr_2814a966f3944157896dc27b2f698d31"/>
                              <w:lock w:val="sdtLocked"/>
                              <w:richText/>
                            </w:sdtPr>
                            <w:sdtContent>
                              <w:r>
                                <w:rPr>
                                  <w:szCs w:val="24"/>
                                </w:rPr>
                                <w:t>115.3.1</w:t>
                              </w:r>
                            </w:sdtContent>
                          </w:sdt>
                          <w:r>
                            <w:rPr>
                              <w:szCs w:val="24"/>
                            </w:rPr>
                            <w:t>. duomenų suvestinę kainos viršutinei ribai nustatyti (Metodikos 1 priedas);</w:t>
                          </w:r>
                        </w:p>
                      </w:sdtContent>
                    </w:sdt>
                    <w:sdt>
                      <w:sdtPr>
                        <w:alias w:val="115.3.2 p."/>
                        <w:tag w:val="part_3ccb9f988e794968adf7c19b245f2ea3"/>
                        <w:lock w:val="sdtLocked"/>
                        <w:richText/>
                      </w:sdtPr>
                      <w:sdtContent>
                        <w:p>
                          <w:pPr>
                            <w:tabs>
                              <w:tab w:val="left" w:pos="1418"/>
                              <w:tab w:val="left" w:pos="1620"/>
                              <w:tab w:val="left" w:pos="1843"/>
                              <w:tab w:val="left" w:pos="2268"/>
                            </w:tabs>
                            <w:ind w:firstLine="720"/>
                            <w:jc w:val="both"/>
                            <w:rPr>
                              <w:szCs w:val="24"/>
                            </w:rPr>
                          </w:pPr>
                          <w:sdt>
                            <w:sdtPr>
                              <w:alias w:val="Numeris"/>
                              <w:tag w:val="nr_3ccb9f988e794968adf7c19b245f2ea3"/>
                              <w:lock w:val="sdtLocked"/>
                              <w:richText/>
                            </w:sdtPr>
                            <w:sdtContent>
                              <w:r>
                                <w:rPr>
                                  <w:szCs w:val="24"/>
                                </w:rPr>
                                <w:t>115.3.2</w:t>
                              </w:r>
                            </w:sdtContent>
                          </w:sdt>
                          <w:r>
                            <w:rPr>
                              <w:szCs w:val="24"/>
                            </w:rPr>
                            <w:t>. veiklai naudojamo turto vertės skaičiavimo lentelę, atskirai nurodant visų teikiamų paslaugų duomenis (Metodikos 2 priedas);</w:t>
                          </w:r>
                        </w:p>
                      </w:sdtContent>
                    </w:sdt>
                    <w:sdt>
                      <w:sdtPr>
                        <w:alias w:val="115.3.3 p."/>
                        <w:tag w:val="part_0206f7a565a6407881f7588b6f6a52fc"/>
                        <w:lock w:val="sdtLocked"/>
                        <w:richText/>
                      </w:sdtPr>
                      <w:sdtContent>
                        <w:p>
                          <w:pPr>
                            <w:tabs>
                              <w:tab w:val="left" w:pos="1418"/>
                              <w:tab w:val="left" w:pos="1620"/>
                              <w:tab w:val="left" w:pos="1843"/>
                              <w:tab w:val="left" w:pos="2268"/>
                            </w:tabs>
                            <w:ind w:firstLine="720"/>
                            <w:jc w:val="both"/>
                            <w:rPr>
                              <w:szCs w:val="24"/>
                            </w:rPr>
                          </w:pPr>
                          <w:sdt>
                            <w:sdtPr>
                              <w:alias w:val="Numeris"/>
                              <w:tag w:val="nr_0206f7a565a6407881f7588b6f6a52fc"/>
                              <w:lock w:val="sdtLocked"/>
                              <w:richText/>
                            </w:sdtPr>
                            <w:sdtContent>
                              <w:r>
                                <w:rPr>
                                  <w:szCs w:val="24"/>
                                </w:rPr>
                                <w:t>115.3.3</w:t>
                              </w:r>
                            </w:sdtContent>
                          </w:sdt>
                          <w:r>
                            <w:rPr>
                              <w:szCs w:val="24"/>
                            </w:rPr>
                            <w:t>. ilgalaikės reguliuojamos veiklos programos lentelę (Metodikos 3 priedas);</w:t>
                          </w:r>
                        </w:p>
                      </w:sdtContent>
                    </w:sdt>
                    <w:sdt>
                      <w:sdtPr>
                        <w:alias w:val="115.3.4 p."/>
                        <w:tag w:val="part_194d17ffbda34fbbbf549816137c39ac"/>
                        <w:lock w:val="sdtLocked"/>
                        <w:richText/>
                      </w:sdtPr>
                      <w:sdtContent>
                        <w:p>
                          <w:pPr>
                            <w:tabs>
                              <w:tab w:val="left" w:pos="1418"/>
                              <w:tab w:val="left" w:pos="1620"/>
                              <w:tab w:val="left" w:pos="1843"/>
                              <w:tab w:val="left" w:pos="2268"/>
                            </w:tabs>
                            <w:ind w:firstLine="720"/>
                            <w:jc w:val="both"/>
                            <w:rPr>
                              <w:szCs w:val="24"/>
                            </w:rPr>
                          </w:pPr>
                          <w:sdt>
                            <w:sdtPr>
                              <w:alias w:val="Numeris"/>
                              <w:tag w:val="nr_194d17ffbda34fbbbf549816137c39ac"/>
                              <w:lock w:val="sdtLocked"/>
                              <w:richText/>
                            </w:sdtPr>
                            <w:sdtContent>
                              <w:r>
                                <w:rPr>
                                  <w:szCs w:val="24"/>
                                </w:rPr>
                                <w:t>115.3.4</w:t>
                              </w:r>
                            </w:sdtContent>
                          </w:sdt>
                          <w:r>
                            <w:rPr>
                              <w:szCs w:val="24"/>
                            </w:rPr>
                            <w:t>. valdomo turto priežiūros ir eksploatavimo planus (Metodikos 4 priedas);</w:t>
                          </w:r>
                        </w:p>
                      </w:sdtContent>
                    </w:sdt>
                    <w:sdt>
                      <w:sdtPr>
                        <w:alias w:val="115.3.5 p."/>
                        <w:tag w:val="part_185209feb6de43b4b5b6e6e8e87e6503"/>
                        <w:lock w:val="sdtLocked"/>
                        <w:richText/>
                      </w:sdtPr>
                      <w:sdtContent>
                        <w:p>
                          <w:pPr>
                            <w:tabs>
                              <w:tab w:val="left" w:pos="1134"/>
                            </w:tabs>
                            <w:ind w:firstLine="709"/>
                            <w:jc w:val="both"/>
                          </w:pPr>
                          <w:sdt>
                            <w:sdtPr>
                              <w:alias w:val="Numeris"/>
                              <w:tag w:val="nr_185209feb6de43b4b5b6e6e8e87e6503"/>
                              <w:lock w:val="sdtLocked"/>
                              <w:richText/>
                            </w:sdtPr>
                            <w:sdtContent>
                              <w:r>
                                <w:rPr>
                                  <w:szCs w:val="24"/>
                                </w:rPr>
                                <w:t>115.3.5</w:t>
                              </w:r>
                            </w:sdtContent>
                          </w:sdt>
                          <w:r>
                            <w:rPr>
                              <w:szCs w:val="24"/>
                            </w:rPr>
                            <w:t>. aiškinamąjį raštą, kuriame nurodomas detalus pateiktų duomenų pagrindimas ir įrodymai dėl veiklos efektyvumo gautų sutaupymų;</w:t>
                          </w:r>
                          <w:r>
                            <w:t xml:space="preserve"> </w:t>
                          </w:r>
                        </w:p>
                      </w:sdtContent>
                    </w:sdt>
                  </w:sdtContent>
                </w:sdt>
                <w:sdt>
                  <w:sdtPr>
                    <w:alias w:val="115.4 p."/>
                    <w:tag w:val="part_05ad810295c145f2a4acd80f8c92490f"/>
                    <w:lock w:val="sdtLocked"/>
                    <w:richText/>
                  </w:sdtPr>
                  <w:sdtContent>
                    <w:p>
                      <w:pPr>
                        <w:tabs>
                          <w:tab w:val="left" w:pos="1276"/>
                          <w:tab w:val="left" w:pos="1418"/>
                          <w:tab w:val="left" w:pos="1843"/>
                          <w:tab w:val="left" w:pos="2268"/>
                        </w:tabs>
                        <w:ind w:firstLine="720"/>
                        <w:jc w:val="both"/>
                        <w:rPr>
                          <w:szCs w:val="24"/>
                        </w:rPr>
                      </w:pPr>
                      <w:sdt>
                        <w:sdtPr>
                          <w:alias w:val="Numeris"/>
                          <w:tag w:val="nr_05ad810295c145f2a4acd80f8c92490f"/>
                          <w:lock w:val="sdtLocked"/>
                          <w:richText/>
                        </w:sdtPr>
                        <w:sdtContent>
                          <w:r>
                            <w:rPr>
                              <w:szCs w:val="24"/>
                            </w:rPr>
                            <w:t>115.4</w:t>
                          </w:r>
                        </w:sdtContent>
                      </w:sdt>
                      <w:r>
                        <w:rPr>
                          <w:szCs w:val="24"/>
                        </w:rPr>
                        <w:t>. Visuomeninis tiekėjas:</w:t>
                      </w:r>
                    </w:p>
                    <w:sdt>
                      <w:sdtPr>
                        <w:alias w:val="115.4.1 p."/>
                        <w:tag w:val="part_02091d801de245a4b137d6b0b64d3334"/>
                        <w:lock w:val="sdtLocked"/>
                        <w:richText/>
                      </w:sdtPr>
                      <w:sdtContent>
                        <w:p>
                          <w:pPr>
                            <w:tabs>
                              <w:tab w:val="left" w:pos="1620"/>
                              <w:tab w:val="left" w:pos="1843"/>
                              <w:tab w:val="left" w:pos="2268"/>
                            </w:tabs>
                            <w:ind w:firstLine="720"/>
                            <w:jc w:val="both"/>
                            <w:rPr>
                              <w:szCs w:val="24"/>
                            </w:rPr>
                          </w:pPr>
                          <w:sdt>
                            <w:sdtPr>
                              <w:alias w:val="Numeris"/>
                              <w:tag w:val="nr_02091d801de245a4b137d6b0b64d3334"/>
                              <w:lock w:val="sdtLocked"/>
                              <w:richText/>
                            </w:sdtPr>
                            <w:sdtContent>
                              <w:r>
                                <w:rPr>
                                  <w:szCs w:val="24"/>
                                </w:rPr>
                                <w:t>115.4.1</w:t>
                              </w:r>
                            </w:sdtContent>
                          </w:sdt>
                          <w:r>
                            <w:rPr>
                              <w:szCs w:val="24"/>
                            </w:rPr>
                            <w:t>. duomenų suvestinę kainos viršutinei ribai nustatyti (Metodikos 1 priedas);</w:t>
                          </w:r>
                        </w:p>
                      </w:sdtContent>
                    </w:sdt>
                    <w:sdt>
                      <w:sdtPr>
                        <w:alias w:val="115.4.2 p."/>
                        <w:tag w:val="part_62fdea721cda4ffeb27cd6f70c0e7cdb"/>
                        <w:lock w:val="sdtLocked"/>
                        <w:richText/>
                      </w:sdtPr>
                      <w:sdtContent>
                        <w:p>
                          <w:pPr>
                            <w:tabs>
                              <w:tab w:val="left" w:pos="1620"/>
                              <w:tab w:val="left" w:pos="1843"/>
                              <w:tab w:val="left" w:pos="2268"/>
                            </w:tabs>
                            <w:ind w:firstLine="720"/>
                            <w:jc w:val="both"/>
                            <w:rPr>
                              <w:szCs w:val="24"/>
                            </w:rPr>
                          </w:pPr>
                          <w:sdt>
                            <w:sdtPr>
                              <w:alias w:val="Numeris"/>
                              <w:tag w:val="nr_62fdea721cda4ffeb27cd6f70c0e7cdb"/>
                              <w:lock w:val="sdtLocked"/>
                              <w:richText/>
                            </w:sdtPr>
                            <w:sdtContent>
                              <w:r>
                                <w:rPr>
                                  <w:szCs w:val="24"/>
                                </w:rPr>
                                <w:t>115.4.2</w:t>
                              </w:r>
                            </w:sdtContent>
                          </w:sdt>
                          <w:r>
                            <w:rPr>
                              <w:szCs w:val="24"/>
                            </w:rPr>
                            <w:t>. visuomeninio tiekėjo įsigijimo kainos apskaičiavimą (Metodikos 7 priedas).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6 p."/>
                <w:tag w:val="part_dddc3fdf9bdd47fe926df57238e6962d"/>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dddc3fdf9bdd47fe926df57238e6962d"/>
                      <w:lock w:val="sdtLocked"/>
                      <w:richText/>
                    </w:sdtPr>
                    <w:sdtContent>
                      <w:r>
                        <w:rPr>
                          <w:szCs w:val="24"/>
                        </w:rPr>
                        <w:t>116</w:t>
                      </w:r>
                    </w:sdtContent>
                  </w:sdt>
                  <w:r>
                    <w:rPr>
                      <w:szCs w:val="24"/>
                    </w:rPr>
                    <w:t>. Komisija motyvuotu sprendimu gali pratęsti nustatytų kainų viršutinių ribų galiojimo laikotarpį, įskaitant jei Įmonė laiku nepateikia Komisijai visų reikiamų duomenų.</w:t>
                  </w:r>
                </w:p>
              </w:sdtContent>
            </w:sdt>
            <w:sdt>
              <w:sdtPr>
                <w:alias w:val="117 p."/>
                <w:tag w:val="part_1fffb7d43f7345179ed4e8821652ac9f"/>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1fffb7d43f7345179ed4e8821652ac9f"/>
                      <w:lock w:val="sdtLocked"/>
                      <w:richText/>
                    </w:sdtPr>
                    <w:sdtContent>
                      <w:r>
                        <w:rPr>
                          <w:szCs w:val="24"/>
                        </w:rPr>
                        <w:t>117</w:t>
                      </w:r>
                    </w:sdtContent>
                  </w:sdt>
                  <w:r>
                    <w:rPr>
                      <w:szCs w:val="24"/>
                    </w:rPr>
                    <w:t>. Perdavimo, skirstymo ir visuomeninio tiekimo paslaugų kainų viršutinės ribos privalo būti nustatytos ne vėliau nei nurodyta Elektros energetikos įstatymo 69 straipsnio 5 dalyje.</w:t>
                  </w:r>
                </w:p>
              </w:sdtContent>
            </w:sdt>
            <w:sdt>
              <w:sdtPr>
                <w:alias w:val="118 p."/>
                <w:tag w:val="part_d74ff154c4924a0cae62fa96240d9c74"/>
                <w:lock w:val="sdtLocked"/>
                <w:richText/>
              </w:sdtPr>
              <w:sdtContent>
                <w:p>
                  <w:pPr>
                    <w:tabs>
                      <w:tab w:val="left" w:pos="1260"/>
                      <w:tab w:val="left" w:pos="1843"/>
                      <w:tab w:val="left" w:pos="2268"/>
                    </w:tabs>
                    <w:ind w:firstLine="720"/>
                    <w:jc w:val="both"/>
                    <w:rPr>
                      <w:szCs w:val="24"/>
                    </w:rPr>
                  </w:pPr>
                  <w:sdt>
                    <w:sdtPr>
                      <w:alias w:val="Numeris"/>
                      <w:tag w:val="nr_d74ff154c4924a0cae62fa96240d9c74"/>
                      <w:lock w:val="sdtLocked"/>
                      <w:richText/>
                    </w:sdtPr>
                    <w:sdtContent>
                      <w:r>
                        <w:rPr>
                          <w:szCs w:val="24"/>
                        </w:rPr>
                        <w:t>118</w:t>
                      </w:r>
                    </w:sdtContent>
                  </w:sdt>
                  <w:r>
                    <w:rPr>
                      <w:szCs w:val="24"/>
                    </w:rPr>
                    <w:t>. Konkrečias reguliuojamų paslaugų kainas ir tarifus, neviršijančius Komisijos nustatytų kainų ribų, apskaičiuoja reguliuojamų paslaugų teikėjai. Paslaugos teikėjo nustatytas kainas ir tarifus per 30 kalendorinių dienų nuo paslaugos teikėjo prašymo gavimo dienos skelbia Komisija, prieš tai patikrinusi, ar nustatant kainas ir tarifus nebuvo pažeisti kainų ir tarifų nustatymo reikalavimai, ar nediskriminuojami vartotojai.</w:t>
                  </w:r>
                </w:p>
              </w:sdtContent>
            </w:sdt>
            <w:sdt>
              <w:sdtPr>
                <w:alias w:val="119 p."/>
                <w:tag w:val="part_c272a4e1a22f4baf9cbcccdc3ff7401b"/>
                <w:lock w:val="sdtLocked"/>
                <w:richText/>
              </w:sdtPr>
              <w:sdtContent>
                <w:p>
                  <w:pPr>
                    <w:tabs>
                      <w:tab w:val="left" w:pos="1260"/>
                      <w:tab w:val="left" w:pos="1843"/>
                      <w:tab w:val="left" w:pos="2268"/>
                    </w:tabs>
                    <w:ind w:firstLine="720"/>
                    <w:jc w:val="both"/>
                    <w:rPr>
                      <w:szCs w:val="24"/>
                    </w:rPr>
                  </w:pPr>
                  <w:sdt>
                    <w:sdtPr>
                      <w:alias w:val="Numeris"/>
                      <w:tag w:val="nr_c272a4e1a22f4baf9cbcccdc3ff7401b"/>
                      <w:lock w:val="sdtLocked"/>
                      <w:richText/>
                    </w:sdtPr>
                    <w:sdtContent>
                      <w:r>
                        <w:rPr>
                          <w:szCs w:val="24"/>
                        </w:rPr>
                        <w:t>119</w:t>
                      </w:r>
                    </w:sdtContent>
                  </w:sdt>
                  <w:r>
                    <w:rPr>
                      <w:szCs w:val="24"/>
                    </w:rPr>
                    <w:t xml:space="preserve">. Skirstymo (persiuntimo) paslaugos kainų viršutines ribas diferencijuoja paslaugų teikėjai pagal jų nustatytas ir su Komisija suderintas paslaugų kainų diferencijavimo tvarkas, kurios parengtos atsižvelgiant į Elektros energijos perdavimo, skirstymo, visuomeninio tiekimo paslaugų ir visuomeninių elektros energijos kainų diferencijavimo tvarkos aprašą, patvirtintą Komisijos </w:t>
                    <w:br/>
                    <w:t>2012 m. rugsėjo 19 d. nutarimu Nr. O3-252 „Dėl Elektros energijos perdavimo, skirstymo, visuomeninio tiekimo paslaugų ir visuomeninių elektros energijos kainų diferencijavimo tvarkos aprašo patvirtinimo“.</w:t>
                  </w:r>
                </w:p>
              </w:sdtContent>
            </w:sdt>
            <w:sdt>
              <w:sdtPr>
                <w:alias w:val="120 p."/>
                <w:tag w:val="part_b96fb1c692ab41778b4bc64e9382c649"/>
                <w:lock w:val="sdtLocked"/>
                <w:richText/>
              </w:sdtPr>
              <w:sdtContent>
                <w:p>
                  <w:pPr>
                    <w:tabs>
                      <w:tab w:val="left" w:pos="1260"/>
                      <w:tab w:val="left" w:pos="1843"/>
                      <w:tab w:val="left" w:pos="2268"/>
                    </w:tabs>
                    <w:ind w:firstLine="720"/>
                    <w:jc w:val="both"/>
                    <w:rPr>
                      <w:szCs w:val="24"/>
                    </w:rPr>
                  </w:pPr>
                  <w:sdt>
                    <w:sdtPr>
                      <w:alias w:val="Numeris"/>
                      <w:tag w:val="nr_b96fb1c692ab41778b4bc64e9382c649"/>
                      <w:lock w:val="sdtLocked"/>
                      <w:richText/>
                    </w:sdtPr>
                    <w:sdtContent>
                      <w:r>
                        <w:rPr>
                          <w:szCs w:val="24"/>
                        </w:rPr>
                        <w:t>120</w:t>
                      </w:r>
                    </w:sdtContent>
                  </w:sdt>
                  <w:r>
                    <w:rPr>
                      <w:szCs w:val="24"/>
                    </w:rPr>
                    <w:t xml:space="preserve">. Komisija, nustačiusi, kad paslaugos teikėjo nurodytos paslaugų kainos ir tarifai nustatyti nesilaikant kainų ir tarifų nustatymo reikalavimų arba kad yra diskriminuojami vartotojai, nurodo paslaugų teikėjui klaidas, kurias paslaugų teikėjas turi ištaisyti. Be to, ne vėliau kaip per </w:t>
                    <w:br/>
                    <w:t>10 kalendorinių dienų nuo Komisijos pastabų gavimo Komisijai turi būti pateiktos pataisytos paslaugų kainos ir tarifai. Komisija ne vėliau kaip per 30 kalendorinių dienų nuo pataisytų paslaugų kainų ir tarifų pateikimo juos paskelbia arba, jeigu paslaugų teikėjas per nustatytą terminą neištaiso nurodytų klaidų, paslaugų kainas ir tarifus nustato vienašališkai ir juos paskelbia.</w:t>
                  </w:r>
                </w:p>
              </w:sdtContent>
            </w:sdt>
            <w:sdt>
              <w:sdtPr>
                <w:alias w:val="121 p."/>
                <w:tag w:val="part_9d1fe600ac0a4053bb27d3ff851b7bde"/>
                <w:lock w:val="sdtLocked"/>
                <w:richText/>
              </w:sdtPr>
              <w:sdtContent>
                <w:p>
                  <w:pPr>
                    <w:tabs>
                      <w:tab w:val="left" w:pos="1260"/>
                      <w:tab w:val="left" w:pos="1843"/>
                      <w:tab w:val="left" w:pos="2268"/>
                    </w:tabs>
                    <w:ind w:firstLine="720"/>
                    <w:jc w:val="both"/>
                    <w:rPr>
                      <w:szCs w:val="24"/>
                    </w:rPr>
                  </w:pPr>
                  <w:sdt>
                    <w:sdtPr>
                      <w:alias w:val="Numeris"/>
                      <w:tag w:val="nr_9d1fe600ac0a4053bb27d3ff851b7bde"/>
                      <w:lock w:val="sdtLocked"/>
                      <w:richText/>
                    </w:sdtPr>
                    <w:sdtContent>
                      <w:r>
                        <w:rPr>
                          <w:szCs w:val="24"/>
                        </w:rPr>
                        <w:t>121</w:t>
                      </w:r>
                    </w:sdtContent>
                  </w:sdt>
                  <w:r>
                    <w:rPr>
                      <w:szCs w:val="24"/>
                    </w:rPr>
                    <w:t>. Komisijos pagal šią Metodiką nustatytos konkrečios kainos skelbiamos viešai ir taikomos Energetikos įstatymo 19 straipsnio 3 dalyje nustatyta tvarka.</w:t>
                  </w:r>
                </w:p>
                <w:p>
                  <w:pPr>
                    <w:tabs>
                      <w:tab w:val="left" w:pos="1134"/>
                      <w:tab w:val="left" w:pos="1843"/>
                      <w:tab w:val="left" w:pos="2268"/>
                    </w:tabs>
                    <w:suppressAutoHyphens/>
                    <w:ind w:firstLine="567"/>
                    <w:jc w:val="both"/>
                    <w:textAlignment w:val="center"/>
                    <w:rPr>
                      <w:b/>
                      <w:szCs w:val="24"/>
                    </w:rPr>
                  </w:pPr>
                </w:p>
                <w:p>
                  <w:pPr>
                    <w:tabs>
                      <w:tab w:val="left" w:pos="1134"/>
                      <w:tab w:val="left" w:pos="1843"/>
                      <w:tab w:val="left" w:pos="2268"/>
                    </w:tabs>
                    <w:suppressAutoHyphens/>
                    <w:jc w:val="both"/>
                    <w:textAlignment w:val="center"/>
                    <w:rPr>
                      <w:b/>
                      <w:szCs w:val="24"/>
                    </w:rPr>
                  </w:pPr>
                </w:p>
              </w:sdtContent>
            </w:sdt>
          </w:sdtContent>
        </w:sdt>
        <w:sdt>
          <w:sdtPr>
            <w:alias w:val="skyrius"/>
            <w:tag w:val="part_4837e854daf24200801c2a4778bee4e7"/>
            <w:lock w:val="sdtLocked"/>
            <w:richText/>
          </w:sdtPr>
          <w:sdtContent>
            <w:p>
              <w:pPr>
                <w:tabs>
                  <w:tab w:val="left" w:pos="1134"/>
                  <w:tab w:val="left" w:pos="1843"/>
                  <w:tab w:val="left" w:pos="2268"/>
                </w:tabs>
                <w:suppressAutoHyphens/>
                <w:jc w:val="center"/>
                <w:textAlignment w:val="center"/>
                <w:rPr>
                  <w:b/>
                  <w:szCs w:val="24"/>
                </w:rPr>
              </w:pPr>
              <w:sdt>
                <w:sdtPr>
                  <w:alias w:val="Numeris"/>
                  <w:tag w:val="nr_4837e854daf24200801c2a4778bee4e7"/>
                  <w:lock w:val="sdtLocked"/>
                  <w:richText/>
                </w:sdtPr>
                <w:sdtContent>
                  <w:r>
                    <w:rPr>
                      <w:b/>
                      <w:szCs w:val="24"/>
                    </w:rPr>
                    <w:t>VIII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4837e854daf24200801c2a4778bee4e7"/>
                  <w:lock w:val="sdtLocked"/>
                  <w:richText/>
                </w:sdtPr>
                <w:sdtContent>
                  <w:r>
                    <w:rPr>
                      <w:b/>
                      <w:szCs w:val="24"/>
                    </w:rPr>
                    <w:t>BAIGIAMOSIOS NUOSTATOS</w:t>
                  </w:r>
                </w:sdtContent>
              </w:sdt>
            </w:p>
            <w:p>
              <w:pPr>
                <w:tabs>
                  <w:tab w:val="left" w:pos="1134"/>
                  <w:tab w:val="left" w:pos="1418"/>
                  <w:tab w:val="left" w:pos="1843"/>
                  <w:tab w:val="left" w:pos="2268"/>
                </w:tabs>
                <w:ind w:firstLine="567"/>
                <w:jc w:val="both"/>
                <w:rPr>
                  <w:szCs w:val="24"/>
                </w:rPr>
              </w:pPr>
            </w:p>
            <w:p>
              <w:pPr>
                <w:tabs>
                  <w:tab w:val="left" w:pos="1134"/>
                  <w:tab w:val="left" w:pos="1418"/>
                  <w:tab w:val="left" w:pos="1843"/>
                  <w:tab w:val="left" w:pos="2268"/>
                </w:tabs>
                <w:ind w:firstLine="567"/>
                <w:jc w:val="both"/>
                <w:rPr>
                  <w:szCs w:val="24"/>
                </w:rPr>
              </w:pPr>
            </w:p>
            <w:sdt>
              <w:sdtPr>
                <w:alias w:val="122 p."/>
                <w:tag w:val="part_8eec2d81dded499dae1f25f2f6611b53"/>
                <w:lock w:val="sdtLocked"/>
                <w:richText/>
              </w:sdtPr>
              <w:sdtContent>
                <w:p>
                  <w:pPr>
                    <w:tabs>
                      <w:tab w:val="left" w:pos="1260"/>
                      <w:tab w:val="left" w:pos="1418"/>
                      <w:tab w:val="left" w:pos="1843"/>
                      <w:tab w:val="left" w:pos="2268"/>
                    </w:tabs>
                    <w:ind w:firstLine="720"/>
                    <w:jc w:val="both"/>
                    <w:rPr>
                      <w:szCs w:val="24"/>
                    </w:rPr>
                  </w:pPr>
                  <w:sdt>
                    <w:sdtPr>
                      <w:alias w:val="Numeris"/>
                      <w:tag w:val="nr_8eec2d81dded499dae1f25f2f6611b53"/>
                      <w:lock w:val="sdtLocked"/>
                      <w:richText/>
                    </w:sdtPr>
                    <w:sdtContent>
                      <w:r>
                        <w:rPr>
                          <w:szCs w:val="24"/>
                        </w:rPr>
                        <w:t>122</w:t>
                      </w:r>
                    </w:sdtContent>
                  </w:sdt>
                  <w:r>
                    <w:rPr>
                      <w:szCs w:val="24"/>
                    </w:rPr>
                    <w:t>. Komisija turi teisę iš Įmonių per Komisijos nustatytą protingą terminą gauti visą informaciją ir dokumentus, būtinus Komisijos funkcijoms, susijusioms su elektros energetikos sektoriaus reguliuojamų paslaugų kainų viršutinių ribų nustatymu ir koregavimu pagal šią Metodiką, atlikti.</w:t>
                  </w:r>
                </w:p>
              </w:sdtContent>
            </w:sdt>
            <w:sdt>
              <w:sdtPr>
                <w:alias w:val="123 p."/>
                <w:tag w:val="part_704cd07e428948bdbb7ca200e8443f39"/>
                <w:lock w:val="sdtLocked"/>
                <w:richText/>
              </w:sdtPr>
              <w:sdtContent>
                <w:p>
                  <w:pPr>
                    <w:tabs>
                      <w:tab w:val="left" w:pos="1260"/>
                      <w:tab w:val="left" w:pos="1843"/>
                      <w:tab w:val="left" w:pos="2268"/>
                    </w:tabs>
                    <w:ind w:firstLine="720"/>
                    <w:jc w:val="both"/>
                    <w:rPr>
                      <w:szCs w:val="24"/>
                    </w:rPr>
                  </w:pPr>
                  <w:sdt>
                    <w:sdtPr>
                      <w:alias w:val="Numeris"/>
                      <w:tag w:val="nr_704cd07e428948bdbb7ca200e8443f39"/>
                      <w:lock w:val="sdtLocked"/>
                      <w:richText/>
                    </w:sdtPr>
                    <w:sdtContent>
                      <w:r>
                        <w:rPr>
                          <w:szCs w:val="24"/>
                        </w:rPr>
                        <w:t>123</w:t>
                      </w:r>
                    </w:sdtContent>
                  </w:sdt>
                  <w:r>
                    <w:rPr>
                      <w:szCs w:val="24"/>
                    </w:rPr>
                    <w:t>. Įmonės, pažeidusios Metodikoje nustatytus reikalavimus, atsako teisės aktų nustatyta tvarka ir sąlygomis.</w:t>
                  </w:r>
                </w:p>
              </w:sdtContent>
            </w:sdt>
            <w:sdt>
              <w:sdtPr>
                <w:alias w:val="124 p."/>
                <w:tag w:val="part_0bf77cb5a87e4d1986b868c7eec4c368"/>
                <w:lock w:val="sdtLocked"/>
                <w:richText/>
              </w:sdtPr>
              <w:sdtContent>
                <w:p>
                  <w:pPr>
                    <w:tabs>
                      <w:tab w:val="left" w:pos="1260"/>
                      <w:tab w:val="left" w:pos="1418"/>
                      <w:tab w:val="left" w:pos="1843"/>
                      <w:tab w:val="left" w:pos="2268"/>
                    </w:tabs>
                    <w:ind w:firstLine="720"/>
                    <w:jc w:val="both"/>
                    <w:rPr>
                      <w:szCs w:val="24"/>
                    </w:rPr>
                  </w:pPr>
                  <w:sdt>
                    <w:sdtPr>
                      <w:alias w:val="Numeris"/>
                      <w:tag w:val="nr_0bf77cb5a87e4d1986b868c7eec4c368"/>
                      <w:lock w:val="sdtLocked"/>
                      <w:richText/>
                    </w:sdtPr>
                    <w:sdtContent>
                      <w:r>
                        <w:rPr>
                          <w:szCs w:val="24"/>
                        </w:rPr>
                        <w:t>124</w:t>
                      </w:r>
                    </w:sdtContent>
                  </w:sdt>
                  <w:r>
                    <w:rPr>
                      <w:szCs w:val="24"/>
                    </w:rPr>
                    <w:t>. Komisijos veiksmai ir neveikimas, susiję su Metodikos laikymusi ir įgyvendinimu, gali būti skundžiami Lietuvos Respublikos įstatymų nustatyta tvarka ir sąlygomis.</w:t>
                  </w:r>
                </w:p>
              </w:sdtContent>
            </w:sdt>
          </w:sdtContent>
        </w:sdt>
        <w:sdt>
          <w:sdtPr>
            <w:alias w:val="pabaiga"/>
            <w:tag w:val="part_aaad3fc2700045539258196804ccb5b8"/>
            <w:lock w:val="sdtLocked"/>
            <w:richText/>
          </w:sdtPr>
          <w:sdtContent>
            <w:p>
              <w:pPr>
                <w:tabs>
                  <w:tab w:val="left" w:pos="1134"/>
                  <w:tab w:val="left" w:pos="1418"/>
                  <w:tab w:val="left" w:pos="2835"/>
                </w:tabs>
                <w:jc w:val="center"/>
              </w:pPr>
              <w:r>
                <w:rPr>
                  <w:szCs w:val="24"/>
                </w:rPr>
                <w:t>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o3-509(priedas10)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p>
          <w:pPr>
            <w:pStyle w:val="PlainText"/>
            <w:rPr>
              <w:rFonts w:ascii="Times New Roman" w:eastAsia="MS Mincho" w:hAnsi="Times New Roman"/>
              <w:sz w:val="20"/>
              <w:iCs/>
            </w:rPr>
          </w:pPr>
          <w:r>
            <w:rPr>
              <w:rFonts w:ascii="Times New Roman" w:eastAsia="MS Mincho" w:hAnsi="Times New Roman"/>
              <w:sz w:val="20"/>
              <w:iCs/>
            </w:rPr>
            <w:t>o3-509(priedas 13)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4f40b060fc11e589fccd6fa118e11c">
            <w:r w:rsidRPr="00532B9F">
              <w:rPr>
                <w:rFonts w:ascii="Times New Roman" w:eastAsia="MS Mincho" w:hAnsi="Times New Roman"/>
                <w:sz w:val="20"/>
                <w:iCs/>
                <w:color w:val="0000FF" w:themeColor="hyperlink"/>
                <w:u w:val="single"/>
              </w:rPr>
              <w:t>O3-509</w:t>
            </w:r>
          </w:fldSimple>
          <w:r>
            <w:rPr>
              <w:rFonts w:ascii="Times New Roman" w:eastAsia="MS Mincho" w:hAnsi="Times New Roman"/>
              <w:sz w:val="20"/>
              <w:iCs/>
            </w:rPr>
            <w:t>,
2015-09-21,
paskelbta TAR 2015-09-22, i. k. 2015-14070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734b207e3511e5b7eba10a9b5a9c5f">
            <w:r w:rsidRPr="00532B9F">
              <w:rPr>
                <w:rFonts w:ascii="Times New Roman" w:eastAsia="MS Mincho" w:hAnsi="Times New Roman"/>
                <w:sz w:val="20"/>
                <w:iCs/>
                <w:color w:val="0000FF" w:themeColor="hyperlink"/>
                <w:u w:val="single"/>
              </w:rPr>
              <w:t>O3-572</w:t>
            </w:r>
          </w:fldSimple>
          <w:r>
            <w:rPr>
              <w:rFonts w:ascii="Times New Roman" w:eastAsia="MS Mincho" w:hAnsi="Times New Roman"/>
              <w:sz w:val="20"/>
              <w:iCs/>
            </w:rPr>
            <w:t>,
2015-10-29,
paskelbta TAR 2015-10-29, i. k. 2015-17067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9e8da0f28411e5989ee743dd0efbb0">
            <w:r w:rsidRPr="00532B9F">
              <w:rPr>
                <w:rFonts w:ascii="Times New Roman" w:eastAsia="MS Mincho" w:hAnsi="Times New Roman"/>
                <w:sz w:val="20"/>
                <w:iCs/>
                <w:color w:val="0000FF" w:themeColor="hyperlink"/>
                <w:u w:val="single"/>
              </w:rPr>
              <w:t>O3-81</w:t>
            </w:r>
          </w:fldSimple>
          <w:r>
            <w:rPr>
              <w:rFonts w:ascii="Times New Roman" w:eastAsia="MS Mincho" w:hAnsi="Times New Roman"/>
              <w:sz w:val="20"/>
              <w:iCs/>
            </w:rPr>
            <w:t>,
2016-03-25,
paskelbta TAR 2016-03-25, i. k. 2016-06335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164650190e11e68eb0b4a9a30fc97f">
            <w:r w:rsidRPr="00532B9F">
              <w:rPr>
                <w:rFonts w:ascii="Times New Roman" w:eastAsia="MS Mincho" w:hAnsi="Times New Roman"/>
                <w:sz w:val="20"/>
                <w:iCs/>
                <w:color w:val="0000FF" w:themeColor="hyperlink"/>
                <w:u w:val="single"/>
              </w:rPr>
              <w:t>O3-122</w:t>
            </w:r>
          </w:fldSimple>
          <w:r>
            <w:rPr>
              <w:rFonts w:ascii="Times New Roman" w:eastAsia="MS Mincho" w:hAnsi="Times New Roman"/>
              <w:sz w:val="20"/>
              <w:iCs/>
            </w:rPr>
            <w:t>,
2016-05-13,
paskelbta TAR 2016-05-13, i. k. 2016-12616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1c032f0bd5511e688d0ed775a2e782a">
            <w:r w:rsidRPr="00532B9F">
              <w:rPr>
                <w:rFonts w:ascii="Times New Roman" w:eastAsia="MS Mincho" w:hAnsi="Times New Roman"/>
                <w:sz w:val="20"/>
                <w:iCs/>
                <w:color w:val="0000FF" w:themeColor="hyperlink"/>
                <w:u w:val="single"/>
              </w:rPr>
              <w:t>O3-416</w:t>
            </w:r>
          </w:fldSimple>
          <w:r>
            <w:rPr>
              <w:rFonts w:ascii="Times New Roman" w:eastAsia="MS Mincho" w:hAnsi="Times New Roman"/>
              <w:sz w:val="20"/>
              <w:iCs/>
            </w:rPr>
            <w:t>,
2016-12-08,
paskelbta TAR 2016-12-09, i. k. 2016-28524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720" w:footer="720" w:gutter="0"/>
      <w:cols w:space="720"/>
      <w:noEndnote/>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BA"/>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19</w:t>
    </w:r>
    <w:r>
      <w:rPr>
        <w:szCs w:val="24"/>
        <w:lang w:val="en-GB"/>
      </w:rPr>
      <w:fldChar w:fldCharType="end"/>
    </w:r>
  </w:p>
  <w:p>
    <w:pPr>
      <w:tabs>
        <w:tab w:val="center" w:pos="4819"/>
        <w:tab w:val="right" w:pos="9638"/>
      </w:tabs>
      <w:rPr>
        <w:szCs w:val="24"/>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23</w:t>
    </w:r>
    <w:r>
      <w:rPr>
        <w:szCs w:val="24"/>
        <w:lang w:val="en-GB"/>
      </w:rPr>
      <w:fldChar w:fldCharType="end"/>
    </w:r>
  </w:p>
  <w:p>
    <w:pPr>
      <w:tabs>
        <w:tab w:val="center" w:pos="4819"/>
        <w:tab w:val="right" w:pos="9638"/>
      </w:tabs>
      <w:rPr>
        <w:szCs w:val="24"/>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22</w:t>
    </w:r>
    <w:r>
      <w:rPr>
        <w:szCs w:val="24"/>
        <w:lang w:val="en-GB"/>
      </w:rPr>
      <w:fldChar w:fldCharType="end"/>
    </w:r>
  </w:p>
  <w:p>
    <w:pPr>
      <w:tabs>
        <w:tab w:val="center" w:pos="4819"/>
        <w:tab w:val="right" w:pos="9638"/>
      </w:tabs>
      <w:rPr>
        <w:szCs w:val="24"/>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10</w:t>
    </w:r>
    <w:r>
      <w:rPr>
        <w:szCs w:val="24"/>
        <w:lang w:val="en-GB"/>
      </w:rPr>
      <w:fldChar w:fldCharType="end"/>
    </w:r>
  </w:p>
  <w:p>
    <w:pPr>
      <w:tabs>
        <w:tab w:val="center" w:pos="4819"/>
        <w:tab w:val="right" w:pos="9638"/>
      </w:tabs>
      <w:rPr>
        <w:szCs w:val="24"/>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34</w:t>
    </w:r>
    <w:r>
      <w:rPr>
        <w:szCs w:val="24"/>
        <w:lang w:val="en-GB"/>
      </w:rPr>
      <w:fldChar w:fldCharType="end"/>
    </w:r>
  </w:p>
  <w:p>
    <w:pPr>
      <w:tabs>
        <w:tab w:val="center" w:pos="4819"/>
        <w:tab w:val="right" w:pos="9638"/>
      </w:tabs>
      <w:rPr>
        <w:szCs w:val="24"/>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16</w:t>
    </w:r>
    <w:r>
      <w:rPr>
        <w:szCs w:val="24"/>
        <w:lang w:val="en-GB"/>
      </w:rPr>
      <w:fldChar w:fldCharType="end"/>
    </w:r>
  </w:p>
  <w:p>
    <w:pPr>
      <w:tabs>
        <w:tab w:val="center" w:pos="4819"/>
        <w:tab w:val="right" w:pos="9638"/>
      </w:tabs>
      <w:rPr>
        <w:szCs w:val="24"/>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48</w:t>
    </w:r>
    <w:r>
      <w:rPr>
        <w:szCs w:val="24"/>
        <w:lang w:val="en-GB"/>
      </w:rPr>
      <w:fldChar w:fldCharType="end"/>
    </w:r>
  </w:p>
  <w:p>
    <w:pPr>
      <w:tabs>
        <w:tab w:val="center" w:pos="4819"/>
        <w:tab w:val="right" w:pos="9638"/>
      </w:tabs>
      <w:rPr>
        <w:szCs w:val="24"/>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14</w:t>
    </w:r>
    <w:r>
      <w:rPr>
        <w:szCs w:val="24"/>
        <w:lang w:val="en-GB"/>
      </w:rPr>
      <w:fldChar w:fldCharType="end"/>
    </w:r>
  </w:p>
  <w:p>
    <w:pPr>
      <w:tabs>
        <w:tab w:val="center" w:pos="4819"/>
        <w:tab w:val="right" w:pos="9638"/>
      </w:tabs>
      <w:rPr>
        <w:szCs w:val="24"/>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24</w:t>
    </w:r>
    <w:r>
      <w:rPr>
        <w:szCs w:val="24"/>
        <w:lang w:val="en-GB"/>
      </w:rPr>
      <w:fldChar w:fldCharType="end"/>
    </w:r>
  </w:p>
  <w:p>
    <w:pPr>
      <w:tabs>
        <w:tab w:val="center" w:pos="4819"/>
        <w:tab w:val="right" w:pos="9638"/>
      </w:tabs>
      <w:rPr>
        <w:szCs w:val="24"/>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703"/>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BA024F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891388">
      <w:bodyDiv w:val="1"/>
      <w:marLeft w:val="0"/>
      <w:marRight w:val="0"/>
      <w:marTop w:val="0"/>
      <w:marBottom w:val="0"/>
      <w:divBdr>
        <w:top w:val="none" w:sz="0" w:space="0" w:color="auto"/>
        <w:left w:val="none" w:sz="0" w:space="0" w:color="auto"/>
        <w:bottom w:val="none" w:sz="0" w:space="0" w:color="auto"/>
        <w:right w:val="none" w:sz="0" w:space="0" w:color="auto"/>
      </w:divBdr>
    </w:div>
    <w:div w:id="239101773">
      <w:bodyDiv w:val="1"/>
      <w:marLeft w:val="0"/>
      <w:marRight w:val="0"/>
      <w:marTop w:val="0"/>
      <w:marBottom w:val="0"/>
      <w:divBdr>
        <w:top w:val="none" w:sz="0" w:space="0" w:color="auto"/>
        <w:left w:val="none" w:sz="0" w:space="0" w:color="auto"/>
        <w:bottom w:val="none" w:sz="0" w:space="0" w:color="auto"/>
        <w:right w:val="none" w:sz="0" w:space="0" w:color="auto"/>
      </w:divBdr>
    </w:div>
    <w:div w:id="252320110">
      <w:bodyDiv w:val="1"/>
      <w:marLeft w:val="0"/>
      <w:marRight w:val="0"/>
      <w:marTop w:val="0"/>
      <w:marBottom w:val="0"/>
      <w:divBdr>
        <w:top w:val="none" w:sz="0" w:space="0" w:color="auto"/>
        <w:left w:val="none" w:sz="0" w:space="0" w:color="auto"/>
        <w:bottom w:val="none" w:sz="0" w:space="0" w:color="auto"/>
        <w:right w:val="none" w:sz="0" w:space="0" w:color="auto"/>
      </w:divBdr>
    </w:div>
    <w:div w:id="321810321">
      <w:marLeft w:val="0"/>
      <w:marRight w:val="0"/>
      <w:marTop w:val="0"/>
      <w:marBottom w:val="0"/>
      <w:divBdr>
        <w:top w:val="none" w:sz="0" w:space="0" w:color="auto"/>
        <w:left w:val="none" w:sz="0" w:space="0" w:color="auto"/>
        <w:bottom w:val="none" w:sz="0" w:space="0" w:color="auto"/>
        <w:right w:val="none" w:sz="0" w:space="0" w:color="auto"/>
      </w:divBdr>
    </w:div>
    <w:div w:id="321810322">
      <w:marLeft w:val="0"/>
      <w:marRight w:val="0"/>
      <w:marTop w:val="0"/>
      <w:marBottom w:val="0"/>
      <w:divBdr>
        <w:top w:val="none" w:sz="0" w:space="0" w:color="auto"/>
        <w:left w:val="none" w:sz="0" w:space="0" w:color="auto"/>
        <w:bottom w:val="none" w:sz="0" w:space="0" w:color="auto"/>
        <w:right w:val="none" w:sz="0" w:space="0" w:color="auto"/>
      </w:divBdr>
    </w:div>
    <w:div w:id="321810323">
      <w:marLeft w:val="0"/>
      <w:marRight w:val="0"/>
      <w:marTop w:val="0"/>
      <w:marBottom w:val="0"/>
      <w:divBdr>
        <w:top w:val="none" w:sz="0" w:space="0" w:color="auto"/>
        <w:left w:val="none" w:sz="0" w:space="0" w:color="auto"/>
        <w:bottom w:val="none" w:sz="0" w:space="0" w:color="auto"/>
        <w:right w:val="none" w:sz="0" w:space="0" w:color="auto"/>
      </w:divBdr>
    </w:div>
    <w:div w:id="321810324">
      <w:marLeft w:val="0"/>
      <w:marRight w:val="0"/>
      <w:marTop w:val="0"/>
      <w:marBottom w:val="0"/>
      <w:divBdr>
        <w:top w:val="none" w:sz="0" w:space="0" w:color="auto"/>
        <w:left w:val="none" w:sz="0" w:space="0" w:color="auto"/>
        <w:bottom w:val="none" w:sz="0" w:space="0" w:color="auto"/>
        <w:right w:val="none" w:sz="0" w:space="0" w:color="auto"/>
      </w:divBdr>
    </w:div>
    <w:div w:id="321810325">
      <w:marLeft w:val="0"/>
      <w:marRight w:val="0"/>
      <w:marTop w:val="0"/>
      <w:marBottom w:val="0"/>
      <w:divBdr>
        <w:top w:val="none" w:sz="0" w:space="0" w:color="auto"/>
        <w:left w:val="none" w:sz="0" w:space="0" w:color="auto"/>
        <w:bottom w:val="none" w:sz="0" w:space="0" w:color="auto"/>
        <w:right w:val="none" w:sz="0" w:space="0" w:color="auto"/>
      </w:divBdr>
    </w:div>
    <w:div w:id="321810326">
      <w:marLeft w:val="0"/>
      <w:marRight w:val="0"/>
      <w:marTop w:val="0"/>
      <w:marBottom w:val="0"/>
      <w:divBdr>
        <w:top w:val="none" w:sz="0" w:space="0" w:color="auto"/>
        <w:left w:val="none" w:sz="0" w:space="0" w:color="auto"/>
        <w:bottom w:val="none" w:sz="0" w:space="0" w:color="auto"/>
        <w:right w:val="none" w:sz="0" w:space="0" w:color="auto"/>
      </w:divBdr>
    </w:div>
    <w:div w:id="321810327">
      <w:marLeft w:val="0"/>
      <w:marRight w:val="0"/>
      <w:marTop w:val="0"/>
      <w:marBottom w:val="0"/>
      <w:divBdr>
        <w:top w:val="none" w:sz="0" w:space="0" w:color="auto"/>
        <w:left w:val="none" w:sz="0" w:space="0" w:color="auto"/>
        <w:bottom w:val="none" w:sz="0" w:space="0" w:color="auto"/>
        <w:right w:val="none" w:sz="0" w:space="0" w:color="auto"/>
      </w:divBdr>
    </w:div>
    <w:div w:id="321810329">
      <w:marLeft w:val="0"/>
      <w:marRight w:val="0"/>
      <w:marTop w:val="0"/>
      <w:marBottom w:val="0"/>
      <w:divBdr>
        <w:top w:val="none" w:sz="0" w:space="0" w:color="auto"/>
        <w:left w:val="none" w:sz="0" w:space="0" w:color="auto"/>
        <w:bottom w:val="none" w:sz="0" w:space="0" w:color="auto"/>
        <w:right w:val="none" w:sz="0" w:space="0" w:color="auto"/>
      </w:divBdr>
    </w:div>
    <w:div w:id="321810330">
      <w:marLeft w:val="0"/>
      <w:marRight w:val="0"/>
      <w:marTop w:val="0"/>
      <w:marBottom w:val="0"/>
      <w:divBdr>
        <w:top w:val="none" w:sz="0" w:space="0" w:color="auto"/>
        <w:left w:val="none" w:sz="0" w:space="0" w:color="auto"/>
        <w:bottom w:val="none" w:sz="0" w:space="0" w:color="auto"/>
        <w:right w:val="none" w:sz="0" w:space="0" w:color="auto"/>
      </w:divBdr>
    </w:div>
    <w:div w:id="321810331">
      <w:marLeft w:val="0"/>
      <w:marRight w:val="0"/>
      <w:marTop w:val="0"/>
      <w:marBottom w:val="0"/>
      <w:divBdr>
        <w:top w:val="none" w:sz="0" w:space="0" w:color="auto"/>
        <w:left w:val="none" w:sz="0" w:space="0" w:color="auto"/>
        <w:bottom w:val="none" w:sz="0" w:space="0" w:color="auto"/>
        <w:right w:val="none" w:sz="0" w:space="0" w:color="auto"/>
      </w:divBdr>
    </w:div>
    <w:div w:id="321810332">
      <w:marLeft w:val="225"/>
      <w:marRight w:val="225"/>
      <w:marTop w:val="0"/>
      <w:marBottom w:val="0"/>
      <w:divBdr>
        <w:top w:val="none" w:sz="0" w:space="0" w:color="auto"/>
        <w:left w:val="none" w:sz="0" w:space="0" w:color="auto"/>
        <w:bottom w:val="none" w:sz="0" w:space="0" w:color="auto"/>
        <w:right w:val="none" w:sz="0" w:space="0" w:color="auto"/>
      </w:divBdr>
      <w:divsChild>
        <w:div w:id="321810328">
          <w:marLeft w:val="0"/>
          <w:marRight w:val="0"/>
          <w:marTop w:val="0"/>
          <w:marBottom w:val="0"/>
          <w:divBdr>
            <w:top w:val="none" w:sz="0" w:space="0" w:color="auto"/>
            <w:left w:val="none" w:sz="0" w:space="0" w:color="auto"/>
            <w:bottom w:val="none" w:sz="0" w:space="0" w:color="auto"/>
            <w:right w:val="none" w:sz="0" w:space="0" w:color="auto"/>
          </w:divBdr>
        </w:div>
      </w:divsChild>
    </w:div>
    <w:div w:id="321810333">
      <w:marLeft w:val="0"/>
      <w:marRight w:val="0"/>
      <w:marTop w:val="0"/>
      <w:marBottom w:val="0"/>
      <w:divBdr>
        <w:top w:val="none" w:sz="0" w:space="0" w:color="auto"/>
        <w:left w:val="none" w:sz="0" w:space="0" w:color="auto"/>
        <w:bottom w:val="none" w:sz="0" w:space="0" w:color="auto"/>
        <w:right w:val="none" w:sz="0" w:space="0" w:color="auto"/>
      </w:divBdr>
    </w:div>
    <w:div w:id="321810334">
      <w:marLeft w:val="0"/>
      <w:marRight w:val="0"/>
      <w:marTop w:val="0"/>
      <w:marBottom w:val="0"/>
      <w:divBdr>
        <w:top w:val="none" w:sz="0" w:space="0" w:color="auto"/>
        <w:left w:val="none" w:sz="0" w:space="0" w:color="auto"/>
        <w:bottom w:val="none" w:sz="0" w:space="0" w:color="auto"/>
        <w:right w:val="none" w:sz="0" w:space="0" w:color="auto"/>
      </w:divBdr>
      <w:divsChild>
        <w:div w:id="321810337">
          <w:marLeft w:val="0"/>
          <w:marRight w:val="0"/>
          <w:marTop w:val="0"/>
          <w:marBottom w:val="0"/>
          <w:divBdr>
            <w:top w:val="none" w:sz="0" w:space="0" w:color="auto"/>
            <w:left w:val="none" w:sz="0" w:space="0" w:color="auto"/>
            <w:bottom w:val="none" w:sz="0" w:space="0" w:color="auto"/>
            <w:right w:val="none" w:sz="0" w:space="0" w:color="auto"/>
          </w:divBdr>
        </w:div>
      </w:divsChild>
    </w:div>
    <w:div w:id="321810335">
      <w:marLeft w:val="0"/>
      <w:marRight w:val="0"/>
      <w:marTop w:val="0"/>
      <w:marBottom w:val="0"/>
      <w:divBdr>
        <w:top w:val="none" w:sz="0" w:space="0" w:color="auto"/>
        <w:left w:val="none" w:sz="0" w:space="0" w:color="auto"/>
        <w:bottom w:val="none" w:sz="0" w:space="0" w:color="auto"/>
        <w:right w:val="none" w:sz="0" w:space="0" w:color="auto"/>
      </w:divBdr>
    </w:div>
    <w:div w:id="321810336">
      <w:marLeft w:val="0"/>
      <w:marRight w:val="0"/>
      <w:marTop w:val="0"/>
      <w:marBottom w:val="0"/>
      <w:divBdr>
        <w:top w:val="none" w:sz="0" w:space="0" w:color="auto"/>
        <w:left w:val="none" w:sz="0" w:space="0" w:color="auto"/>
        <w:bottom w:val="none" w:sz="0" w:space="0" w:color="auto"/>
        <w:right w:val="none" w:sz="0" w:space="0" w:color="auto"/>
      </w:divBdr>
    </w:div>
    <w:div w:id="321810338">
      <w:marLeft w:val="0"/>
      <w:marRight w:val="0"/>
      <w:marTop w:val="0"/>
      <w:marBottom w:val="0"/>
      <w:divBdr>
        <w:top w:val="none" w:sz="0" w:space="0" w:color="auto"/>
        <w:left w:val="none" w:sz="0" w:space="0" w:color="auto"/>
        <w:bottom w:val="none" w:sz="0" w:space="0" w:color="auto"/>
        <w:right w:val="none" w:sz="0" w:space="0" w:color="auto"/>
      </w:divBdr>
    </w:div>
    <w:div w:id="321810339">
      <w:marLeft w:val="0"/>
      <w:marRight w:val="0"/>
      <w:marTop w:val="0"/>
      <w:marBottom w:val="0"/>
      <w:divBdr>
        <w:top w:val="none" w:sz="0" w:space="0" w:color="auto"/>
        <w:left w:val="none" w:sz="0" w:space="0" w:color="auto"/>
        <w:bottom w:val="none" w:sz="0" w:space="0" w:color="auto"/>
        <w:right w:val="none" w:sz="0" w:space="0" w:color="auto"/>
      </w:divBdr>
    </w:div>
    <w:div w:id="321810340">
      <w:marLeft w:val="0"/>
      <w:marRight w:val="0"/>
      <w:marTop w:val="0"/>
      <w:marBottom w:val="0"/>
      <w:divBdr>
        <w:top w:val="none" w:sz="0" w:space="0" w:color="auto"/>
        <w:left w:val="none" w:sz="0" w:space="0" w:color="auto"/>
        <w:bottom w:val="none" w:sz="0" w:space="0" w:color="auto"/>
        <w:right w:val="none" w:sz="0" w:space="0" w:color="auto"/>
      </w:divBdr>
    </w:div>
    <w:div w:id="321810341">
      <w:marLeft w:val="0"/>
      <w:marRight w:val="0"/>
      <w:marTop w:val="0"/>
      <w:marBottom w:val="0"/>
      <w:divBdr>
        <w:top w:val="none" w:sz="0" w:space="0" w:color="auto"/>
        <w:left w:val="none" w:sz="0" w:space="0" w:color="auto"/>
        <w:bottom w:val="none" w:sz="0" w:space="0" w:color="auto"/>
        <w:right w:val="none" w:sz="0" w:space="0" w:color="auto"/>
      </w:divBdr>
    </w:div>
    <w:div w:id="563835603">
      <w:bodyDiv w:val="1"/>
      <w:marLeft w:val="0"/>
      <w:marRight w:val="0"/>
      <w:marTop w:val="0"/>
      <w:marBottom w:val="0"/>
      <w:divBdr>
        <w:top w:val="none" w:sz="0" w:space="0" w:color="auto"/>
        <w:left w:val="none" w:sz="0" w:space="0" w:color="auto"/>
        <w:bottom w:val="none" w:sz="0" w:space="0" w:color="auto"/>
        <w:right w:val="none" w:sz="0" w:space="0" w:color="auto"/>
      </w:divBdr>
    </w:div>
    <w:div w:id="710350124">
      <w:bodyDiv w:val="1"/>
      <w:marLeft w:val="0"/>
      <w:marRight w:val="0"/>
      <w:marTop w:val="0"/>
      <w:marBottom w:val="0"/>
      <w:divBdr>
        <w:top w:val="none" w:sz="0" w:space="0" w:color="auto"/>
        <w:left w:val="none" w:sz="0" w:space="0" w:color="auto"/>
        <w:bottom w:val="none" w:sz="0" w:space="0" w:color="auto"/>
        <w:right w:val="none" w:sz="0" w:space="0" w:color="auto"/>
      </w:divBdr>
    </w:div>
    <w:div w:id="1680617143">
      <w:bodyDiv w:val="1"/>
      <w:marLeft w:val="0"/>
      <w:marRight w:val="0"/>
      <w:marTop w:val="0"/>
      <w:marBottom w:val="0"/>
      <w:divBdr>
        <w:top w:val="none" w:sz="0" w:space="0" w:color="auto"/>
        <w:left w:val="none" w:sz="0" w:space="0" w:color="auto"/>
        <w:bottom w:val="none" w:sz="0" w:space="0" w:color="auto"/>
        <w:right w:val="none" w:sz="0" w:space="0" w:color="auto"/>
      </w:divBdr>
    </w:div>
    <w:div w:id="1742024585">
      <w:bodyDiv w:val="1"/>
      <w:marLeft w:val="0"/>
      <w:marRight w:val="0"/>
      <w:marTop w:val="0"/>
      <w:marBottom w:val="0"/>
      <w:divBdr>
        <w:top w:val="none" w:sz="0" w:space="0" w:color="auto"/>
        <w:left w:val="none" w:sz="0" w:space="0" w:color="auto"/>
        <w:bottom w:val="none" w:sz="0" w:space="0" w:color="auto"/>
        <w:right w:val="none" w:sz="0" w:space="0" w:color="auto"/>
      </w:divBdr>
    </w:div>
    <w:div w:id="1883007730">
      <w:bodyDiv w:val="1"/>
      <w:marLeft w:val="0"/>
      <w:marRight w:val="0"/>
      <w:marTop w:val="0"/>
      <w:marBottom w:val="0"/>
      <w:divBdr>
        <w:top w:val="none" w:sz="0" w:space="0" w:color="auto"/>
        <w:left w:val="none" w:sz="0" w:space="0" w:color="auto"/>
        <w:bottom w:val="none" w:sz="0" w:space="0" w:color="auto"/>
        <w:right w:val="none" w:sz="0" w:space="0" w:color="auto"/>
      </w:divBdr>
    </w:div>
    <w:div w:id="197474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7.png"/>
  <Relationship Id="rId17" Type="http://schemas.openxmlformats.org/officeDocument/2006/relationships/image" Target="media/image10.png"/>
  <Relationship Id="rId18" Type="http://schemas.openxmlformats.org/officeDocument/2006/relationships/image" Target="media/image12.png"/>
  <Relationship Id="rId19" Type="http://schemas.openxmlformats.org/officeDocument/2006/relationships/image" Target="media/image13.png"/>
  <Relationship Id="rId2" Type="http://schemas.openxmlformats.org/officeDocument/2006/relationships/header" Target="header26.xml"/>
  <Relationship Id="rId20" Type="http://schemas.openxmlformats.org/officeDocument/2006/relationships/image" TargetMode="External" Target="cid:image001.png@01D19400.F0E8E240"/>
  <Relationship Id="rId21" Type="http://schemas.openxmlformats.org/officeDocument/2006/relationships/image" Target="media/image16.png"/>
  <Relationship Id="rId22" Type="http://schemas.openxmlformats.org/officeDocument/2006/relationships/customXml" Target="../customXml/item1.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5eaab58554b48b9866c112a2a2a51b4" PartId="cd6be502eef548c5b6187f8c14d43aab">
    <Part Type="preambule" DocPartId="c472300ae93e4aaaa2fa9a4d921db68b" PartId="724459fd21db4a9a95492b3e7d6c137f"/>
    <Part Type="punktas" Nr="1" Abbr="1 p." DocPartId="1c51a2c84dcc453fa5cca0b9538c5821" PartId="5339e44e9bdb4366b6d0c0ba001e949b"/>
    <Part Type="punktas" Nr="2" Abbr="2 p." DocPartId="8d73a234be884c99acc2125c5f2ab7be" PartId="be1d99e9b98b459f9b21e02fd217f1f4"/>
    <Part Type="punktas" Nr="3" Abbr="3 p." DocPartId="df1c5bcec25642e393cca885a1b781f7" PartId="8df18e3f615f4342a2ae88eb29697807"/>
    <Part Type="signatura" DocPartId="93d3ad7aa71b4601abf1ed7db914d3b1" PartId="9cae92821c2c4a1698213145a123848e"/>
  </Part>
  <Part Type="patvirtinta" Title="ELEKTROS ENERGIJOS PERDAVIMO, SKIRSTYMO IR VISUOMENINIO TIEKIMO PASLAUGŲ BEI VISUOMENINĖS KAINOS VIRŠUTINĖS RIBOS NUSTATYMO METODIKA" DocPartId="b4e6b57bfa7c49519964c5d8364ecb9e" PartId="1b21b42953994a08a46d1f8b4c70d599">
    <Part Type="skyrius" Nr="1" Title="BENDROSIOS NUOSTATOS" DocPartId="34542593cf62413fba2b6ef9f6ed7567" PartId="6a3ae0d30f3c45c782bca9fa08a4d9df">
      <Part Type="punktas" Nr="1" Abbr="1 p." DocPartId="db95594e3ddc41a19e700505dd6e18cd" PartId="dcc34cffce9d4cfcbad5b1f5d26a5728">
        <Part Type="punktas" Nr="1.1" Abbr="1.1 p." DocPartId="189e700f67e648cfae525ce6ce3705e4" PartId="a9404ff43515478ca6c1fd8c1035fd13"/>
        <Part Type="punktas" Nr="1.2" Abbr="1.2 p." DocPartId="452cf10484df4305887adc2ed9810ab4" PartId="fd0f45cb0e2c4baf960b4cdff3203db7"/>
        <Part Type="punktas" Nr="1.3" Abbr="1.3 p." DocPartId="8d7abb99c2bc443eb7a52f4c9ee82ba1" PartId="c7f6f8133f9c427ebbc7d6abf41656d7"/>
        <Part Type="punktas" Nr="1.4" Abbr="1.4 p." DocPartId="46687942ecd94ceca523f9597812aa52" PartId="5d7450eb6e8e469996750ce1dab478f8"/>
      </Part>
      <Part Type="punktas" Nr="2" Abbr="2 p." DocPartId="4ce3e2f1ec26479ea439a6498c793e7e" PartId="6b92513673174e7793902e11448fa4c7"/>
      <Part Type="punktas" Nr="3" Abbr="3 p." DocPartId="818437e1ae694894bce6e70e77e44455" PartId="bfd1b945f5ba46f1bd3229bc91499a99"/>
      <Part Type="punktas" Nr="4" Abbr="4 p." DocPartId="1ac36986cf9447fd93a53b96fa30779d" PartId="88b02b93544a49a38568cda023dd0d82"/>
    </Part>
    <Part Type="skyrius" Nr="2" Title="ELEKTROS ENERGETIKOS SEKTORIAUS KAINODAROS TAISYKLĖS" DocPartId="d002da7e4cd14b6ab91b37085e944392" PartId="a27c18789a0f46058ae6975ffc242403">
      <Part Type="punktas" Nr="5" Abbr="5 p." DocPartId="278efacdc23a42799c62e8e4b194cd74" PartId="019ad8481cd04f7e958ade9b86cfddad">
        <Part Type="punktas" Nr="5.1" Abbr="5.1 p." DocPartId="8715b164351544fe87dee900da6184e5" PartId="15f8d38010fc445b94ba236940f44ec5"/>
        <Part Type="punktas" Nr="5.2" Abbr="5.2 p." DocPartId="8f2604029c4f44b08f3dafd12f3bf08a" PartId="024a3355756b413ba326cba1d6fa817f"/>
        <Part Type="punktas" Nr="5.3" Abbr="5.3 p." DocPartId="e29bb1d8d2d2497a81267c8911408722" PartId="3ce99e68b06743fa9aa8f47951e6e431"/>
      </Part>
      <Part Type="skirsnis" Nr="1" Title="ĮMONIŲ, BESIVERČIANČIŲ ELEKTROS ENERGIJOS PERDAVIMO, ELEKTROS ENERGIJOS SKIRSTYMO VEIKLA, IŠSKYRUS SKIRSTYMO TINKLŲ ĮMONES, KURIŲ VEIKLOS TERITORIJOJE ESANČIŲ VARTOTOJŲ SKAIČIUS MAŽESNIS NEI 100 TŪKSTANČIŲ, KAINODAROS TAISYKLĖS" DocPartId="faaffbbc7ab84722852ab45b0593537e" PartId="d69dbd7253de4520a578741e18b5308a">
        <Part Type="punktas" Nr="6" Abbr="6 p." DocPartId="5a43b5b09b304ba3abad13c2dc477748" PartId="6d7974fc9b7b4d4dbe84f950d8863159"/>
        <Part Type="punktas" Nr="7" Abbr="7 p." DocPartId="76d2f10c1fb14305b3119b6cc442da0b" PartId="f8fdeb7d5d8f4a62bbd440768f4198c2">
          <Part Type="punktas" Nr="7.1" Abbr="7.1 p." DocPartId="db0c6952ec78438bb6c637e68776aedd" PartId="2bd022f385c84e8ea2ba3fe7fa2ce2c2">
            <Part Type="punktas" Nr="7.1.1" Abbr="7.1.1 p." DocPartId="e0ff6e2411dc41b286fc49a578c1b1d2" PartId="a663b0a74eed4da8add18c149716dffa"/>
            <Part Type="punktas" Nr="7.1.2" Abbr="7.1.2 p." DocPartId="59c72347735246d09d38ac7b77747d5b" PartId="c385c1474b764b648c4986f584c9cd9b"/>
            <Part Type="punktas" Nr="7.1.3" Abbr="7.1.3 p." DocPartId="d8ec8390a82c420d819144926d406fef" PartId="1e13d518d42649eb8dc1e1a01acad04f"/>
            <Part Type="punktas" Nr="7.1.4" Abbr="7.1.4 p." DocPartId="8c642ed1e24e4798b9c80d17d331d7dd" PartId="cabb3fc2035145dd87939929244c49f5"/>
          </Part>
          <Part Type="punktas" Nr="7.2" Abbr="7.2 p." DocPartId="b310231fbbed47bfbc28538f42d87b72" PartId="3a7624613bc54eb68bb54f64fdb04892">
            <Part Type="punktas" Nr="7.2.1" Abbr="7.2.1 p." DocPartId="5e70c3fa9bea4c71b7d808e0d7eae097" PartId="9cd00deaaa56405e8f66ed456e619e6b">
              <Part Type="punktas" Nr="7.2.1.1" Abbr="7.2.1.1 p." DocPartId="ce1657db6a1846f38f8899d73f970516" PartId="3c25f85c69e54e7b842cd3f09fdcdeb0"/>
              <Part Type="punktas" Nr="7.2.1.2" Abbr="7.2.1.2 p." DocPartId="1a6cb879dec34bfe91911ffd86b37889" PartId="530c938ff58b423da9f2b725fb25c56f"/>
            </Part>
            <Part Type="punktas" Nr="7.2.2" Abbr="7.2.2 p." DocPartId="cd2bd57cafe64469b174270db9818968" PartId="8f037961bf86424b8439523f1a2d3359">
              <Part Type="punktas" Nr="7.2.2.1" Abbr="7.2.2.1 p." DocPartId="eece1929ac45433f84047f5740097ce6" PartId="626712c82fdb41e2b2e17918ccbd73e7"/>
              <Part Type="punktas" Nr="7.2.2.2" Abbr="7.2.2.2 p." DocPartId="fa01d027c23b4760862928024549e326" PartId="0768699c1d3146c3b133f53114ea1d5a"/>
            </Part>
            <Part Type="punktas" Nr="7.2.3" Abbr="7.2.3 p." DocPartId="4663f3d9fd4e4de6a83929c66e97108d" PartId="762226d2c49843c59a6815204a3bb642"/>
            <Part Type="punktas" Nr="7.2.4" Abbr="7.2.4 p." DocPartId="d8ee6e2c71fd43068d40c64febb0c5a4" PartId="c1d2a734a119409986393d1ba531d93f"/>
            <Part Type="punktas" Nr="7.2.4-1" Abbr="7.2.4-1 p." DocPartId="3c7681e6565d4bc890e825d8b4f180f5" PartId="88721f57e9a44899a7a1355842127a10"/>
            <Part Type="punktas" Nr="7.2.4-2" Abbr="7.2.4-2 p." DocPartId="1e93953f61c6420eb43c2f236b351f70" PartId="bac9f4954e974acab25aac7b58872621"/>
            <Part Type="punktas" Nr="7.2.5" Abbr="7.2.5 p." DocPartId="1fe7165e742d42bbb4abea4b1733e85a" PartId="5f492a967a5a4b88a4026cdab3754ad1"/>
          </Part>
          <Part Type="punktas" Nr="7.3" Abbr="7.3 p." DocPartId="3ff005a1d9e049a29fec206c943f9ffe" PartId="976544cfacfa4563bca3849fade52456">
            <Part Type="punktas" Nr="7.3.1" Abbr="7.3.1 p." DocPartId="e75badffed9646fabcf1a58271d11207" PartId="70ceca9f228d4b0eb0f6c3d720adf6eb"/>
            <Part Type="punktas" Nr="7.3.2" Abbr="7.3.2 p." DocPartId="525dadc76cad4de895da9171d7d80fb4" PartId="87e2f9ff0e2e4d3286a745f43814c226">
              <Part Type="punktas" Nr="7.3.2.1" Abbr="7.3.2.1 p." DocPartId="030f37ad14c54c6497a2cc50dc36c04a" PartId="54700e9d18c346059d17a084d7288982"/>
              <Part Type="punktas" Nr="7.3.2.2" Abbr="7.3.2.2 p." DocPartId="82eb34f3871f40b886e2f765b47ff051" PartId="e1d60074850b4e24b9476c58137bf06c"/>
              <Part Type="punktas" Nr="7.3.2.3" Abbr="7.3.2.3 p." DocPartId="18f77b6368204f4e90654c27462dce0d" PartId="d9aa63753ef5461ca96687f862a24066"/>
            </Part>
            <Part Type="punktas" Nr="7.3.3" Abbr="7.3.3 p." DocPartId="f3b501add1e9487fa20239dd607d186d" PartId="cfde20a664364c4585a3c30ee9e876bb"/>
          </Part>
        </Part>
        <Part Type="punktas" Nr="8" Abbr="8 p." DocPartId="7b0b957d3b21477593983547eb366ff5" PartId="4163c70c3af343c69072c0dd9d53b0c8">
          <Part Type="punktas" Nr="8.1" Abbr="8.1 p." DocPartId="605a969d3dbf437382a8fa355c67f964" PartId="198f0b6b449b4bf3815ed4cef082a5ab">
            <Part Type="punktas" Nr="8.1.1" Abbr="8.1.1 p." DocPartId="800de90605c74292907725e768ed0c65" PartId="a8683c0632b14239bd321be54d0b63c2"/>
            <Part Type="punktas" Nr="8.1.1-1" Abbr="8.1.1-1 p." DocPartId="60c3487014f64cb9b119fbe9247d94c3" PartId="a0c4a1997f5243ce88b34f59bdeb7a51">
              <Part Type="punktas" Nr="8.1.1-1.1" Abbr="8.1.1-1.1 p." DocPartId="aa22f9ec5705484282072e08fd63b112" PartId="b4e06b7607c3457a87ad416593db413a"/>
              <Part Type="punktas" Nr="8.1.1-1.2" Abbr="8.1.1-1.2 p." DocPartId="3a13d175787e4e43955dbcc0bbeac409" PartId="860948df349e434397c0a49542f63bc0"/>
              <Part Type="punktas" Nr="8.1.1-1.3" Abbr="8.1.1-1.3 p." DocPartId="6049360194a542b48931476be94bfe68" PartId="dc634b3f54944a88b14c3e2b7a60bffb"/>
            </Part>
            <Part Type="punktas" Nr="8.1.2" Abbr="8.1.2 p." DocPartId="9f338dd6551f4532898e6d0ae1aaccdf" PartId="d86ba2c9ee2845228be76d3d905024e0"/>
            <Part Type="punktas" Nr="8.1.3" Abbr="8.1.3 p." DocPartId="f71544ad1dbf40d1aab6f48d0dc4c697" PartId="ebe91f9d79f44ce995e22db69c2ddf96"/>
            <Part Type="punktas" Nr="8.1.4" Abbr="8.1.4 p." DocPartId="9d5b4abffa4e481fbd7d9ac6a10a7fe6" PartId="a5234e5a81964f87bf84bfbca29b89a6"/>
          </Part>
          <Part Type="punktas" Nr="8.2" Abbr="8.2 p." DocPartId="5d83f96fbff34157b97ad93313143f78" PartId="54842da0eb6e4e66ab65af0345f9e3ad">
            <Part Type="punktas" Nr="8.2.1" Abbr="8.2.1 p." DocPartId="f625bff7e35943d0b6eb24351c6ca5d5" PartId="08b41af5f0844f36923854bbd9e4c604"/>
            <Part Type="punktas" Nr="8.2.1-1" Abbr="8.2.1-1 p." DocPartId="6fe892dc49a248728236856ee8992c51" PartId="366868b6711e416f864dcdf33c81fa35">
              <Part Type="punktas" Nr="8.2.1-1.1" Abbr="8.2.1-1.1 p." DocPartId="de21bd6da1954cada755d188da94c0dd" PartId="3a2b7c06955548efbc12fff9cf1c21ba"/>
              <Part Type="punktas" Nr="8.2.1-1.2" Abbr="8.2.1-1.2 p." DocPartId="4d7ab7716625429784e9242c05e8d854" PartId="0fa16d5e669b4a0ca6b3a0d84dca6948"/>
              <Part Type="punktas" Nr="8.2.1-1.3" Abbr="8.2.1-1.3 p." DocPartId="d2a612e71b0a4710a477168c4445e341" PartId="fa3b94d5975c40f4822521ebf57fe8f9"/>
            </Part>
            <Part Type="punktas" Nr="8.2.2" Abbr="8.2.2 p." DocPartId="9cc323e72ef447dc9cdcff556ec293af" PartId="f7f1a3d891fa4cc69767a7f74ad39217"/>
            <Part Type="punktas" Nr="8.2.3" Abbr="8.2.3 p." DocPartId="a57257eda9c647319e98e5994da2fed1" PartId="56ab52680d6d482da34fd4c646c83351"/>
            <Part Type="punktas" Nr="8.2.4" Abbr="8.2.4 p." DocPartId="433fa0ef253d41a0ba42e23f27440225" PartId="b5446e5a598f4d968be6fea7916152ef"/>
            <Part Type="punktas" Nr="8.2.5" Abbr="8.2.5 p." DocPartId="991041551fd84763acecc85349a3de66" PartId="c1ce6b26bae14ed9a2d1445bf10f5ca1"/>
            <Part Type="punktas" Nr="8.2.6" Abbr="8.2.6 p." DocPartId="0a84d9ce9f7744d483cae0d10a670c7d" PartId="8ecf582e8fcf43078c15b90c10b68fb5"/>
          </Part>
          <Part Type="punktas" Nr="8.3" Abbr="8.3 p." DocPartId="4652d1a6f52a4530893e138772a63ec3" PartId="bd5bf996c6fa4a2e8ed9d90b4698cf5b"/>
          <Part Type="punktas" Nr="8.4" Abbr="8.4 p." DocPartId="4d6083982d0d4259aece3d4e15881803" PartId="f37e06a3fde24b3fb960ce3345fc3bdd"/>
          <Part Type="punktas" Nr="8.5" Abbr="8.5 p." DocPartId="2efeb2081ffa4205851293433ac82f24" PartId="c72b1a7d6f624c61bedf46df6d37780a"/>
        </Part>
        <Part Type="punktas" Nr="9" Abbr="9 p." DocPartId="e6cfc5f99a004ceaa0db0b829ea97b32" PartId="5fd9c85c7a1446e093c31dbc3b61a967">
          <Part Type="punktas" Nr="9.1" Abbr="9.1 p." DocPartId="ef3f10eb5a8c497bbd031a0caea3ca24" PartId="b7226d88595543b6902e9a13c8d02666"/>
          <Part Type="punktas" Nr="9.2" Abbr="9.2 p." DocPartId="484578b9955648a7b28c7995b78f0b94" PartId="8766e3fd8c7a4ad3afc2ff5bbd705002">
            <Part Type="punktas" Nr="9.2.1" Abbr="9.2.1 p." DocPartId="aab233b93db54ccdb067bbe1296ffb2d" PartId="3e519ec0801a4b119d8a322e3a6691c4"/>
            <Part Type="punktas" Nr="9.2.2" Abbr="9.2.2 p." DocPartId="ffd7d6f43b9d41139463066b1fdd0dc9" PartId="40416011835c40b28218f5ec86ce28ec"/>
            <Part Type="punktas" Nr="9.2.3" Abbr="9.2.3 p." DocPartId="d295f7cebd5a44f290f8632035f94f41" PartId="5fcd217e5c494a21baeee694c925e6b3"/>
            <Part Type="punktas" Nr="9.2.4" Abbr="9.2.4 p." DocPartId="eca956fead684eee837dbb75b603056b" PartId="60ee3e099b8543bfb4fa4ebaf19c3813"/>
          </Part>
        </Part>
        <Part Type="punktas" Nr="10" Abbr="10 p." DocPartId="c16adf26acda45c59b4dbbe45df0ff6e" PartId="9e220de9cff7437fb2177e841e8112e4">
          <Part Type="punktas" Nr="10.1" Abbr="10.1 p." DocPartId="1a4d4962fd3d4bf2b371f4666f77e628" PartId="ce67f3c34f3540aa9e2e2e94bcde249e"/>
          <Part Type="punktas" Nr="10.2" Abbr="10.2 p." DocPartId="ed86d40ae30c4b6bb53d0d860d3e4210" PartId="295d0e6094c7417f989efba4d291e8dc"/>
        </Part>
        <Part Type="punktas" Nr="11" Abbr="11 p." DocPartId="c5b9a04509a84d32a91a7fdf3c25ab5b" PartId="ab6d9ee8394e49b8870dc1429c769afc"/>
        <Part Type="punktas" Nr="12" Abbr="12 p." DocPartId="9638e51cc3fc46dab2c5218fe81f9338" PartId="54417246292a4664ad1a5ae635d74e74"/>
        <Part Type="punktas" Nr="13" Abbr="13 p." DocPartId="f87d057d6ce04641aaa49f8510cebae1" PartId="6d9b25192e4d4bf4b3ecf500fd844956"/>
        <Part Type="punktas" Nr="14" Abbr="14 p." DocPartId="cff49987fea049098839d9e214d52272" PartId="96fffdf6d88b477aad3c98d821f6c775"/>
        <Part Type="punktas" Nr="14-1" Abbr="14-1 p." DocPartId="ac0f1f4b862d43d994d608aa7b2b3a19" PartId="b26cf6a43e244337a5024a7a308d7ff5"/>
        <Part Type="punktas" Nr="14-2" Abbr="14-2 p." DocPartId="9d80aab7a53d40b290a4d90bda073dd8" PartId="fc31139782fe4301a1d341ea788687dc">
          <Part Type="punktas" Nr="14-2.1" Abbr="14-2.1 p." DocPartId="f30b2ab9ff994b8cb881dcba771b8500" PartId="cecbd3af763f4346b2b4b8aa131f7e66"/>
          <Part Type="punktas" Nr="14-2.2" Abbr="14-2.2 p." DocPartId="48246184225b4c1aa44b56f15c0e5dd2" PartId="bc739d2bbeda42488a020e898664d73c"/>
          <Part Type="punktas" Nr="14-2.3" Abbr="14-2.3 p." DocPartId="f0ac6fd80ba14fdb930c9e558893411a" PartId="4b736f70ffa946349e07b5b9ad8e1451"/>
          <Part Type="punktas" Nr="14-2.4" Abbr="14-2.4 p." DocPartId="27517d3b9ec64e4e9d9d3b33fcf097cb" PartId="22eae20d937c4c3fb4ee2e1edf90f311"/>
        </Part>
        <Part Type="punktas" Nr="15" Abbr="15 p." DocPartId="d7dbd51b560b4fb0b32e384c5ff5c986" PartId="fc934dc90f114fa085429b4025487e86">
          <Part Type="punktas" Nr="15.1" Abbr="15.1 p." DocPartId="5a629af8609a4c7c8888a69c26739693" PartId="12a4915a15c948acb710cf0d7b3e7dab"/>
          <Part Type="punktas" Nr="15.2" Abbr="15.2 p." DocPartId="1e1d87f2966c46a3bb02f3ab62e48d3c" PartId="dd9507695f4f483aa06c1bb9073a819a"/>
        </Part>
        <Part Type="punktas" Nr="16" Abbr="16 p." DocPartId="c7056d20c69648a187ede9395d1cb80b" PartId="f2dc6bc52c10474794bcb90aa9749120">
          <Part Type="punktas" Nr="16.1" Abbr="16.1 p." DocPartId="e5fb1b6985e5436cb8e61621e3f19f41" PartId="ad5fbe8273a642fdb9d873b7760d4f28"/>
          <Part Type="punktas" Nr="16.2" Abbr="16.2 p." DocPartId="61cb08bee38a4a268704c524debb5b2d" PartId="fc23133d39634d93b870027c2c715724"/>
          <Part Type="punktas" Nr="16.3" Abbr="16.3 p." DocPartId="58465016c9e14245b47889a478432f7c" PartId="f941f63fc069460eaa9a50c96b031606"/>
          <Part Type="punktas" Nr="16.4" Abbr="16.4 p." DocPartId="dd9c9f4c4d124053ab5c984931e60b75" PartId="c7e0495cad04494a853116a80c58616a"/>
          <Part Type="punktas" Nr="16.5" Abbr="16.5 p." DocPartId="593b336f99fd40289013e4c0d2a3a588" PartId="a2fcef20d73647f09dcdec99a78535a6"/>
        </Part>
        <Part Type="punktas" Nr="17" Abbr="17 p." DocPartId="e5f4eb2df6564a93b94351c3680cb7e9" PartId="03bb3c27e8e94fb8999d8d575f3981ea"/>
        <Part Type="punktas" Nr="18" Abbr="18 p." DocPartId="6cb6dc42786c4044babe2f22ea5858a2" PartId="8e48f81e433e47f7abcb6b4942380dea">
          <Part Type="punktas" Nr="18.1" Abbr="18.1 p." DocPartId="6bfc157060904cefbf642c2e25534d19" PartId="118d440fcb7f424ebeac5767a7af0eab"/>
          <Part Type="punktas" Nr="18.2" Abbr="18.2 p." DocPartId="aaca72e13ec84504aedc8707b32f39d4" PartId="96835b18fbed42229ce7e4f043cc9b53"/>
          <Part Type="punktas" Nr="18.3" Abbr="18.3 p." DocPartId="bb326418e1444f869194b174f3a4d5ca" PartId="a1b3c43bc0194dba8295f76eb4842d61"/>
          <Part Type="punktas" Nr="18.4" Abbr="18.4 p." DocPartId="4fc3e4bd992749dcb9a90bae60a79b06" PartId="9330226942d8402c887ef17805e0ab06"/>
        </Part>
      </Part>
      <Part Type="skirsnis" Nr="2" Title="ĮMONIŲ, BESIVERČIANČIŲ SKIRSTYMO VEIKLA, KURIŲ VEIKLOS TERITORIJOJE ESANČIŲ VARTOTOJŲ SKAIČIUS MAŽESNIS NEI 100 TŪKSTANČIŲ, IR ĮMONIŲ, BESIVERČIANČIŲ VISUOMENINIO TIEKIMO VEIKLA KAINODAROS TAISYKLĖS" DocPartId="96c16c94844f4bf18bdc089324f82c92" PartId="fef0e2518339433085facff293bda298">
        <Part Type="punktas" Nr="19" Abbr="19 p." DocPartId="02ff8c8781134e85800d7d4763d7f3b1" PartId="5afcd837a8524ceeaa28ac821b3fe4a7"/>
        <Part Type="punktas" Nr="20" Abbr="20 p." DocPartId="959e136aaba64a0f9a7e440d8856243f" PartId="a942da867700476793bef7dc6f66f3a2">
          <Part Type="punktas" Nr="20.1" Abbr="20.1 p." DocPartId="0ba75a1dc60748bc9018aa41711124be" PartId="3952c9c8478140478208cb29339a4698">
            <Part Type="punktas" Nr="20.1.1" Abbr="20.1.1 p." DocPartId="83933764eb684048960383ad31ce1a97" PartId="d1335ce682474c8f8502a37e288e1e34"/>
            <Part Type="punktas" Nr="21.1.1-1" Abbr="21.1.1-1 p." DocPartId="536fa6eeb7e14ab78d9e4fc86b51d4bb" PartId="ac6c118e544c4b11a4a641702c9ceabd">
              <Part Type="punktas" Nr="21.1.1-1.1" Abbr="21.1.1-1.1 p." DocPartId="185b336e635e4dd58fc3561fed0002f7" PartId="657c5f8cb3a240b397159bb6727604af"/>
              <Part Type="punktas" Nr="21.1.1-1.2" Abbr="21.1.1-1.2 p." DocPartId="c9eb6ff885ed476a9cbbe0d78a7a63a2" PartId="b9078bc747c94ceb852f5199fc7b9335"/>
              <Part Type="punktas" Nr="21.1.1-1.3" Abbr="21.1.1-1.3 p." DocPartId="d61ebad85c9b42f69aebce5105743cba" PartId="73adde6aa23b4425a101a687002194a5"/>
            </Part>
            <Part Type="punktas" Nr="20.1.2" Abbr="20.1.2 p." DocPartId="a8ecb7ae00a847d09e003df0859c1cee" PartId="ecbeb98946de45ec86c2402fbb8e22b9"/>
            <Part Type="punktas" Nr="20.1.3" Abbr="20.1.3 p." DocPartId="ff64ac09a25c408d9c3cc4c8eadde111" PartId="6044110cdf7d4225aaa1f558f5f5d4b9"/>
            <Part Type="punktas" Nr="20.1.4" Abbr="20.1.4 p." DocPartId="fc22a00ed7d9493e952e7b8e01a22dba" PartId="bbe0a308718c44288aae8b1ae82c6f1c"/>
          </Part>
          <Part Type="punktas" Nr="20.2" Abbr="20.2 p." DocPartId="e4d6968e9430419cbf3b97ad0beffd5c" PartId="94892ee2003341a68c130b691f6e9faf">
            <Part Type="punktas" Nr="20.2.1" Abbr="20.2.1 p." DocPartId="8b400f0e4f084aa1b6e9ed57f18a4afa" PartId="6550e79724c44b3a8e3a8de234111fe8"/>
            <Part Type="punktas" Nr="20.2.1-1" Abbr="20.2.1-1 p." DocPartId="40e291b14e5d466894ac53c6afdcbb43" PartId="7691f0c4898f4ab998c24fbf4d787110"/>
            <Part Type="punktas" Nr="20.2.2" Abbr="20.2.2 p." DocPartId="e13f2ad23d664ce8ab31f7949fc8d152" PartId="236aa593f70a4b2fb7ff1d11ea42c81c"/>
          </Part>
          <Part Type="punktas" Nr="20.3" Abbr="20.3 p." DocPartId="7eeaca11f7224520b407789c826e0652" PartId="11f547a9e0aa47e1b8a9910d1bc7d933">
            <Part Type="punktas" Nr="20.3.1" Abbr="20.3.1 p." DocPartId="7d78220d207c49c8bbe422d403a22a9c" PartId="cdfb24b0763e41308671c69f87be4ef2"/>
            <Part Type="punktas" Nr="20.3.2" Abbr="20.3.2 p." DocPartId="9fdde90520ee46f0aab7be2b1f9901b3" PartId="5a71f93bebd7437b99f05e61c8fae820">
              <Part Type="punktas" Nr="20.3.2.1" Abbr="20.3.2.1 p." DocPartId="313a0ea2a05844d1b9412f25c1d3309d" PartId="be8ce2180e29498abb30fdf1b54031e4">
                <Part Type="punktas" Nr="20.3.2.1.1" Abbr="20.3.2.1.1 p." DocPartId="1e9c68f99db6451182d53280eacc29d0" PartId="e6f972d25a3b4b43bad4be8fe764ab64"/>
                <Part Type="punktas" Nr="20.3.2.1.2" Abbr="20.3.2.1.2 p." DocPartId="46c3b50b5b53484cbb6a5a541fc9e3c8" PartId="da27cb6070da4322b7230b4b7840cf06"/>
              </Part>
              <Part Type="punktas" Nr="20.3.2.2" Abbr="20.3.2.2 p." DocPartId="7e18e0c4a5ad429792c8bc7feb5c33e2" PartId="da8bc48477d3433f8fc2903a41db5ecb"/>
              <Part Type="punktas" Nr="20.3.2.3" Abbr="20.3.2.3 p." DocPartId="5efa223950f540318974b701ff9255de" PartId="0b6739e8134642049996d2bd881708f1"/>
              <Part Type="punktas" Nr="20.3.2.4" Abbr="20.3.2.4 p." DocPartId="4ea483c634d84e258b6a4254134f11b8" PartId="75e75b6c5b3a41899651ed905bb5c90d"/>
            </Part>
          </Part>
        </Part>
        <Part Type="punktas" Nr="21" Abbr="21 p." DocPartId="94657318467a4fd18999fb45cecc2c35" PartId="9ca14d77d8884821be18b4769d0a2002">
          <Part Type="punktas" Nr="21.1" Abbr="21.1 p." DocPartId="66651fb7c64f4c7fb3337a05bd732bf9" PartId="10cc8b066b7c45a1b25dbcf73c017b54">
            <Part Type="punktas" Nr="21.1.1" Abbr="21.1.1 p." DocPartId="9cd3b5661fee443db5b0a5a57f468ce3" PartId="a16a1731ea3f4f1bbcc79c4647d3a75f"/>
            <Part Type="punktas" Nr="21.1.2" Abbr="21.1.2 p." DocPartId="33e6f121fac1418d8ca946ddacde8762" PartId="3db97ea6bfbb4e94ba5d3c83edebd9f6"/>
            <Part Type="punktas" Nr="21.1.3" Abbr="21.1.3 p." DocPartId="a4b8a8cec50a4b0ba467a821c52478b1" PartId="c14a81f2e8a04612af3c2595c00d8f5c"/>
            <Part Type="punktas" Nr="21.1.4" Abbr="21.1.4 p." DocPartId="40207e9aa586426e81d4395fd7ef566a" PartId="efb4fe679363412ab57047eccf0a51e5"/>
          </Part>
          <Part Type="punktas" Nr="21.2" Abbr="21.2 p." DocPartId="54fb35ba3f784c56b559885f244c07df" PartId="5b8cfb64c5934e0798af5971da93f624">
            <Part Type="punktas" Nr="21.2.1" Abbr="21.2.1 p." DocPartId="1ca2d4747eb146879b9df818ad43cbfe" PartId="6565ac89febb4d969202c12316c6c9f9"/>
            <Part Type="punktas" Nr="21.2.1-1" Abbr="21.2.1-1 p." DocPartId="69641d074d814184893e3f83b2ce7c6c" PartId="c9b72119c6e14fa2b6490a960394b484">
              <Part Type="punktas" Nr="21.2.1-1.1" Abbr="21.2.1-1.1 p." DocPartId="a8820a53442b43fc90278d617423ece8" PartId="349c520bf33b4c28afee4c30076b5a08"/>
              <Part Type="punktas" Nr="21.2.1-1.2" Abbr="21.2.1-1.2 p." DocPartId="f3eaaf9243664c93a6f0ed80d404f070" PartId="f5a2f32376a6439da794509b91b0cc7a"/>
              <Part Type="punktas" Nr="21.2.1-1.3" Abbr="21.2.1-1.3 p." DocPartId="71a6ba83e16d48588ef322b40db87832" PartId="dcce056b4277482598b0fa0f3d45e903"/>
            </Part>
            <Part Type="punktas" Nr="21.2.2" Abbr="21.2.2 p." DocPartId="3c2441bcc5c34b1fa8cfa50eaf7b0ba0" PartId="efda8a2bbbf54881859522b16dceb1c3"/>
            <Part Type="punktas" Nr="21.2.3" Abbr="21.2.3 p." DocPartId="e50ca0cbde464a6bb5df74c812bd7235" PartId="4402dd3cc3a64ca581d19c5517909ecc"/>
            <Part Type="punktas" Nr="21.2.4" Abbr="21.2.4 p." DocPartId="57878cf84c3544e081e245bcf019c714" PartId="7630814edb97464786a27ad643d158ed"/>
            <Part Type="punktas" Nr="21.2.5" Abbr="21.2.5 p." DocPartId="f60181bbf20a4bd886051d555cb32273" PartId="0dad7a581e5a48d3a95e088abac0c911"/>
            <Part Type="punktas" Nr="21.2.6" Abbr="21.2.6 p." DocPartId="08f5e89355e4443d8ded0cdbf0882ba6" PartId="5c6c5c6a912c484da070e88bcfeb6693"/>
          </Part>
          <Part Type="punktas" Nr="21.3" Abbr="21.3 p." DocPartId="3f452b60645b4c6e84bf48c8c01638f6" PartId="a392c3303e3a4ef690bcf14daf3b9af5"/>
          <Part Type="punktas" Nr="21.4" Abbr="21.4 p." DocPartId="0b783ba408314373b4ef44f90a94bb30" PartId="32894447b6d641039e22595c70f853f9"/>
          <Part Type="punktas" Nr="21.5" Abbr="21.5 p." DocPartId="644efda4854a4f55a4270b49c007427b" PartId="5ee5b6753f4a40f9977dbedb29ae87f9"/>
        </Part>
        <Part Type="punktas" Nr="22" Abbr="22 p." DocPartId="301e0e07915d4453905b9a4588af632d" PartId="0c1be9c077184ea0970db99f43b575f6">
          <Part Type="punktas" Nr="22.1" Abbr="22.1 p." DocPartId="a4ef4907ffca4fb7bd37e4b5dc9e3b36" PartId="990774b317da4cf89be5cd17bfae6585"/>
          <Part Type="punktas" Nr="22.2" Abbr="22.2 p." DocPartId="f12f5b98fcc84216bc1c2bb8c012e547" PartId="ef1804b1aaff4aa4bf3d26c64418917d">
            <Part Type="punktas" Nr="22.2.1" Abbr="22.2.1 p." DocPartId="9c8be102737443c580192720300a8564" PartId="d7fd05e763d248b19a651ab30e50a124"/>
            <Part Type="punktas" Nr="22.2.2" Abbr="22.2.2 p." DocPartId="1d5427b89ea3474ca392f51eb28860ec" PartId="980047efcb3b4c58b357883b60764f5f"/>
            <Part Type="punktas" Nr="22.2.3" Abbr="22.2.3 p." DocPartId="312422ceec354cb9b206a3a180a28968" PartId="a499b4f9a0b741908b544d2847084547"/>
            <Part Type="punktas" Nr="22.2.4" Abbr="22.2.4 p." DocPartId="e4f296d2c29644c6a7b1b7167d02e0e2" PartId="cd2536e7bc6a418c954cb7a493bcefac"/>
          </Part>
        </Part>
        <Part Type="punktas" Nr="23" Abbr="23 p." DocPartId="3db923a76a8a4160ac86c156d39be531" PartId="3431f4b7d25f4509be9727bc3079206d">
          <Part Type="punktas" Nr="23.1" Abbr="23.1 p." DocPartId="32d4cac566fe4407810f1e369c9b9090" PartId="448d43b17c8e4994a1e72c275eb4bc0f"/>
          <Part Type="punktas" Nr="23.2" Abbr="23.2 p." DocPartId="c765364537bf45f4b65fc88e8387838f" PartId="1e07cacfcfa740d19d1219fff60dc4a5"/>
        </Part>
        <Part Type="punktas" Nr="24" Abbr="24 p." DocPartId="02caafdaf12447ae83362595202fe19c" PartId="a3e82ab1ab0c46dd8f180b70cb0d898c"/>
        <Part Type="punktas" Nr="25" Abbr="25 p." DocPartId="b2b82ac164b44e40bbe5e4931145eeae" PartId="55297606b30d4b23ad851045fd37df9d"/>
        <Part Type="punktas" Nr="26" Abbr="26 p." DocPartId="528ccb10da65474fb0b7c6c0da1567eb" PartId="f8c5c92639e04387ace3a83df900cd5f"/>
        <Part Type="punktas" Nr="27" Abbr="27 p." DocPartId="afc1a0e0a6a14396b673da21e6ec800c" PartId="b667d58df9c441058ab2270a0def4231"/>
        <Part Type="punktas" Nr="27-1" Abbr="27-1 p." DocPartId="45497b7a499f41c7a799c66e1e53e1bb" PartId="25fe8608b0a04c95aba96df8e8e0fcca"/>
        <Part Type="punktas" Nr="27-2" Abbr="27-2 p." DocPartId="9fb7b37cfefc4bfba9c0c9442a3e656c" PartId="a6146b2bef5b45d897e734b78540f84c">
          <Part Type="punktas" Nr="27-2.1" Abbr="27-2.1 p." DocPartId="9050b265560645adbf30260e42b2793b" PartId="1fd6ca38bf344def80869b11683bf7d4"/>
          <Part Type="punktas" Nr="27-2.2" Abbr="27-2.2 p." DocPartId="8137140bc0f641db8c4687ef21a16d59" PartId="b1203fbb6b124c869b85ab569e42500a"/>
          <Part Type="punktas" Nr="27-2.3" Abbr="27-2.3 p." DocPartId="a869b247043349febdd76320e95faf81" PartId="c8aee767536d4a06996cff45bdd6d471"/>
          <Part Type="punktas" Nr="27-2.4" Abbr="27-2.4 p." DocPartId="22f67da15e2549df9a537d7e52d658e1" PartId="49cea0971b9b46428853308ee18eb7f1"/>
        </Part>
        <Part Type="punktas" Nr="28" Abbr="28 p." DocPartId="89c7f33c21fb4cfba7ce22d5b2b4779f" PartId="ae740cc285ea400fa3112028adb7f68c">
          <Part Type="punktas" Nr="28.1" Abbr="28.1 p." DocPartId="c91f9242cb7647aea6bab4b1a77c9c5e" PartId="58946922a4404fd886cfaebc7c4f16f7"/>
          <Part Type="punktas" Nr="28.2" Abbr="28.2 p." DocPartId="a3fc850132c441f1ae6475eb99a9f1d8" PartId="85c882cd38e24941b181e884368d4995"/>
        </Part>
        <Part Type="punktas" Nr="29" Abbr="29 p." DocPartId="cf942f76c70e468d93e76d6044c393c7" PartId="501616ec8ff648b0a6b3fd3abebe7ed1">
          <Part Type="punktas" Nr="29.1" Abbr="29.1 p." DocPartId="18cc7b4f771849da89417a98575c8deb" PartId="7573e1685f714ba3832c2208139ee8d4"/>
          <Part Type="punktas" Nr="29.2" Abbr="29.2 p." DocPartId="4ed6facd9b494324bd8ed128b62e26d1" PartId="78c7536139d044619386796ccc66f4ab"/>
          <Part Type="punktas" Nr="29.3" Abbr="29.3 p." DocPartId="077ed63170b746c2a5a12f2ebaad3183" PartId="0760e5266d6e45e4a06064e53bc452e7"/>
          <Part Type="punktas" Nr="29.4" Abbr="29.4 p." DocPartId="1e81f61d2d5c48a3a708aedbb2bd2794" PartId="388502e347c94c2dbe5652b49d21d890"/>
          <Part Type="punktas" Nr="29.5" Abbr="29.5 p." DocPartId="d3dd500b4faf40dbbd74eebf231942a0" PartId="af6831ba918b466ab8d9e0a12d4c680b"/>
        </Part>
        <Part Type="punktas" Nr="30" Abbr="30 p." DocPartId="7a698c2220bf4699ab67572bdb545c7e" PartId="316fadfe7e37471897191408932849b0"/>
        <Part Type="punktas" Nr="31" Abbr="31 p." DocPartId="a53378af28d1475ca04b395ae34305a1" PartId="080cddc376fe4078a0c8c376dd1d5e67">
          <Part Type="punktas" Nr="31.1" Abbr="31.1 p." DocPartId="5285fa5f3c714bc9a212d2214e36e142" PartId="13d942d6a36045de8b0a4003a1c32298"/>
          <Part Type="punktas" Nr="31.2" Abbr="31.2 p." DocPartId="10c0aaaf468e4b7baabdc947388c02a2" PartId="e614cef3de1d45098f157e309e3aa0b2"/>
          <Part Type="punktas" Nr="31.3" Abbr="31.3 p." DocPartId="0f212c92fc41480f86deb4341341662c" PartId="2d6f220a11bc4a1b9122013ae1b44217"/>
          <Part Type="punktas" Nr="31.4" Abbr="31.4 p." DocPartId="c187642c2e1a49e69ae4ce97541771ca" PartId="f431f5b7148342059eb9a1cc0f2c8303"/>
        </Part>
      </Part>
    </Part>
    <Part Type="skyrius" Nr="3" Title="ELEKTROS ENERGIJOS PERDAVIMO IR SKIRSTYMO VERSLO VIENETO PASLAUGŲ KAINODARA" DocPartId="aeb2abb39b2e4038aea429e0f04463c1" PartId="92ad53a6647840708073450e0025a949">
      <Part Type="skirsnis" Nr="1" Title="LRAIC MODELIO TAIKYMAS" DocPartId="bde2cf68c96e44ed957db004f5bf7934" PartId="d69f3afbefe34f7e99baeaed13ab36d3">
        <Part Type="punktas" Nr="32" Abbr="32 p." DocPartId="3436b4805f054b12a7d8e16f2fb2b56c" PartId="6b2732cf5a8f48698a263ecd9d760434">
          <Part Type="punktas" Nr="32.1" Abbr="32.1 p." DocPartId="ac74c1b31b204263b5825a90d227783d" PartId="7afec7f10f744eda920cdf2e00b751cd">
            <Part Type="punktas" Nr="32.1.1" Abbr="32.1.1 p." DocPartId="f7ec919c22d44efbbf9ba258599e35da" PartId="fdf65fd50ab1410ea642edb895d03e63"/>
            <Part Type="punktas" Nr="32.1.2" Abbr="32.1.2 p." DocPartId="e268d4da2edb41568d89588dee893674" PartId="d3929d752a94465d8224e2be3754d6f8"/>
          </Part>
          <Part Type="punktas" Nr="32.2" Abbr="32.2 p." DocPartId="3419e079c39047fda91e3ea08fc42e31" PartId="775942b33c0b49a3a7464b645d7dab9a"/>
          <Part Type="punktas" Nr="32.3" Abbr="32.3 p." DocPartId="c91c2c68daa1488fb99ab2bcceda8007" PartId="0ded615d3e444baa8af9fb424bc49ea5"/>
          <Part Type="punktas" Nr="32.4" Abbr="32.4 p." DocPartId="9280b53684c9407fbac856a84e8d4d48" PartId="631c52b8f7734f1fa77f10f6afcbb58e"/>
        </Part>
        <Part Type="punktas" Nr="33" Abbr="33 p." DocPartId="885681536b4248ecbcfea26256689c3b" PartId="d4a67b134cc449d7aa2cc7e5b74a4cf4">
          <Part Type="punktas" Nr="33.1" Abbr="33.1 p." DocPartId="da8f49620cab4a3297fed60b166e6c16" PartId="08ad5e8ff6684d01a824b6b5379466f3"/>
          <Part Type="punktas" Nr="33.2" Abbr="33.2 p." DocPartId="329e90ea550244d3b3be1de0b395b618" PartId="b6b166c6aaee4db99c411ee28995f9f7"/>
          <Part Type="punktas" Nr="33.3" Abbr="33.3 p." DocPartId="681b371861294346b62782d099e62d83" PartId="1afe28fad7664a0b8072da77c110c02a"/>
          <Part Type="punktas" Nr="33.4" Abbr="33.4 p." DocPartId="3a35782f20ee44918c55b1bc926eea52" PartId="de23b2d4999e43fd9e870fee30e4a37d"/>
          <Part Type="punktas" Nr="33.5" Abbr="33.5 p." DocPartId="6cbf2f5e5d6342cc80ef84327dadf473" PartId="2fc9d2fe933e4b2099557898dc5b1ae9"/>
          <Part Type="punktas" Nr="33.6" Abbr="33.6 p." DocPartId="cbba258fef504063832681dbc38c2b20" PartId="57589ad491734e1a889f5f1aa99414d8"/>
          <Part Type="punktas" Nr="33.7" Abbr="33.7 p." DocPartId="ed971f48eaa347de8b0a4ae0af4e6093" PartId="719d3032019548f88367a2e91a005bc1"/>
          <Part Type="punktas" Nr="33.8" Abbr="33.8 p." DocPartId="ccc596f725a24d7a810d09837e5a98c5" PartId="901564fb174a4ebea53f0f0cc8e4efe3"/>
          <Part Type="punktas" Nr="33.9" Abbr="33.9 p." DocPartId="b0e5b9aafa0644e8ab75fdff35758b3b" PartId="31ea2d1ce64540b09d194e1b823266fd"/>
          <Part Type="punktas" Nr="33.10" Abbr="33.10 p." DocPartId="2efabf9fe5a34d34bf73ccccbbd33bd3" PartId="fc96212be3334822a297ad0853d567ee"/>
          <Part Type="punktas" Nr="33.11" Abbr="33.11 p." DocPartId="22bd893f8da64b618f3d369c252aa915" PartId="343c8615f22b475ca2c560314c84c20d"/>
          <Part Type="punktas" Nr="33.12" Abbr="33.12 p." DocPartId="ceda84da762c490db360a4fea1abac1b" PartId="ad833366d1b44a0c9194f8dd97d441bb"/>
          <Part Type="punktas" Nr="33.13" Abbr="33.13 p." DocPartId="3048faf527c24a85982a6a5066837859" PartId="313f786a0f664b8a9973c69e43554b8a"/>
          <Part Type="punktas" Nr="33.14" Abbr="33.14 p." DocPartId="d22bc464f86440b7a6dc0a1445cb8851" PartId="528b67d38a1341eda79fd7ead17b10ad"/>
          <Part Type="punktas" Nr="33.15" Abbr="33.15 p." DocPartId="d85afd243c60446b88ddf2bcd186fe47" PartId="253404aba63e4742b4779d1c8a806f3d"/>
          <Part Type="punktas" Nr="33.16" Abbr="33.16 p." DocPartId="2388ac7932984dd1afa1a7c4395743da" PartId="a005f858e5cc4b91a80db424b10547f6"/>
          <Part Type="punktas" Nr="33.17" Abbr="33.17 p." DocPartId="01ea077990d84d02899ad7c1a55849df" PartId="e12a5fee30d046b59815f7f5c0acfc11"/>
        </Part>
      </Part>
      <Part Type="skirsnis" Nr="2" Title="PERDAVIMO AUKŠTOS ĮTAMPOS TINKLAIS PASLAUGOS KAINODARA" DocPartId="9eb13f727aa84e129c2f2ae6e4512ea7" PartId="8ed38321041443e4bc3b4a48d4786259">
        <Part Type="punktas" Nr="34" Abbr="34 p." DocPartId="4eb77d29139b4663b5ff5503e20bd67f" PartId="ffa33668b8754ef880c10d0ae79e1559"/>
        <Part Type="punktas" Nr="35" Abbr="35 p." DocPartId="b6da9459b19849648924e71f79e1a982" PartId="dd510abff70a4479939c5d3f221b0f01">
          <Part Type="punktas" Nr="35.1" Abbr="35.1 p." DocPartId="e82ac80c701146d4ae536467a7eb08e1" PartId="2518e94d39814822bdf99504ee913d30"/>
          <Part Type="punktas" Nr="35.2" Abbr="35.2 p." DocPartId="b5c220f733c14dbca913a1fda35aae2d" PartId="be5ee7e61886424a9d027273c19659e2"/>
        </Part>
        <Part Type="punktas" Nr="36" Abbr="36 p." DocPartId="08177a94c07e4ce0bc8e43f230b686c2" PartId="a0204c11b3ed4dad9d679ed5ef400b1b"/>
        <Part Type="punktas" Nr="37" Abbr="37 p." DocPartId="69d773b92a26497fb2a40257620b7414" PartId="b9264b5a72fb4a29b32837dcd64379c7"/>
        <Part Type="punktas" Nr="38" Abbr="38 p." DocPartId="5a1a33a0b5414295863b11aa9d0f018b" PartId="add94b8186214b6ab28ff8cbb09e620c"/>
        <Part Type="punktas" Nr="39" Abbr="39 p." DocPartId="7e3549f240274abda363baa168f5632f" PartId="5c82052a00344b35af09840af6f45b58"/>
        <Part Type="punktas" Nr="40" Abbr="40 p." DocPartId="c47f066b202444c99805e5bbd223438b" PartId="142c3f154506430f9caabbfa68641510"/>
        <Part Type="punktas" Nr="41" Abbr="41 p." DocPartId="b270eb1ceb2743cea62abaaaf3998738" PartId="5e3b86abc47f4766b3d905b52db6ea0d"/>
        <Part Type="punktas" Nr="41-1" Abbr="41-1 p." DocPartId="921a8e8dd4154184884a1ec467e53030" PartId="3cb1c8ff98d74d1ba3eedc9d488e639a"/>
        <Part Type="punktas" Nr="41-2" Abbr="41-2 p." DocPartId="c89f1592207e4651a02e554dff6c7ee0" PartId="c55ad94f7c904412bb20f9b3b4934a10"/>
        <Part Type="punktas" Nr="41-3" Abbr="41-3 p." DocPartId="6c75ab96a9e84954afff03938e337db2" PartId="4d42bbd1c40c4668b120f9cb6e7d9c41"/>
      </Part>
      <Part Type="skirsnis" Nr="3" Title="PERDAVIMO PASLAUGOS AUKŠTOS ĮTAMPOS TINKLAIS KAINOS VIRŠUTINĖS RIBOS NUSTATYMAS" DocPartId="20ec3ccabf9644fe872c32709d448c33" PartId="876a24b65d6c47c188df368e2e822039">
        <Part Type="punktas" Nr="42" Abbr="42 p." DocPartId="0596523510e34cc9b6367a48faa17262" PartId="8856d7c770a748478da9c29d295af0e2"/>
        <Part Type="punktas" Nr="43" Abbr="43 p." DocPartId="b5f9997014b64739886c65c55f134798" PartId="7a6915c175de4855afb970d9ede41f68"/>
        <Part Type="punktas" Nr="44" Abbr="44 p." DocPartId="7fd35ba71ee94b2e95010dbfa9ec43af" PartId="d5bf40d9de194e2d9baac6430d39ba48"/>
        <Part Type="punktas" Nr="45" Abbr="45 p." DocPartId="72eb0af75e9a4d41852137a93613d6db" PartId="d14bfb778fca4062a61cefadbad5af90"/>
        <Part Type="punktas" Nr="46" Abbr="46 p." DocPartId="233ed392209844b9993e18b7dd71288f" PartId="6d71b818d05d435d842387a0ed7aa415"/>
        <Part Type="punktas" Nr="47" Abbr="47 p." DocPartId="6217a358ace5453897567c286da2f3eb" PartId="bd22e1cf391542c08dcfcef224fb5dae"/>
        <Part Type="punktas" Nr="47-1" Abbr="47-1 p." DocPartId="6d4acbfd36c7457a911d48eeac6bc78e" PartId="4facbff3b5184deabbdce783a7ab6051"/>
        <Part Type="punktas" Nr="48" Abbr="48 p." DocPartId="9cb1167cacd14996884b0e49f3770819" PartId="d6868eb89e02429286a98729bc6c8d36"/>
        <Part Type="punktas" Nr="49" Abbr="49 p." DocPartId="27868e2471ec47cba8c8fa977da9887c" PartId="6a28f2f4de394eec9abe1d74be652740"/>
        <Part Type="punktas" Nr="50" Abbr="50 p." DocPartId="31f3dfc3ed904a7c85f80c095ed7ed4f" PartId="1c068017743344c4a2e150b61077046c"/>
        <Part Type="punktas" Nr="51" Abbr="51 p." DocPartId="43f884daebf547208f46b4e265e5c656" PartId="c18ec82ba8de4a70b0ad5e803229b7f5"/>
        <Part Type="punktas" Nr="52" Abbr="52 p." DocPartId="330021a8c8b94aef919771b0e04a0121" PartId="cf612d596dfe49708bffc971bd113147"/>
      </Part>
      <Part Type="skirsnis" Nr="4" Title="PERDAVIMO TINKLO VALDYMO PASLAUGOS PASTOVIOSIOS KAINOS DALIES NUSTATYMAS" DocPartId="6719cbdd89da4c37a118639e84388c7d" PartId="8ddc6e6e3226417fa60b63cbb82a157f"/>
      <Part Type="skirsnis" Nr="5" Title="SKIRSTYMO PASLAUGOS VIDUTINĖS IR ŽEMOS ĮTAMPOS TINKLAIS KAINODARA" DocPartId="531d2e1c7c4d4b0e98c14ead986755f0" PartId="f88184b4e75f4a1aad1941e4c5a268c5">
        <Part Type="punktas" Nr="59" Abbr="59 p." DocPartId="970b7c8ba5fb4d51a8da03fba29f2577" PartId="f88cb8284b3c493890cfa56a15d40959"/>
        <Part Type="punktas" Nr="60" Abbr="60 p." DocPartId="9def9d0180ef4a08af7502386f6b35e2" PartId="926f0ee2b3a543dca6cd7554c8def79b"/>
        <Part Type="punktas" Nr="61" Abbr="61 p." DocPartId="36a7000669f24672897601dae30d11a3" PartId="3454d2ab2f1b4580b9d15221e453e257"/>
        <Part Type="punktas" Nr="62" Abbr="62 p." DocPartId="8be5fb5eb2c34886a50cc5573a60151b" PartId="37cb00453d2745c5965afd20c20c6112"/>
        <Part Type="punktas" Nr="63" Abbr="63 p." DocPartId="f6ecfd4444d04493a28b680aa399754d" PartId="d7dae9dd67c147c5a381c51ec83318a6">
          <Part Type="punktas" Nr="63.1" Abbr="63.1 p." DocPartId="224fbdf22877495ebcd9ecae14793cdc" PartId="b03bd65cd26f40b8b1715de59d9f6cd1"/>
          <Part Type="punktas" Nr="63.2" Abbr="63.2 p." DocPartId="b0504313e6fa486185185177023c440b" PartId="2b3e8a0bd5554d869bcfc66ee0b98a65"/>
          <Part Type="punktas" Nr="63.3" Abbr="63.3 p." DocPartId="d64890a175e64d9c95b91472bae48ed0" PartId="7b4fe49815774337a2fe0b64179f56c7"/>
          <Part Type="punktas" Nr="63.4" Abbr="63.4 p." DocPartId="69dbbb068926457cba92abeacea0ce81" PartId="e6e0505db85a41bc84b1fcf4a29a9feb"/>
        </Part>
        <Part Type="punktas" Nr="64" Abbr="64 p." DocPartId="c35aa5bd4b694d2fb0637d50070bcece" PartId="80b590c5a4454101beb0ce1c6c40ec99">
          <Part Type="punktas" Nr="64.1" Abbr="64.1 p." DocPartId="96cf3b7904cd47de93a53123f1230df1" PartId="989778dc551f4d2ea8e24177b94264d8"/>
          <Part Type="punktas" Nr="64.2" Abbr="64.2 p." DocPartId="60e1916520654803b5ee13fa20a62620" PartId="c011d18c72cf48319ab5151e0ad30724"/>
        </Part>
        <Part Type="punktas" Nr="65" Abbr="65 p." DocPartId="9ff2be9b498d41019838b6ce75529e62" PartId="080115d895144184bf02ca11cdf9ca9f">
          <Part Type="punktas" Nr="65.1" Abbr="65.1 p." DocPartId="754739a02ccd45c983721b88c58334fe" PartId="c175613a9a684efdb997ec666f94cdc0"/>
          <Part Type="punktas" Nr="65.2" Abbr="65.2 p." DocPartId="e90f3b9021704a17bb6ed101df13e53a" PartId="e4dd94d141d54170935d1682ea37110c"/>
        </Part>
        <Part Type="punktas" Nr="66" Abbr="66 p." DocPartId="a8d63cbd7f9c470c8e8bdb467408333e" PartId="2cb133c582f749c2b0df7d4b1f9f75fd">
          <Part Type="punktas" Nr="66.1" Abbr="66.1 p." DocPartId="8797d29dcba44c6bad0b678f36df9c56" PartId="8c8185b0d0d3444c8e5c8f2e8cd17e05"/>
          <Part Type="punktas" Nr="66.2" Abbr="66.2 p." DocPartId="2139a89ec01d415199cae6992d377eb6" PartId="ecd0c3aa004547daadd146d80bb3bdcd"/>
        </Part>
        <Part Type="punktas" Nr="67" Abbr="67 p." DocPartId="8dc8945e427c47b796b3924a9c43f93a" PartId="9a1597f33d724eba9c4cc5c63f7fcb3c">
          <Part Type="punktas" Nr="67.1" Abbr="67.1 p." DocPartId="d7b27cdc186745a4a9211bd42041aecc" PartId="ae7e15d86bbd4a7f927e6cbcb4971792"/>
          <Part Type="punktas" Nr="67.2" Abbr="67.2 p." DocPartId="41214a80bc1b41f3b2be572be19ffafb" PartId="3db11e26b8964bf5b386845f56c57ec2"/>
        </Part>
        <Part Type="punktas" Nr="68" Abbr="68 p." DocPartId="b21c5bcf0663474ba65f6fffab96cd5e" PartId="7663ab4df19f416c9cd2dacb3d925abe"/>
        <Part Type="punktas" Nr="69" Abbr="69 p." DocPartId="3714f8d94d7743d19eafa50a6edc7f36" PartId="4cde34d94f174f2482d6abf58114b014"/>
        <Part Type="punktas" Nr="70" Abbr="70 p." DocPartId="0aa456e0c5204f28aecf35a1b64d82db" PartId="971f71ae8f8c4516983c5b361e5dd911"/>
        <Part Type="punktas" Nr="71" Abbr="71 p." DocPartId="161a026b794d409a85318972f3aa6583" PartId="704eb557deeb4f2e990256f7190ca821"/>
      </Part>
      <Part Type="skirsnis" Nr="6" Title="SKIRSTYMO ŽEMOS IR VIDUTINĖS ĮTAMPOS TINKLAIS PASLAUGOS KAINOS VIRŠUTINĖS RIBOS NUSTATYMAS" DocPartId="4134896815ce437e9c633476e3db6448" PartId="850af818f2294ccea1581c4ec8e91044">
        <Part Type="punktas" Nr="72" Abbr="72 p." DocPartId="3f23de7b62e043a9804f4051fbbc1ba3" PartId="65c1a705b77a47f18efa82636173a9fb"/>
        <Part Type="punktas" Nr="73" Abbr="73 p." DocPartId="784d655024ad4285806aba15bf109af2" PartId="1a8ccd3d4c314c0e8fc9665b2338dcc2"/>
        <Part Type="punktas" Nr="74" Abbr="74 p." DocPartId="5edc86ba2959417aa6f80d0f83e6f14c" PartId="6df75e93952249f8acd4868b14fc8d7e">
          <Part Type="punktas" Nr="74.1" Abbr="74.1 p." DocPartId="b29b17434e984f93849a73ae083c89bf" PartId="d10898c848534546a4aa8978751642c3"/>
          <Part Type="punktas" Nr="74.2" Abbr="74.2 p." DocPartId="c1e79afa0ced4a9b9f6c05757e4bbc48" PartId="ba3b2321b5cd4ac3b0a9a60b4045bc6a"/>
        </Part>
        <Part Type="punktas" Nr="75" Abbr="75 p." DocPartId="8e22743784564c48902e22f377d909f0" PartId="17046889d80846a7a53626507e176688"/>
        <Part Type="punktas" Nr="76" Abbr="76 p." DocPartId="3a443179329149ee837cdf8443d63474" PartId="93d81a33e7fc4e1892114906c256a7fb"/>
        <Part Type="punktas" Nr="77" Abbr="77 p." DocPartId="d0e53e274d004d9ab7fa76b4c211f0a5" PartId="deddd12355f74317bd9bfb8d189ad602"/>
        <Part Type="punktas" Nr="77-1" Abbr="77-1 p." DocPartId="6f7f4657a247473d94b68cb71b5958e4" PartId="e739d50660154f8ab10897bfa276099f"/>
        <Part Type="punktas" Nr="78" Abbr="78 p." DocPartId="3d13c6efe5154a98bc2101685ede269d" PartId="359a7efde680465984cbbe98ab8a9e24"/>
        <Part Type="punktas" Nr="79" Abbr="79 p." DocPartId="965d5c63862247edbbf3dae3eaedc2d7" PartId="7a3ef2ff2ada436abb5c9fc1b914548a"/>
        <Part Type="punktas" Nr="80" Abbr="80 p." DocPartId="ce53486ea5e544089cb35a7e509d7f51" PartId="81c86af278f54486aba9ed7d659ae5ab"/>
        <Part Type="punktas" Nr="81" Abbr="81 p." DocPartId="16b41b059ad645c99817eefdf703f800" PartId="9a423f0e0835499b89bbf90667ce1cd2"/>
        <Part Type="punktas" Nr="82" Abbr="82 p." DocPartId="62bcb4ae60c74a3f9fffe41e2fdf60bc" PartId="8eb7c14ffdbb48e08a90e683b9cc7c1c"/>
      </Part>
    </Part>
    <Part Type="skyrius" Nr="4" Title="ĮMONIŲ, BESIVERČIANČIŲ SKIRSTYMO VEIKLA, KURIŲ VEIKLOS TERITORIJOJE ESANČIŲ VARTOTOJŲ SKAIČIUS MAŽESNIS NEI 100 TŪKSTANČIŲ, KAINŲ VIRŠUTINIŲ RIBŲ NUSTATYMAS" DocPartId="ef0a5335388f49778279f1af72d98c34" PartId="313def3feb494688a26552b469cc0f12">
      <Part Type="punktas" Nr="83" Abbr="83 p." DocPartId="c4b4ab0e0698441c8c4398dbce796f82" PartId="8b11663ae4894d40b5f675ebe37ef006"/>
      <Part Type="punktas" Nr="84" Abbr="84 p." DocPartId="1b19e1bb5b724c4b97b37a120babca4a" PartId="ce0b6459968242d88642ef07e0b962c7"/>
      <Part Type="punktas" Nr="85" Abbr="85 p." DocPartId="2699098779674abfa2980100410e9f01" PartId="6a53d2a559be45bdb3de7362ebb33ba5"/>
      <Part Type="punktas" Nr="86" Abbr="86 p." DocPartId="fb50fb6a990d4a8bad35a181e94696ac" PartId="e2747f539d9a48bdab48dabe18e49a57"/>
      <Part Type="punktas" Nr="87" Abbr="87 p." DocPartId="a9177564def345b3be81451ca5889b82" PartId="ab3f50929c6a45128ea5405da7c7af01"/>
      <Part Type="punktas" Nr="88" Abbr="88 p." DocPartId="39f177e8ab2c438e94c676a55e5df435" PartId="bf718c36da2b4221a17943a036206c3d"/>
      <Part Type="punktas" Nr="89" Abbr="89 p." DocPartId="ac50dec955fc438c81625f1344f87b12" PartId="f093d3297cf0418abc54577c92dbde10"/>
      <Part Type="punktas" Nr="90" Abbr="90 p." DocPartId="eff548761f9547cba9d0d325dc49c4b6" PartId="a37e9823c87547dd86f9fb71af9e36f5"/>
      <Part Type="punktas" Nr="91" Abbr="91 p." DocPartId="7eca75b690f848fdb8130daaaa44f608" PartId="e770bff15cb443e8b94ae66ed388f027"/>
      <Part Type="punktas" Nr="92" Abbr="92 p." DocPartId="cb59e199aeb543869d6c2b898959755f" PartId="9c40e40bb9024d149402fa2d458e35b9"/>
      <Part Type="punktas" Nr="93" Abbr="93 p." DocPartId="7656a9a9391249368b25502278e44623" PartId="f699c80005d246a8a1c5487161c22981"/>
      <Part Type="punktas" Nr="94" Abbr="94 p." DocPartId="fb32664327034c49b682001ff828f7a3" PartId="014e085cfa794f4e83b3c615cc76acf8"/>
      <Part Type="punktas" Nr="95" Abbr="95 p." DocPartId="5e84f53c10804340b54c768e34c06bfb" PartId="0ae1535c8af346f294eb2ae83a2a2b98"/>
      <Part Type="punktas" Nr="96" Abbr="96 p." DocPartId="dfcae0047d214ea39d81d518adbfd1dc" PartId="5ee05ad7515742e4a0c0f0ef32e506c8"/>
    </Part>
    <Part Type="skyrius" Nr="5" Title="VISUOMENINIO TIEKIMO PASLAUGOS KAINOS VIRŠUTINĖS RIBOS NUSTATYMAS IR PERSKAIČIAVIMAS" DocPartId="374117d552e04301a7ef33cd06648067" PartId="9cc5df168f294cb292569e5278e8d9d6">
      <Part Type="punktas" Nr="97" Abbr="97 p." DocPartId="eda5a4f268604cdfa9f105cda146835f" PartId="676a79e80da1409aa0a4b313ef7e808a"/>
      <Part Type="punktas" Nr="98" Abbr="98 p." DocPartId="c0eb451f49574849b40db47debfe7d7e" PartId="b92b64bf6e204df3853cfa474882af2c"/>
      <Part Type="punktas" Nr="99" Abbr="99 p." DocPartId="86c831b835994a619ff9c8c8ef4ac809" PartId="e1b70524c7f94aa68a1ddf271a559315"/>
      <Part Type="punktas" Nr="100" Abbr="100 p." DocPartId="d9632dd5bfc1457d870d75a7c3e47913" PartId="0a27e966f9624ae1bd19c53fe01df09e"/>
      <Part Type="punktas" Nr="101" Abbr="101 p." DocPartId="a8e9032c53ba4cfa8543309d6a98fb74" PartId="7383b381fb604543ab944c7989cec278"/>
      <Part Type="punktas" Nr="102" Abbr="102 p." DocPartId="3eba46311f484906a80077c1c00e0651" PartId="d9f378b194cd47d9a578bfe9a71fd48d"/>
      <Part Type="punktas" Nr="103" Abbr="103 p." DocPartId="2f528f19a1fd422d97e9a7bf78a94d03" PartId="739a3bc9a9834d4da1e9aec78933c6c1">
        <Part Type="punktas" Nr="103.1" Abbr="103.1 p." DocPartId="ddaf8f9cd04a4f2089c45b7a9c12184f" PartId="b7450492b2e8423688868537799be1ee"/>
        <Part Type="punktas" Nr="103.2" Abbr="103.2 p." DocPartId="4c89f9d2a16b41ebb005b0882d4d7b06" PartId="dc0f64c244004dad9fdb270088f9cb54"/>
      </Part>
      <Part Type="punktas" Nr="104" Abbr="104 p." DocPartId="ae5034b7c0bb497eab63ab41b59e7e53" PartId="b800d0194c3044e28e96dc545b909db8"/>
      <Part Type="punktas" Nr="105" Abbr="105 p." DocPartId="ae735727e76a4daa8e1b1927e79d873d" PartId="319620b23fd443dfa4bc7b8e732f9660"/>
      <Part Type="punktas" Nr="106" Abbr="106 p." DocPartId="0a3cd77e2f2c447bac0bdaf65e5ad4b5" PartId="c1b82f975004487cb41eed3eb8803699"/>
    </Part>
    <Part Type="skyrius" Nr="6" Title="VISUOMENINIŲ KAINŲ VIRŠUTINIŲ RIBŲ NUSTATYMAS" DocPartId="2acda749ed904e0495f38b756a7afa82" PartId="8d0ecf0a66b14fc9891da7927436df7a">
      <Part Type="punktas" Nr="107" Abbr="107 p." DocPartId="bebc8da7e04d4cb8bb3867931ed39a0a" PartId="d7e62c965c3a4bdbb65eb8ed03523fae"/>
      <Part Type="punktas" Nr="108" Abbr="108 p." DocPartId="ad0f671ed9ba4d08b84d3dc77144a939" PartId="5d22d755bd5b4ae89af41af36abc2135"/>
      <Part Type="punktas" Nr="109" Abbr="109 p." DocPartId="281fbb9b4e9b4f599b45dc0cfb316841" PartId="20bcc833610d4eb6a949e1f4e99bd21a"/>
      <Part Type="punktas" Nr="110" Abbr="110 p." DocPartId="47196821a71f41968764cc435cdf759f" PartId="dc233177956d47df8fee2c653947e98b"/>
      <Part Type="punktas" Nr="111" Abbr="111 p." DocPartId="4c0acaac22a04b7abda932efbc9718e9" PartId="ff5be40492364ee9af845701df951c7a"/>
      <Part Type="punktas" Nr="111-1" Abbr="111-1 p." DocPartId="5d9e1beb46574bfabe3a25f7ba2831f1" PartId="8affc7e6c50c46268cdeebea479eccaa"/>
    </Part>
    <Part Type="skyrius" Nr="7" Title="REIKALAVIMAI, SUSIJĘ SU ĮMONIŲ REGULIUOJAMŲ VEIKLŲ KAINŲ IR KAINŲ VIRŠUTINIŲ RIBŲ NUSTATYMU" DocPartId="7eb4c406400c466c86f63a6ef893bad2" PartId="91062acbbca44a6d933028739b86585d">
      <Part Type="punktas" Nr="112" Abbr="112 p." DocPartId="cbae118976b84b8bbcfc51b6bfd52460" PartId="5322b193481a4986a9e46d15c530740a"/>
      <Part Type="punktas" Nr="113" Abbr="113 p." DocPartId="09e585389ee04de78cee3f38b343789a" PartId="1c3f88dd24c04aa3bd490abd485f5f4c"/>
      <Part Type="punktas" Nr="114" Abbr="114 p." DocPartId="f9ed245052194ddca1534c4009a9276a" PartId="b13e241518164bea8498fcf9fb9aca8e"/>
      <Part Type="punktas" Nr="115" Abbr="115 p." DocPartId="756a12ad5c654543820ad9c936634cf6" PartId="0678709eeb3f48e686d3bccedd01e5b0">
        <Part Type="punktas" Nr="115.1" Abbr="115.1 p." DocPartId="e4ee2f5d375e4f529ce2188f7667dc60" PartId="6d70b55309224d9dbc24c463cb9d622e">
          <Part Type="punktas" Nr="115.1.1" Abbr="115.1.1 p." DocPartId="ed9597968b56439ba51b1b046fe992b3" PartId="45293bc5d230476eb21f497949885b35"/>
          <Part Type="punktas" Nr="115.1.2" Abbr="115.1.2 p." DocPartId="370688dd29554f189e0cfd6a1e56e73d" PartId="fbfe2e7503674615a3ecb3166b708ebd"/>
          <Part Type="punktas" Nr="115.1.3" Abbr="115.1.3 p." DocPartId="e9fa32dd8ed744f0b3346424689d1043" PartId="b15e41bd5ef04da4b57420fedc5880a6"/>
          <Part Type="punktas" Nr="115.1.4" Abbr="115.1.4 p." DocPartId="87857c4e94b74879bd0b6cac33fd607c" PartId="b66df574d0ed42ceaa65ea78b6359534"/>
          <Part Type="punktas" Nr="115.1.5" Abbr="115.1.5 p." DocPartId="a052c85a44e248d8af1ddd5af3c8aabd" PartId="70135212cd724622bb715fd93c3091e7"/>
          <Part Type="punktas" Nr="115.1.6" Abbr="115.1.6 p." DocPartId="689ac19911f945138020788263bd688f" PartId="43f980be17a54bb994601993c9c6e7f8"/>
          <Part Type="punktas" Nr="115.1.7" Abbr="115.1.7 p." DocPartId="e49b6e1dfd324b4b97e3d2dafd82ecf7" PartId="b58fe547825947eeaf96cc522bf9da33"/>
          <Part Type="punktas" Nr="115.1.8" Abbr="115.1.8 p." DocPartId="c3639b3b85e44e099a32f1b6f7e4f790" PartId="7b6b186262c1430f9bf6680fc591d69f"/>
          <Part Type="punktas" Nr="115.1.9" Abbr="115.1.9 p." DocPartId="21340359ce7f4ce3af75b6c588855067" PartId="78d0069b13164726a2bb0a2c69440811"/>
          <Part Type="punktas" Nr="115.1.10" Abbr="115.1.10 p." DocPartId="4b6cbb1df4b34cf9b335f803935f4da5" PartId="8cb574810cdd4a2497c5d905f3f746f7"/>
        </Part>
        <Part Type="punktas" Nr="115.2" Abbr="115.2 p." DocPartId="0e82f09ae3ff427fad3fde0c95c98974" PartId="8f9d2451a8994638989b74f2b850c557">
          <Part Type="punktas" Nr="115.2.1" Abbr="115.2.1 p." DocPartId="c170cc42d2bf4c09ad628991c33971e1" PartId="bf5b0278e4ec4a2280e3c652ea3174fb"/>
          <Part Type="punktas" Nr="115.2.2" Abbr="115.2.2 p." DocPartId="518da1fc70534d328d55280207181809" PartId="c4e5039e95d746bb9a014f2410d939cb"/>
          <Part Type="punktas" Nr="115.2.3" Abbr="115.2.3 p." DocPartId="7f6d3d4a7ec846a6b7ed04dd944a4bfb" PartId="017c5bc2cebb44659362ba541125a19f"/>
          <Part Type="punktas" Nr="115.2.4" Abbr="115.2.4 p." DocPartId="6bdb99c82ac742b6be8350ff19d2bbb8" PartId="cb9dcdd314fd41b2b1afe7866036d8d7"/>
          <Part Type="punktas" Nr="115.2.5" Abbr="115.2.5 p." DocPartId="aa2f9b63ce8b4693a889ee809fd677bd" PartId="43ca4a1251d94038a6d5fa9afb1f4cb1"/>
          <Part Type="punktas" Nr="115.2.6" Abbr="115.2.6 p." DocPartId="e2f154c05d5649d48c671bbf713687e1" PartId="73c0b00113e24595ac4651175612a11b"/>
          <Part Type="punktas" Nr="115.2.7" Abbr="115.2.7 p." DocPartId="75861a01d6ef4eeab1fb9d53d4b74ca7" PartId="8be74bfa1ab040a99cf740dafcefb6b9"/>
          <Part Type="punktas" Nr="115.2.8" Abbr="115.2.8 p." DocPartId="64d7ddd1bfc44bba80f0d5c1890a6be9" PartId="636bf087b7f740f399a58fae0bb6b7d6"/>
          <Part Type="punktas" Nr="115.2.9" Abbr="115.2.9 p." DocPartId="4076e19491f842d79cf88e5be05bebfd" PartId="49ab48c3048045afbfd702d9b0404721"/>
          <Part Type="punktas" Nr="115.2.10" Abbr="115.2.10 p." DocPartId="25ebac11cce54c69b820fbc93c44efd4" PartId="11ca7ed632334a73adfb0647d98bdc6a"/>
        </Part>
        <Part Type="punktas" Nr="115.3" Abbr="115.3 p." DocPartId="a67c16b392cb46d2aee844067b6ec9ae" PartId="d6a9e2adbfe5409799b422e46b0cf09f">
          <Part Type="punktas" Nr="115.3.1" Abbr="115.3.1 p." DocPartId="e3943decf6564cd79bc64ebdc80a8704" PartId="2814a966f3944157896dc27b2f698d31"/>
          <Part Type="punktas" Nr="115.3.2" Abbr="115.3.2 p." DocPartId="b164a04c2f7a4162952ae9be848830b5" PartId="3ccb9f988e794968adf7c19b245f2ea3"/>
          <Part Type="punktas" Nr="115.3.3" Abbr="115.3.3 p." DocPartId="fb3bb7de358c4203b34982d4321f3928" PartId="0206f7a565a6407881f7588b6f6a52fc"/>
          <Part Type="punktas" Nr="115.3.4" Abbr="115.3.4 p." DocPartId="bad75e47f23c4a1ab98964dfe304a9b7" PartId="194d17ffbda34fbbbf549816137c39ac"/>
          <Part Type="punktas" Nr="115.3.5" Abbr="115.3.5 p." DocPartId="717120b6640a4a3781c94e9e56827eff" PartId="185209feb6de43b4b5b6e6e8e87e6503"/>
        </Part>
        <Part Type="punktas" Nr="115.4" Abbr="115.4 p." DocPartId="3c07f3a03532448ab10c06fedd962352" PartId="05ad810295c145f2a4acd80f8c92490f">
          <Part Type="punktas" Nr="115.4.1" Abbr="115.4.1 p." DocPartId="6cb6ee3590bc4a69a66a275308dc72bc" PartId="02091d801de245a4b137d6b0b64d3334"/>
          <Part Type="punktas" Nr="115.4.2" Abbr="115.4.2 p." DocPartId="3d07e35d3a6e48b6bf59befaf4350040" PartId="62fdea721cda4ffeb27cd6f70c0e7cdb"/>
        </Part>
      </Part>
      <Part Type="punktas" Nr="116" Abbr="116 p." DocPartId="d995a4f48f1c493db2dc7eab51e8353e" PartId="dddc3fdf9bdd47fe926df57238e6962d"/>
      <Part Type="punktas" Nr="117" Abbr="117 p." DocPartId="789aa6ef39df4528bf33d766363d88dd" PartId="1fffb7d43f7345179ed4e8821652ac9f"/>
      <Part Type="punktas" Nr="118" Abbr="118 p." DocPartId="b2363599ac8a448d96aed3a2d7bd99a2" PartId="d74ff154c4924a0cae62fa96240d9c74"/>
      <Part Type="punktas" Nr="119" Abbr="119 p." DocPartId="aec082e7a38d43119603a318547d533e" PartId="c272a4e1a22f4baf9cbcccdc3ff7401b"/>
      <Part Type="punktas" Nr="120" Abbr="120 p." DocPartId="902abae6207e442eb48b6db127b52517" PartId="b96fb1c692ab41778b4bc64e9382c649"/>
      <Part Type="punktas" Nr="121" Abbr="121 p." DocPartId="dfd992974be544448f023cf27ecf04ef" PartId="9d1fe600ac0a4053bb27d3ff851b7bde"/>
    </Part>
    <Part Type="skyrius" Nr="8" Title="BAIGIAMOSIOS NUOSTATOS" DocPartId="5a43620bf40c4b97b101f26d428f45a2" PartId="4837e854daf24200801c2a4778bee4e7">
      <Part Type="punktas" Nr="122" Abbr="122 p." DocPartId="3bb05b252a814366a3c258b83b1ec23e" PartId="8eec2d81dded499dae1f25f2f6611b53"/>
      <Part Type="punktas" Nr="123" Abbr="123 p." DocPartId="4e1cfbb40b9742618dbaaf32a61bb19e" PartId="704cd07e428948bdbb7ca200e8443f39"/>
      <Part Type="punktas" Nr="124" Abbr="124 p." DocPartId="385ebc5409944cb2bab225b7fc441a2f" PartId="0bf77cb5a87e4d1986b868c7eec4c368"/>
    </Part>
    <Part Type="pabaiga" DocPartId="e8b6cc8b1a7b46b19e502da34eee681f" PartId="aaad3fc2700045539258196804ccb5b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9C7E18D-9E15-4B2E-A8FF-D9BBD2843655}">
  <ds:schemaRefs>
    <ds:schemaRef ds:uri="http://lrs.lt/TAIS/DocParts"/>
  </ds:schemaRefs>
</ds:datastoreItem>
</file>

<file path=customXml/itemProps3.xml><?xml version="1.0" encoding="utf-8"?>
<ds:datastoreItem xmlns:ds="http://schemas.openxmlformats.org/officeDocument/2006/customXml" ds:itemID="{57CF6727-A957-4A1C-83DE-7C694FD7635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86</TotalTime>
  <Pages>37</Pages>
  <Words>73891</Words>
  <Characters>42118</Characters>
  <Application>Microsoft Office Word</Application>
  <DocSecurity>0</DocSecurity>
  <Lines>350</Lines>
  <Paragraphs>231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VALSTYBINĖS KAINŲ IR ENERGETIKOS KONTROLĖS KOMISIJOS</vt:lpstr>
      <vt:lpstr>VALSTYBINĖS KAINŲ IR ENERGETIKOS KONTROLĖS KOMISIJOS</vt:lpstr>
    </vt:vector>
  </TitlesOfParts>
  <Company>HP</Company>
  <LinksUpToDate>false</LinksUpToDate>
  <CharactersWithSpaces>115778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2015-01-16T08:21:00Z</dcterms:created>
  <dc:creator>irlauk</dc:creator>
  <lastModifiedBy>TRAPINSKIENĖ Aušrinė</lastModifiedBy>
  <lastPrinted>2015-01-13T09:12:00Z</lastPrinted>
  <dcterms:modified xsi:type="dcterms:W3CDTF">2016-12-12T13:39:00Z</dcterms:modified>
  <revision>20</revision>
  <dc:title>VALSTYBINĖS KAINŲ IR ENERGETIKOS KONTROLĖS KOMISIJOS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0x0101008CB496B0C076984283272B1C06F9FFD5</vt:lpwstr>
  </property>
</Properties>
</file>