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7f7e34a1ff2c40b48184daef31195ae7"/>
        <w:lock w:val="sdtLocked"/>
        <w:richText/>
      </w:sdtPr>
      <w:sdtContent>
        <w:p>
          <w:pPr>
            <w:rPr>
              <w:rFonts w:ascii="Times New Roman" w:hAnsi="Times New Roman"/>
              <w:b/>
              <w:i/>
            </w:rPr>
          </w:pPr>
          <w:r>
            <w:rPr>
              <w:rFonts w:ascii="Times New Roman" w:hAnsi="Times New Roman"/>
              <w:b/>
              <w:i/>
            </w:rPr>
            <w:t>Sprendimas netenka galios 2022-05-01:</w:t>
          </w:r>
        </w:p>
        <w:p>
          <w:pPr>
            <w:jc w:val="both"/>
            <w:rPr>
              <w:rFonts w:ascii="Times New Roman" w:hAnsi="Times New Roman"/>
              <w:i/>
            </w:rPr>
          </w:pPr>
          <w:r>
            <w:rPr>
              <w:rFonts w:ascii="Times New Roman" w:hAnsi="Times New Roman"/>
              <w:sz w:val="20"/>
              <w:i/>
            </w:rPr>
            <w:t>
                    Lietuvos Respublikos sveikatos apsaugos ministerija,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479cd660c79811ec8d9390588bf2de65">
            <w:r w:rsidRPr="00532B9F">
              <w:rPr>
                <w:rFonts w:ascii="Times New Roman" w:eastAsia="MS Mincho" w:hAnsi="Times New Roman"/>
                <w:sz w:val="20"/>
                <w:i/>
                <w:iCs/>
                <w:color w:val="0000FF" w:themeColor="hyperlink"/>
                <w:u w:val="single"/>
              </w:rPr>
              <w:t>V-847</w:t>
            </w:r>
          </w:fldSimple>
          <w:r>
            <w:rPr>
              <w:rFonts w:ascii="Times New Roman" w:eastAsia="MS Mincho" w:hAnsi="Times New Roman"/>
              <w:sz w:val="20"/>
              <w:iCs/>
              <w:i/>
            </w:rPr>
            <w:t>,
2022-04-29,
paskelbta TAR 2022-04-29, i. k. 2022-08957                </w:t>
          </w:r>
        </w:p>
        <w:p>
          <w:pPr>
            <w:jc w:val="both"/>
            <w:rPr>
              <w:rFonts w:ascii="Times New Roman" w:hAnsi="Times New Roman"/>
              <w:i/>
            </w:rPr>
          </w:pPr>
          <w:r>
            <w:rPr>
              <w:rFonts w:ascii="Times New Roman" w:hAnsi="Times New Roman"/>
              <w:sz w:val="20"/>
              <w:i/>
            </w:rPr>
            <w:t>Dėl kai kurių Lietuvos Respublikos sveikatos apsaugos ministro, valstybės lygio ekstremaliosios situacijos valstybės operacijų vadovo sprendimų pripažinimo netekusiais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2021-05-24 iki 2022-04-30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2021-05-14, i. k. 2021-10808</w:t>
          </w:r>
        </w:p>
        <w:p>
          <w:pPr>
            <w:jc w:val="both"/>
            <w:rPr>
              <w:rFonts w:ascii="Times New Roman" w:hAnsi="Times New Roman"/>
              <w:sz w:val="20"/>
            </w:rPr>
          </w:pPr>
        </w:p>
        <w:p>
          <w:pPr>
            <w:tabs>
              <w:tab w:val="center" w:pos="4680"/>
              <w:tab w:val="right" w:pos="9360"/>
            </w:tabs>
          </w:pP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r>
            <w:rPr>
              <w:b/>
              <w:bCs/>
              <w:color w:val="000000"/>
              <w:szCs w:val="24"/>
              <w:shd w:val="clear" w:color="auto" w:fill="FFFFFF"/>
            </w:rPr>
            <w:t>VALSTYBĖS LYGIO EKSTREMALIOSIOS SITUACIJOS VALSTYBĖS OPERACIJŲ VADOVAS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SPRENDIMAS</w:t>
          </w:r>
        </w:p>
        <w:p>
          <w:pPr>
            <w:jc w:val="center"/>
            <w:rPr>
              <w:b/>
              <w:bCs/>
              <w:caps/>
              <w:szCs w:val="24"/>
            </w:rPr>
          </w:pPr>
          <w:r>
            <w:rPr>
              <w:b/>
              <w:bCs/>
              <w:caps/>
              <w:color w:val="000000"/>
              <w:szCs w:val="24"/>
            </w:rPr>
            <w:t>DĖL LIETUVOS RESPUBLIKOS SVEIKATOS APSAUGOS MINISTRO, VALSTYBĖS LYGIO EKSTREMALIOSIOS SITUACIJOS VALSTYBĖS OPERACIJŲ VADOVO 2021 M. BALANDŽIO 16 D. SPRENDIMO NR. V-854 „DĖ</w:t>
          </w:r>
          <w:r>
            <w:rPr>
              <w:b/>
              <w:bCs/>
              <w:color w:val="000000"/>
              <w:szCs w:val="24"/>
            </w:rPr>
            <w:t xml:space="preserve">L </w:t>
          </w:r>
          <w:r>
            <w:rPr>
              <w:b/>
              <w:bCs/>
              <w:szCs w:val="24"/>
            </w:rPr>
            <w:t>KINO TEATRŲ IR KINO KLUBŲ PASLAUGŲ TEIKIMO BEI</w:t>
          </w:r>
          <w:r>
            <w:rPr>
              <w:b/>
              <w:bCs/>
              <w:color w:val="000000"/>
              <w:szCs w:val="24"/>
            </w:rPr>
            <w:t xml:space="preserve"> KULTŪROS, PRAMOGŲ IR KITŲ RENGINIŲ ORGANIZAVIMO BŪTINŲ SĄLYGŲ“ PAKEITIMO</w:t>
          </w:r>
        </w:p>
        <w:p>
          <w:pPr>
            <w:jc w:val="center"/>
            <w:rPr>
              <w:b/>
              <w:bCs/>
              <w:szCs w:val="24"/>
            </w:rPr>
          </w:pPr>
        </w:p>
        <w:p>
          <w:pPr>
            <w:jc w:val="center"/>
            <w:rPr>
              <w:szCs w:val="24"/>
            </w:rPr>
          </w:pPr>
          <w:r>
            <w:rPr>
              <w:szCs w:val="24"/>
            </w:rPr>
            <w:t>2021 m. gegužės 14 d. Nr. V-1103</w:t>
          </w:r>
        </w:p>
        <w:p>
          <w:pPr>
            <w:jc w:val="center"/>
            <w:rPr>
              <w:b/>
              <w:bCs/>
              <w:szCs w:val="24"/>
            </w:rPr>
          </w:pPr>
          <w:r>
            <w:rPr>
              <w:szCs w:val="24"/>
            </w:rPr>
            <w:t>Vilnius</w:t>
          </w:r>
        </w:p>
        <w:p>
          <w:pPr>
            <w:ind w:firstLine="709"/>
            <w:jc w:val="both"/>
            <w:rPr>
              <w:color w:val="000000"/>
              <w:szCs w:val="24"/>
              <w:shd w:val="clear" w:color="auto" w:fill="FFFFFF"/>
            </w:rPr>
          </w:pPr>
        </w:p>
        <w:sdt>
          <w:sdtPr>
            <w:alias w:val="1 p."/>
            <w:tag w:val="part_1fb588ddb6ca45a2ab2cdcdb9ce96214"/>
            <w:lock w:val="sdtLocked"/>
            <w:richText/>
          </w:sdtPr>
          <w:sdtContent>
            <w:p>
              <w:pPr>
                <w:ind w:firstLine="709"/>
                <w:jc w:val="both"/>
                <w:rPr>
                  <w:bCs/>
                  <w:color w:val="000000"/>
                  <w:szCs w:val="24"/>
                </w:rPr>
              </w:pPr>
              <w:sdt>
                <w:sdtPr>
                  <w:alias w:val="Numeris"/>
                  <w:tag w:val="nr_1fb588ddb6ca45a2ab2cdcdb9ce96214"/>
                  <w:lock w:val="sdtLocked"/>
                  <w:richText/>
                </w:sdtPr>
                <w:sdtContent>
                  <w:r>
                    <w:rPr>
                      <w:color w:val="000000"/>
                      <w:szCs w:val="24"/>
                      <w:shd w:val="clear" w:color="auto" w:fill="FFFFFF"/>
                    </w:rPr>
                    <w:t>1</w:t>
                  </w:r>
                </w:sdtContent>
              </w:sdt>
              <w:r>
                <w:rPr>
                  <w:color w:val="000000"/>
                  <w:szCs w:val="24"/>
                  <w:shd w:val="clear" w:color="auto" w:fill="FFFFFF"/>
                </w:rPr>
                <w:t>. P a k e i č i u</w:t>
              </w:r>
              <w:r>
                <w:rPr>
                  <w:color w:val="000000"/>
                  <w:szCs w:val="24"/>
                </w:rPr>
                <w:t> </w:t>
              </w:r>
              <w:r>
                <w:rPr>
                  <w:color w:val="000000"/>
                  <w:szCs w:val="24"/>
                  <w:shd w:val="clear" w:color="auto" w:fill="FFFFFF"/>
                </w:rPr>
                <w:t>Lietuvos Respublikos sveikatos apsaugos ministro, valstybės lygio ekstremaliosios situacijos valstybės operacijų vadovo </w:t>
              </w:r>
              <w:r>
                <w:rPr>
                  <w:color w:val="000000"/>
                  <w:szCs w:val="24"/>
                </w:rPr>
                <w:t xml:space="preserve">2021 m. balandžio 16 d. sprendimą Nr. V-854 „Dėl </w:t>
              </w:r>
              <w:r>
                <w:rPr>
                  <w:bCs/>
                  <w:szCs w:val="24"/>
                </w:rPr>
                <w:t>kino teatrų ir kino klubų paslaugų teikimo bei</w:t>
              </w:r>
              <w:r>
                <w:rPr>
                  <w:bCs/>
                  <w:color w:val="000000"/>
                  <w:szCs w:val="24"/>
                </w:rPr>
                <w:t xml:space="preserve"> kultūros, pramogų ir kitų renginių organizavimo būtinų sąlygų“:</w:t>
              </w:r>
            </w:p>
            <w:sdt>
              <w:sdtPr>
                <w:alias w:val="1.1 pp."/>
                <w:tag w:val="part_71b668249cea4845b3ec4d2fcb617c18"/>
                <w:lock w:val="sdtLocked"/>
                <w:richText/>
              </w:sdtPr>
              <w:sdtContent>
                <w:p>
                  <w:pPr>
                    <w:ind w:firstLine="709"/>
                    <w:jc w:val="both"/>
                    <w:rPr>
                      <w:color w:val="000000"/>
                      <w:shd w:val="clear" w:color="auto" w:fill="FFFFFF"/>
                    </w:rPr>
                  </w:pPr>
                  <w:sdt>
                    <w:sdtPr>
                      <w:alias w:val="Numeris"/>
                      <w:tag w:val="nr_71b668249cea4845b3ec4d2fcb617c18"/>
                      <w:lock w:val="sdtLocked"/>
                      <w:richText/>
                    </w:sdtPr>
                    <w:sdtContent>
                      <w:r>
                        <w:rPr>
                          <w:color w:val="000000"/>
                          <w:shd w:val="clear" w:color="auto" w:fill="FFFFFF"/>
                        </w:rPr>
                        <w:t>1.1</w:t>
                      </w:r>
                    </w:sdtContent>
                  </w:sdt>
                  <w:r>
                    <w:rPr>
                      <w:color w:val="000000"/>
                      <w:shd w:val="clear" w:color="auto" w:fill="FFFFFF"/>
                    </w:rPr>
                    <w:t>. Pakeičiu preambulę ir ją išdėstau taip:</w:t>
                  </w:r>
                </w:p>
                <w:sdt>
                  <w:sdtPr>
                    <w:alias w:val="citata"/>
                    <w:tag w:val="part_d880feef66bc4c3fb2166ebf0e7d2a69"/>
                    <w:lock w:val="sdtLocked"/>
                    <w:richText/>
                  </w:sdtPr>
                  <w:sdtContent>
                    <w:sdt>
                      <w:sdtPr>
                        <w:alias w:val="pastraipa"/>
                        <w:tag w:val="part_deefbfa232844d9eac6c4b5f4487cc53"/>
                        <w:lock w:val="sdtLocked"/>
                        <w:richText/>
                      </w:sdtPr>
                      <w:sdtContent>
                        <w:p>
                          <w:pPr>
                            <w:ind w:firstLine="720"/>
                            <w:jc w:val="both"/>
                            <w:rPr>
                              <w:color w:val="000000"/>
                              <w:szCs w:val="24"/>
                            </w:rPr>
                          </w:pPr>
                          <w:r>
                            <w:rPr>
                              <w:color w:val="000000"/>
                              <w:szCs w:val="24"/>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nutarimu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Lietuvos Respublikos Vyriausybės 2020 m. lapkričio 4 d. nutarimo Nr. 1226 „Dėl karantino Lietuvos Respublikos teritorijoje paskelbimo“ (toliau – Nutarimas) 2.2.6.6, </w:t>
                          </w:r>
                          <w:r>
                            <w:rPr>
                              <w:szCs w:val="24"/>
                            </w:rPr>
                            <w:t>2.2.6</w:t>
                          </w:r>
                          <w:r>
                            <w:rPr>
                              <w:szCs w:val="24"/>
                              <w:vertAlign w:val="superscript"/>
                            </w:rPr>
                            <w:t>1</w:t>
                          </w:r>
                          <w:r>
                            <w:rPr>
                              <w:szCs w:val="24"/>
                            </w:rPr>
                            <w:t xml:space="preserve">.5, </w:t>
                          </w:r>
                          <w:r>
                            <w:rPr>
                              <w:szCs w:val="24"/>
                              <w:shd w:val="clear" w:color="auto" w:fill="FFFFFF"/>
                            </w:rPr>
                            <w:t xml:space="preserve">2.2.8.1, </w:t>
                          </w:r>
                          <w:r>
                            <w:rPr>
                              <w:bCs/>
                              <w:szCs w:val="24"/>
                              <w:shd w:val="clear" w:color="auto" w:fill="FFFFFF"/>
                            </w:rPr>
                            <w:t xml:space="preserve">2.2.8.5, 2.2.8.6 </w:t>
                          </w:r>
                          <w:r>
                            <w:rPr>
                              <w:color w:val="000000"/>
                              <w:szCs w:val="24"/>
                            </w:rPr>
                            <w:t>papunkčiais bei siekdamas užtikrinti COVID-19 ligos (koronaviruso infekcijos) plitimo prevenciją ir</w:t>
                          </w:r>
                          <w:r>
                            <w:rPr>
                              <w:bCs/>
                              <w:color w:val="000000"/>
                              <w:szCs w:val="24"/>
                            </w:rPr>
                            <w:t xml:space="preserve"> atsižvelgdamas į Pasaulio sveikatos organizacijos rekomendacijas</w:t>
                          </w:r>
                          <w:r>
                            <w:rPr>
                              <w:color w:val="000000"/>
                              <w:szCs w:val="24"/>
                            </w:rPr>
                            <w:t>, n u s p r e n d ž i u:“.</w:t>
                          </w:r>
                        </w:p>
                      </w:sdtContent>
                    </w:sdt>
                  </w:sdtContent>
                </w:sdt>
              </w:sdtContent>
            </w:sdt>
            <w:sdt>
              <w:sdtPr>
                <w:alias w:val="1.2 pp."/>
                <w:tag w:val="part_5d6716bbc7cc4db2ad6ddb127b323336"/>
                <w:lock w:val="sdtLocked"/>
                <w:richText/>
              </w:sdtPr>
              <w:sdtContent>
                <w:p>
                  <w:pPr>
                    <w:ind w:firstLine="709"/>
                    <w:jc w:val="both"/>
                    <w:rPr>
                      <w:color w:val="000000"/>
                      <w:szCs w:val="24"/>
                    </w:rPr>
                  </w:pPr>
                  <w:sdt>
                    <w:sdtPr>
                      <w:alias w:val="Numeris"/>
                      <w:tag w:val="nr_5d6716bbc7cc4db2ad6ddb127b323336"/>
                      <w:lock w:val="sdtLocked"/>
                      <w:richText/>
                    </w:sdtPr>
                    <w:sdtContent>
                      <w:r>
                        <w:rPr>
                          <w:color w:val="000000"/>
                          <w:szCs w:val="24"/>
                        </w:rPr>
                        <w:t>1.2</w:t>
                      </w:r>
                    </w:sdtContent>
                  </w:sdt>
                  <w:r>
                    <w:rPr>
                      <w:color w:val="000000"/>
                      <w:szCs w:val="24"/>
                    </w:rPr>
                    <w:t>. Papildau 1.3.1</w:t>
                  </w:r>
                  <w:r>
                    <w:rPr>
                      <w:color w:val="000000"/>
                      <w:szCs w:val="24"/>
                      <w:vertAlign w:val="superscript"/>
                    </w:rPr>
                    <w:t>1</w:t>
                  </w:r>
                  <w:r>
                    <w:rPr>
                      <w:color w:val="000000"/>
                      <w:szCs w:val="24"/>
                    </w:rPr>
                    <w:t xml:space="preserve"> papunkčiu:</w:t>
                  </w:r>
                </w:p>
                <w:sdt>
                  <w:sdtPr>
                    <w:alias w:val="citata"/>
                    <w:tag w:val="part_d4e2f09571974e7087d9d87b58554c45"/>
                    <w:lock w:val="sdtLocked"/>
                    <w:richText/>
                  </w:sdtPr>
                  <w:sdtContent>
                    <w:sdt>
                      <w:sdtPr>
                        <w:alias w:val="1.3.1-1 pp."/>
                        <w:tag w:val="part_08740225b1da4ea2b902fcda88477351"/>
                        <w:lock w:val="sdtLocked"/>
                        <w:richText/>
                      </w:sdtPr>
                      <w:sdtContent>
                        <w:p>
                          <w:pPr>
                            <w:ind w:firstLine="709"/>
                            <w:jc w:val="both"/>
                            <w:rPr>
                              <w:color w:val="000000"/>
                            </w:rPr>
                          </w:pPr>
                          <w:r>
                            <w:rPr>
                              <w:color w:val="000000"/>
                            </w:rPr>
                            <w:t>„</w:t>
                          </w:r>
                          <w:sdt>
                            <w:sdtPr>
                              <w:alias w:val="Numeris"/>
                              <w:tag w:val="nr_08740225b1da4ea2b902fcda88477351"/>
                              <w:lock w:val="sdtLocked"/>
                              <w:richText/>
                            </w:sdtPr>
                            <w:sdtContent>
                              <w:r>
                                <w:rPr>
                                  <w:bCs/>
                                  <w:color w:val="000000"/>
                                </w:rPr>
                                <w:t>1.3.1</w:t>
                              </w:r>
                              <w:r>
                                <w:rPr>
                                  <w:bCs/>
                                  <w:color w:val="000000"/>
                                  <w:vertAlign w:val="superscript"/>
                                </w:rPr>
                                <w:t>1</w:t>
                              </w:r>
                            </w:sdtContent>
                          </w:sdt>
                          <w:r>
                            <w:rPr>
                              <w:bCs/>
                              <w:color w:val="000000"/>
                            </w:rPr>
                            <w:t>. užtikrinti, kad renginiuose uždarose erdvėse, kai renginyje dalyvauja tik N</w:t>
                          </w:r>
                          <w:r>
                            <w:rPr>
                              <w:bCs/>
                              <w:color w:val="000000"/>
                              <w:shd w:val="clear" w:color="auto" w:fill="FFFFFF"/>
                            </w:rPr>
                            <w:t>utarimo 2</w:t>
                          </w:r>
                          <w:r>
                            <w:rPr>
                              <w:bCs/>
                              <w:color w:val="000000"/>
                              <w:shd w:val="clear" w:color="auto" w:fill="FFFFFF"/>
                              <w:vertAlign w:val="superscript"/>
                            </w:rPr>
                            <w:t>2</w:t>
                          </w:r>
                          <w:r>
                            <w:rPr>
                              <w:bCs/>
                              <w:color w:val="000000"/>
                              <w:shd w:val="clear" w:color="auto" w:fill="FFFFFF"/>
                            </w:rPr>
                            <w:t> punkte </w:t>
                          </w:r>
                          <w:r>
                            <w:rPr>
                              <w:bCs/>
                              <w:color w:val="000000"/>
                            </w:rPr>
                            <w:t xml:space="preserve">nurodytus kriterijus atitinkantys asmenys </w:t>
                          </w:r>
                          <w:r>
                            <w:rPr>
                              <w:bCs/>
                              <w:szCs w:val="24"/>
                            </w:rPr>
                            <w:t xml:space="preserve">(atlikėjai, organizatoriai ir aptarnaujantis personalas Nutarimo </w:t>
                          </w:r>
                          <w:r>
                            <w:rPr>
                              <w:bCs/>
                              <w:color w:val="000000"/>
                              <w:shd w:val="clear" w:color="auto" w:fill="FFFFFF"/>
                            </w:rPr>
                            <w:t>2</w:t>
                          </w:r>
                          <w:r>
                            <w:rPr>
                              <w:bCs/>
                              <w:color w:val="000000"/>
                              <w:shd w:val="clear" w:color="auto" w:fill="FFFFFF"/>
                              <w:vertAlign w:val="superscript"/>
                            </w:rPr>
                            <w:t>2</w:t>
                          </w:r>
                          <w:r>
                            <w:rPr>
                              <w:bCs/>
                              <w:szCs w:val="24"/>
                            </w:rPr>
                            <w:t> punkte nurodytų kriterijų neprivalo atitikti)</w:t>
                          </w:r>
                          <w:r>
                            <w:rPr>
                              <w:bCs/>
                              <w:color w:val="000000"/>
                            </w:rPr>
                            <w:t>, būtų užpildoma ne daugiau kaip 75 proc. visų sėdimų vietų, bet bendras žiūrovų ir (ar) dalyvių skaičius neviršytų 500 asmenų (neįskaičiuojant atlikėjų, organizatorių ir aptarnaujančio personalo);</w:t>
                          </w:r>
                          <w:r>
                            <w:rPr>
                              <w:color w:val="000000"/>
                            </w:rPr>
                            <w:t>“.</w:t>
                          </w:r>
                        </w:p>
                      </w:sdtContent>
                    </w:sdt>
                  </w:sdtContent>
                </w:sdt>
              </w:sdtContent>
            </w:sdt>
            <w:sdt>
              <w:sdtPr>
                <w:alias w:val="1.3 pp."/>
                <w:tag w:val="part_0220088e63aa4f4b8dd4bb3961d083ee"/>
                <w:lock w:val="sdtLocked"/>
                <w:richText/>
              </w:sdtPr>
              <w:sdtContent>
                <w:p>
                  <w:pPr>
                    <w:ind w:firstLine="709"/>
                    <w:jc w:val="both"/>
                    <w:rPr>
                      <w:color w:val="000000"/>
                      <w:szCs w:val="24"/>
                    </w:rPr>
                  </w:pPr>
                  <w:sdt>
                    <w:sdtPr>
                      <w:alias w:val="Numeris"/>
                      <w:tag w:val="nr_0220088e63aa4f4b8dd4bb3961d083ee"/>
                      <w:lock w:val="sdtLocked"/>
                      <w:richText/>
                    </w:sdtPr>
                    <w:sdtContent>
                      <w:r>
                        <w:rPr>
                          <w:color w:val="000000"/>
                        </w:rPr>
                        <w:t>1.3</w:t>
                      </w:r>
                    </w:sdtContent>
                  </w:sdt>
                  <w:r>
                    <w:rPr>
                      <w:color w:val="000000"/>
                    </w:rPr>
                    <w:t>. Papildau 1.3.1</w:t>
                  </w:r>
                  <w:r>
                    <w:rPr>
                      <w:color w:val="000000"/>
                      <w:vertAlign w:val="superscript"/>
                    </w:rPr>
                    <w:t>2</w:t>
                  </w:r>
                  <w:r>
                    <w:rPr>
                      <w:color w:val="000000"/>
                    </w:rPr>
                    <w:t xml:space="preserve"> papunkčiu:</w:t>
                  </w:r>
                </w:p>
                <w:p>
                  <w:pPr>
                    <w:tabs>
                      <w:tab w:val="left" w:pos="1134"/>
                    </w:tabs>
                    <w:ind w:firstLine="709"/>
                    <w:jc w:val="both"/>
                    <w:rPr>
                      <w:color w:val="000000"/>
                      <w:szCs w:val="24"/>
                    </w:rPr>
                  </w:pPr>
                  <w:r>
                    <w:rPr>
                      <w:color w:val="000000"/>
                    </w:rPr>
                    <w:t>„</w:t>
                  </w:r>
                  <w:r>
                    <w:rPr>
                      <w:bCs/>
                      <w:color w:val="000000"/>
                    </w:rPr>
                    <w:t>1.3.1</w:t>
                  </w:r>
                  <w:r>
                    <w:rPr>
                      <w:bCs/>
                      <w:color w:val="000000"/>
                      <w:vertAlign w:val="superscript"/>
                    </w:rPr>
                    <w:t>2</w:t>
                  </w:r>
                  <w:r>
                    <w:rPr>
                      <w:bCs/>
                      <w:color w:val="000000"/>
                    </w:rPr>
                    <w:t xml:space="preserve">. užtikrinti, kad renginiuose atvirose erdvėse, kai renginyje dalyvauja tik </w:t>
                  </w:r>
                  <w:r>
                    <w:rPr>
                      <w:bCs/>
                      <w:color w:val="000000"/>
                      <w:shd w:val="clear" w:color="auto" w:fill="FFFFFF"/>
                    </w:rPr>
                    <w:t>Nutarimo 2</w:t>
                  </w:r>
                  <w:r>
                    <w:rPr>
                      <w:bCs/>
                      <w:color w:val="000000"/>
                      <w:shd w:val="clear" w:color="auto" w:fill="FFFFFF"/>
                      <w:vertAlign w:val="superscript"/>
                    </w:rPr>
                    <w:t>2</w:t>
                  </w:r>
                  <w:r>
                    <w:rPr>
                      <w:bCs/>
                      <w:color w:val="000000"/>
                      <w:shd w:val="clear" w:color="auto" w:fill="FFFFFF"/>
                    </w:rPr>
                    <w:t xml:space="preserve"> punkte </w:t>
                  </w:r>
                  <w:r>
                    <w:rPr>
                      <w:bCs/>
                      <w:color w:val="000000"/>
                    </w:rPr>
                    <w:t xml:space="preserve">nurodytus kriterijus atitinkantys asmenys (atlikėjai, organizatoriai ir aptarnaujantis personalas Nutarimo </w:t>
                  </w:r>
                  <w:r>
                    <w:rPr>
                      <w:bCs/>
                      <w:color w:val="000000"/>
                      <w:shd w:val="clear" w:color="auto" w:fill="FFFFFF"/>
                    </w:rPr>
                    <w:t>2</w:t>
                  </w:r>
                  <w:r>
                    <w:rPr>
                      <w:bCs/>
                      <w:color w:val="000000"/>
                      <w:shd w:val="clear" w:color="auto" w:fill="FFFFFF"/>
                      <w:vertAlign w:val="superscript"/>
                    </w:rPr>
                    <w:t>2</w:t>
                  </w:r>
                  <w:r>
                    <w:rPr>
                      <w:bCs/>
                      <w:szCs w:val="24"/>
                    </w:rPr>
                    <w:t xml:space="preserve"> punkte </w:t>
                  </w:r>
                  <w:r>
                    <w:rPr>
                      <w:bCs/>
                      <w:color w:val="000000"/>
                    </w:rPr>
                    <w:t xml:space="preserve">nurodytų kriterijų neprivalo atitikti), bendras skaičius neviršytų </w:t>
                  </w:r>
                  <w:r>
                    <w:rPr>
                      <w:bCs/>
                      <w:szCs w:val="24"/>
                    </w:rPr>
                    <w:t>2 000</w:t>
                  </w:r>
                  <w:r>
                    <w:rPr>
                      <w:szCs w:val="24"/>
                    </w:rPr>
                    <w:t xml:space="preserve"> </w:t>
                  </w:r>
                  <w:r>
                    <w:rPr>
                      <w:bCs/>
                      <w:color w:val="000000"/>
                    </w:rPr>
                    <w:t>asmenų (neįskaičiuojant atlikėjų, organizatorių ir aptarnaujančio personalo);</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c58bb0b9ff11eb8c24980b2b0e0fef">
                    <w:r w:rsidRPr="00532B9F">
                      <w:rPr>
                        <w:rFonts w:ascii="Times New Roman" w:eastAsia="MS Mincho" w:hAnsi="Times New Roman"/>
                        <w:sz w:val="20"/>
                        <w:i/>
                        <w:iCs/>
                        <w:color w:val="0000FF" w:themeColor="hyperlink"/>
                        <w:u w:val="single"/>
                      </w:rPr>
                      <w:t>V-1148</w:t>
                    </w:r>
                  </w:fldSimple>
                  <w:r>
                    <w:rPr>
                      <w:rFonts w:ascii="Times New Roman" w:eastAsia="MS Mincho" w:hAnsi="Times New Roman"/>
                      <w:sz w:val="20"/>
                      <w:i/>
                      <w:iCs/>
                    </w:rPr>
                    <w:t>,
2021-05-21,
paskelbta TAR 2021-05-21, i. k. 2021-11294            </w:t>
                  </w:r>
                </w:p>
                <w:p/>
              </w:sdtContent>
            </w:sdt>
          </w:sdtContent>
        </w:sdt>
        <w:sdt>
          <w:sdtPr>
            <w:alias w:val="2 p."/>
            <w:tag w:val="part_2649ca2d1e28492da8bacf9ed47c7c90"/>
            <w:lock w:val="sdtLocked"/>
            <w:richText/>
          </w:sdtPr>
          <w:sdtContent>
            <w:p>
              <w:pPr>
                <w:ind w:firstLine="720"/>
                <w:jc w:val="both"/>
                <w:rPr>
                  <w:color w:val="000000"/>
                  <w:szCs w:val="24"/>
                </w:rPr>
              </w:pPr>
              <w:sdt>
                <w:sdtPr>
                  <w:alias w:val="Numeris"/>
                  <w:tag w:val="nr_2649ca2d1e28492da8bacf9ed47c7c90"/>
                  <w:lock w:val="sdtLocked"/>
                  <w:richText/>
                </w:sdtPr>
                <w:sdtContent>
                  <w:r>
                    <w:rPr>
                      <w:color w:val="000000"/>
                      <w:szCs w:val="24"/>
                    </w:rPr>
                    <w:t>2</w:t>
                  </w:r>
                </w:sdtContent>
              </w:sdt>
              <w:r>
                <w:rPr>
                  <w:color w:val="000000"/>
                  <w:szCs w:val="24"/>
                </w:rPr>
                <w:t>. N u s t a t a u, kad šis sprendimas įsigalioja 2021 m. gegužės 24 d.</w:t>
              </w:r>
            </w:p>
          </w:sdtContent>
        </w:sdt>
        <w:sdt>
          <w:sdtPr>
            <w:alias w:val="signatura"/>
            <w:tag w:val="part_f84a369617a9462a9c7e7b786e2ae528"/>
            <w:lock w:val="sdtLocked"/>
            <w:richText/>
          </w:sdtPr>
          <w:sdtContent>
            <w:p>
              <w:pPr>
                <w:tabs>
                  <w:tab w:val="right" w:pos="9639"/>
                </w:tabs>
              </w:pPr>
            </w:p>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pPr>
                <w:rPr>
                  <w:szCs w:val="24"/>
                </w:rPr>
              </w:pPr>
              <w:r>
                <w:rPr>
                  <w:color w:val="000000"/>
                  <w:szCs w:val="24"/>
                  <w:shd w:val="clear" w:color="auto" w:fill="FFFFFF"/>
                </w:rPr>
                <w:t xml:space="preserve">ekstremaliosios situacijos valstybės operacijų vadovas </w:t>
                <w:tab/>
                <w:tab/>
                <w:tab/>
                <w:tab/>
                <w:t>Arūnas Dulkys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pPr>
  </w:p>
</w:hdr>
</file>

<file path=word/people.xml><?xml version="1.0" encoding="utf-8"?>
<w15:people xmlns:w15="http://schemas.microsoft.com/office/word/2012/wordml" xmlns:w16se="http://schemas.microsoft.com/office/word/2015/wordml/symex" xmlns:wp14="http://schemas.microsoft.com/office/word/2010/wordprocessingDrawing" xmlns:w16="http://schemas.microsoft.com/office/word/2018/wordml" xmlns:w16cex="http://schemas.microsoft.com/office/word/2018/wordml/cex" xmlns:w16cid="http://schemas.microsoft.com/office/word/2016/wordml/cid" xmlns:w14="http://schemas.microsoft.com/office/word/2010/wordml" xmlns:w16sdtdh="http://schemas.microsoft.com/office/word/2020/wordml/sdtdatahash" xmlns:mc="http://schemas.openxmlformats.org/markup-compatibility/2006" mc:Ignorable="w14 w15 w16se w16cid w16 w16cex w16sdtdh wp14">
  <w15:person w15:author="Sandra Babiedaitė Miškinienė">
    <w15:presenceInfo w15:providerId="AD" w15:userId="S::sandra.babiedaite@sam.lt::5a06a095-999b-4c2b-a4e5-33e1e8e7ca65"/>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microsoft.com/office/2011/relationships/people" Target="people.xml"/>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xml"/>
  <Relationship Id="rId20" Type="http://schemas.openxmlformats.org/officeDocument/2006/relationships/customXml" Target="../customXml/item4.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e4f1ea5a4e24445aae3f289a4a329a04" PartId="7f7e34a1ff2c40b48184daef31195ae7">
    <Part Type="punktas" Nr="1" Abbr="1 p." DocPartId="485c3a0429884362abc560021e75171b" PartId="1fb588ddb6ca45a2ab2cdcdb9ce96214">
      <Part Type="papunktis" Nr="1.1" Abbr="1.1 pp." DocPartId="a03c1b8d8685468b860eac354fc9227f" PartId="71b668249cea4845b3ec4d2fcb617c18">
        <Part Type="citata" DocPartId="b122433ef2924c3e813786d6d751754e" PartId="d880feef66bc4c3fb2166ebf0e7d2a69">
          <Part Type="pastraipa" DocPartId="696862f833794022bd85e1cde967b7b2" PartId="deefbfa232844d9eac6c4b5f4487cc53"/>
        </Part>
      </Part>
      <Part Type="papunktis" Nr="1.2" Abbr="1.2 pp." DocPartId="76d917f7f69a4a2a9b5f816a6d692c50" PartId="5d6716bbc7cc4db2ad6ddb127b323336">
        <Part Type="citata" DocPartId="56da0a7f55e149dca37873334c479b4b" PartId="d4e2f09571974e7087d9d87b58554c45">
          <Part Type="papunktis" Nr="1.3.1-1" Abbr="1.3.1-1 pp." DocPartId="4cbfcf523c1743bda41d2d15f7d4a39e" PartId="08740225b1da4ea2b902fcda88477351"/>
        </Part>
      </Part>
      <Part Type="papunktis" Nr="1.3" Abbr="1.3 pp." DocPartId="f43d4854c7264efa921c746852c75dd3" PartId="0220088e63aa4f4b8dd4bb3961d083ee"/>
    </Part>
    <Part Type="punktas" Nr="2" Abbr="2 p." DocPartId="ddcd0cd7ce8248d58ebf6cd7a55ba100" PartId="2649ca2d1e28492da8bacf9ed47c7c90"/>
    <Part Type="signatura" DocPartId="0d4efc395d5f42ceb1e7f310c61779fb" PartId="f84a369617a9462a9c7e7b786e2ae528"/>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685D276-73EF-4247-8CB4-DCFD9C2DB0D4}">
  <ds:schemaRefs>
    <ds:schemaRef ds:uri="http://lrs.lt/TAIS/DocParts"/>
  </ds:schemaRefs>
</ds:datastoreItem>
</file>

<file path=customXml/itemProps6.xml><?xml version="1.0" encoding="utf-8"?>
<ds:datastoreItem xmlns:ds="http://schemas.openxmlformats.org/officeDocument/2006/customXml" ds:itemID="{57C0916C-5328-4E76-8091-8C7FE339DF8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2</Pages>
  <Words>433</Words>
  <Characters>3027</Characters>
  <Application>Microsoft Office Word</Application>
  <DocSecurity>0</DocSecurity>
  <Lines>25</Lines>
  <Paragraphs>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3454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2021-05-14T11:44:00Z</dcterms:created>
  <dc:creator>Donatas Keršis</dc:creator>
  <lastModifiedBy>TAMALIŪNIENĖ Vilija</lastModifiedBy>
  <lastPrinted>2020-07-24T11:55:00Z</lastPrinted>
  <dcterms:modified xsi:type="dcterms:W3CDTF">2021-05-24T07:48:00Z</dcterms:modified>
  <revision>5</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