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99c389141df4c2d96e634e7411a9f4e"/>
        <w:lock w:val="sdtLocked"/>
        <w:richText/>
      </w:sdtPr>
      <w:sdtContent>
        <w:p>
          <w:pPr>
            <w:jc w:val="both"/>
            <w:rPr>
              <w:rFonts w:ascii="Arial" w:hAnsi="Arial"/>
            </w:rPr>
          </w:pPr>
          <w:r>
            <w:rPr>
              <w:rFonts w:ascii="Arial" w:hAnsi="Arial"/>
              <w:b/>
              <w:i/>
            </w:rPr>
            <w:t>Suvestinė redakcija nuo 2022-07-08 iki 2022-08-31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c0dc75114ea24786a16e0ada016f1064"/>
            <w:lock w:val="sdtLocked"/>
            <w:richText/>
          </w:sdtPr>
          <w:sdtContent>
            <w:p>
              <w:pPr>
                <w:ind w:firstLine="709"/>
                <w:jc w:val="both"/>
              </w:pPr>
              <w:r>
                <w:rPr>
                  <w:szCs w:val="24"/>
                  <w:lang w:eastAsia="lt-LT"/>
                </w:rPr>
                <w:t>Vadovaudamasi Lietuvos Respublikos mokslo ir studijų įstatymo 14 straipsnio 2 dalimi, 18</w:t>
              </w:r>
              <w:r>
                <w:rPr>
                  <w:szCs w:val="24"/>
                  <w:vertAlign w:val="superscript"/>
                  <w:lang w:eastAsia="lt-LT"/>
                </w:rPr>
                <w:t xml:space="preserve">1 </w:t>
              </w:r>
              <w:r>
                <w:rPr>
                  <w:szCs w:val="24"/>
                  <w:lang w:eastAsia="lt-LT"/>
                </w:rPr>
                <w:t xml:space="preserve">straipsniu, 42 straipsnio 1 dalimi, 44 straipsnio 1 dalimi, 49 straipsnio 2 dalimi, 52 straipsnio 12 dalimi, 53 straipsnio 9, 15 dalimis, 54 straipsnio 3 dalimi, 75 straipsnio  3  dalimi, 75</w:t>
              </w:r>
              <w:r>
                <w:rPr>
                  <w:szCs w:val="24"/>
                  <w:vertAlign w:val="superscript"/>
                  <w:lang w:eastAsia="lt-LT"/>
                </w:rPr>
                <w:t>2</w:t>
              </w:r>
              <w:r>
                <w:rPr>
                  <w:szCs w:val="24"/>
                  <w:lang w:eastAsia="lt-LT"/>
                </w:rPr>
                <w:t xml:space="preserve"> straipsnio 3, 4, 6 dalimis, 75</w:t>
              </w:r>
              <w:r>
                <w:rPr>
                  <w:szCs w:val="24"/>
                  <w:vertAlign w:val="superscript"/>
                  <w:lang w:eastAsia="lt-LT"/>
                </w:rPr>
                <w:t>3</w:t>
              </w:r>
              <w:r>
                <w:rPr>
                  <w:szCs w:val="24"/>
                  <w:lang w:eastAsia="lt-LT"/>
                </w:rPr>
                <w:t xml:space="preserve"> straipsnio 1, 6, 7 dalimis, 77 straipsnio 7, 13, 14 dalimis, 79 straipsnio 1 dalimi, 81 straipsnio 2 dalimi, 82 straipsnio 4, 5, 5</w:t>
              </w:r>
              <w:r>
                <w:rPr>
                  <w:szCs w:val="24"/>
                  <w:vertAlign w:val="superscript"/>
                  <w:lang w:eastAsia="lt-LT"/>
                </w:rPr>
                <w:t>1</w:t>
              </w:r>
              <w:r>
                <w:rPr>
                  <w:szCs w:val="24"/>
                  <w:lang w:eastAsia="lt-LT"/>
                </w:rPr>
                <w:t xml:space="preserve">, 9 </w:t>
              </w:r>
              <w:r>
                <w:rPr>
                  <w:bCs/>
                  <w:szCs w:val="24"/>
                  <w:lang w:eastAsia="lt-LT"/>
                </w:rPr>
                <w:t>ir 10</w:t>
              </w:r>
              <w:r>
                <w:rPr>
                  <w:b/>
                  <w:bCs/>
                  <w:szCs w:val="24"/>
                  <w:lang w:eastAsia="lt-LT"/>
                </w:rPr>
                <w:t xml:space="preserve"> </w:t>
              </w:r>
              <w:r>
                <w:rPr>
                  <w:szCs w:val="24"/>
                  <w:lang w:eastAsia="lt-LT"/>
                </w:rPr>
                <w:t>dalimis, 82</w:t>
              </w:r>
              <w:r>
                <w:rPr>
                  <w:szCs w:val="24"/>
                  <w:vertAlign w:val="superscript"/>
                  <w:lang w:eastAsia="lt-LT"/>
                </w:rPr>
                <w:t xml:space="preserve">1 </w:t>
              </w:r>
              <w:r>
                <w:rPr>
                  <w:szCs w:val="24"/>
                  <w:lang w:eastAsia="lt-LT"/>
                </w:rPr>
                <w:t>straipsnio 6 dalimi, 83 straipsnio 4 ir 6 dalimis ir 84 straipsnio 5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1 p."/>
                <w:tag w:val="part_a6bef6dcc7844a25b7143ff84492efd8"/>
                <w:lock w:val="sdtLocked"/>
                <w:richText/>
              </w:sdtPr>
              <w:sdtContent>
                <w:p>
                  <w:pPr>
                    <w:ind w:firstLine="720"/>
                    <w:jc w:val="both"/>
                    <w:rPr>
                      <w:szCs w:val="24"/>
                      <w:lang w:eastAsia="lt-LT"/>
                    </w:rPr>
                  </w:pPr>
                  <w:sdt>
                    <w:sdtPr>
                      <w:alias w:val="Numeris"/>
                      <w:tag w:val="nr_a6bef6dcc7844a25b7143ff84492efd8"/>
                      <w:lock w:val="sdtLocked"/>
                      <w:richText/>
                    </w:sdtPr>
                    <w:sdtContent>
                      <w:r>
                        <w:rPr>
                          <w:rFonts w:eastAsia="MS Mincho"/>
                          <w:lang w:eastAsia="lt-LT"/>
                        </w:rPr>
                        <w:t>2</w:t>
                      </w:r>
                      <w:r>
                        <w:rPr>
                          <w:rFonts w:eastAsia="MS Mincho"/>
                          <w:vertAlign w:val="superscript"/>
                          <w:lang w:eastAsia="lt-LT"/>
                        </w:rPr>
                        <w:t>1</w:t>
                      </w:r>
                    </w:sdtContent>
                  </w:sdt>
                  <w:r>
                    <w:rPr>
                      <w:rFonts w:eastAsia="MS Mincho"/>
                      <w:lang w:eastAsia="lt-LT"/>
                    </w:rPr>
                    <w:t xml:space="preserve">. Įgalioti </w:t>
                  </w:r>
                  <w:r>
                    <w:rPr>
                      <w:lang w:eastAsia="lt-LT"/>
                    </w:rPr>
                    <w:t>Mokslo, inovacijų ir technologijų agentūrą atlikti Mokslo ir studijų įstatymo 18</w:t>
                  </w:r>
                  <w:r>
                    <w:rPr>
                      <w:vertAlign w:val="superscript"/>
                      <w:lang w:eastAsia="lt-LT"/>
                    </w:rPr>
                    <w:t>1</w:t>
                  </w:r>
                  <w:r>
                    <w:rPr>
                      <w:lang w:eastAsia="lt-LT"/>
                    </w:rPr>
                    <w:t xml:space="preserve"> straipsnyje nurodytos Vyriausybės įgaliotos institucijos funkcijas.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d90959f7c02d471b90e9480415e5e63a"/>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d90959f7c02d471b90e9480415e5e63a"/>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cc69cc1a742e47c38b1a0fc760b1ef62"/>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c69cc1a742e47c38b1a0fc760b1ef62"/>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2420dabf02f0478f8e4fb6ea0be9a517"/>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2420dabf02f0478f8e4fb6ea0be9a517"/>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e1f71d186a614b49ba43a7edae40af0e"/>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e1f71d186a614b49ba43a7edae40af0e"/>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a0d58b22b7924eb6950673b2aaa9f238"/>
                <w:lock w:val="sdtLocked"/>
                <w:richText/>
              </w:sdtPr>
              <w:sdtContent>
                <w:p>
                  <w:pPr>
                    <w:spacing w:line="360" w:lineRule="atLeast"/>
                    <w:ind w:firstLine="720"/>
                    <w:jc w:val="both"/>
                    <w:rPr>
                      <w:szCs w:val="24"/>
                      <w:lang w:eastAsia="lt-LT"/>
                    </w:rPr>
                  </w:pPr>
                  <w:sdt>
                    <w:sdtPr>
                      <w:alias w:val="Numeris"/>
                      <w:tag w:val="nr_a0d58b22b7924eb6950673b2aaa9f238"/>
                      <w:lock w:val="sdtLocked"/>
                      <w:richText/>
                    </w:sdt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
                  <w:sdtPr>
                    <w:alias w:val="3.4 pp."/>
                    <w:tag w:val="part_c539b149db4744c089d369fbc113e356"/>
                    <w:lock w:val="sdtLocked"/>
                    <w:richText/>
                  </w:sdtPr>
                  <w:sdtContent>
                    <w:p>
                      <w:pPr>
                        <w:spacing w:line="360" w:lineRule="atLeast"/>
                        <w:ind w:firstLine="720"/>
                        <w:jc w:val="both"/>
                        <w:rPr>
                          <w:szCs w:val="24"/>
                          <w:lang w:eastAsia="lt-LT"/>
                        </w:rPr>
                      </w:pPr>
                      <w:sdt>
                        <w:sdtPr>
                          <w:alias w:val="Numeris"/>
                          <w:tag w:val="nr_c539b149db4744c089d369fbc113e356"/>
                          <w:lock w:val="sdtLocked"/>
                          <w:richText/>
                        </w:sdtPr>
                        <w:sdtContent>
                          <w:r>
                            <w:rPr>
                              <w:szCs w:val="24"/>
                              <w:lang w:eastAsia="lt-LT"/>
                            </w:rPr>
                            <w:t>3.4</w:t>
                          </w:r>
                        </w:sdtContent>
                      </w:sdt>
                      <w:r>
                        <w:rPr>
                          <w:szCs w:val="24"/>
                          <w:lang w:eastAsia="lt-LT"/>
                        </w:rPr>
                        <w:t>. pagal pirmosios ir (ar) antrosios pakopos studijų programas, susijusias su veikla energetikos sektoriuje.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ace151380818447dba4e24cf0ee0fee0"/>
            <w:lock w:val="sdtLocked"/>
            <w:richText/>
          </w:sdtPr>
          <w:sdtContent>
            <w:p>
              <w:pPr>
                <w:spacing w:line="360" w:lineRule="atLeast"/>
                <w:ind w:firstLine="720"/>
                <w:jc w:val="both"/>
                <w:rPr>
                  <w:szCs w:val="24"/>
                  <w:lang w:eastAsia="lt-LT"/>
                </w:rPr>
              </w:pPr>
              <w:sdt>
                <w:sdtPr>
                  <w:alias w:val="Numeris"/>
                  <w:tag w:val="nr_ace151380818447dba4e24cf0ee0fee0"/>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7 p."/>
            <w:tag w:val="part_445ff544296642048676d588f4c9e360"/>
            <w:lock w:val="sdtLocked"/>
            <w:richText/>
          </w:sdtPr>
          <w:sdtContent>
            <w:p>
              <w:pPr>
                <w:spacing w:line="360" w:lineRule="atLeast"/>
                <w:ind w:firstLine="720"/>
                <w:jc w:val="both"/>
              </w:pPr>
              <w:sdt>
                <w:sdtPr>
                  <w:alias w:val="Numeris"/>
                  <w:tag w:val="nr_445ff544296642048676d588f4c9e360"/>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47241fcbc7f9420c976f9f0265a48ae8"/>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47241fcbc7f9420c976f9f0265a48ae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7312591a7de9445f983d3cc6a0e9b8e1"/>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4f95af4015bb41a29160a3b76d71301a"/>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4f95af4015bb41a29160a3b76d71301a"/>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9dc33c251ce24809b2f0ea1c79addaf5"/>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9dc33c251ce24809b2f0ea1c79addaf5"/>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13cd32f11eca41ca9b54fe263d9b7510"/>
                <w:lock w:val="sdtLocked"/>
                <w:richText/>
              </w:sdtPr>
              <w:sdtContent>
                <w:p>
                  <w:pPr>
                    <w:ind w:firstLine="709"/>
                    <w:jc w:val="both"/>
                    <w:rPr>
                      <w:color w:val="000000"/>
                      <w:szCs w:val="24"/>
                      <w:lang w:eastAsia="lt-LT"/>
                    </w:rPr>
                  </w:pPr>
                  <w:sdt>
                    <w:sdtPr>
                      <w:alias w:val="Numeris"/>
                      <w:tag w:val="nr_13cd32f11eca41ca9b54fe263d9b7510"/>
                      <w:lock w:val="sdtLocked"/>
                      <w:richText/>
                    </w:sdtPr>
                    <w:sdtContent>
                      <w:r>
                        <w:rPr>
                          <w:color w:val="000000"/>
                          <w:szCs w:val="24"/>
                          <w:lang w:eastAsia="lt-LT"/>
                        </w:rPr>
                        <w:t>5</w:t>
                      </w:r>
                    </w:sdtContent>
                  </w:sdt>
                  <w:r>
                    <w:rPr>
                      <w:color w:val="000000"/>
                      <w:szCs w:val="24"/>
                      <w:lang w:eastAsia="lt-LT"/>
                    </w:rPr>
                    <w:t>. Tikslinė išmoka gali būti skiriama valstybės finansuojamose ar valstybės nefinansuojamose studijų vietose studijuojantiems:</w:t>
                  </w:r>
                </w:p>
                <w:sdt>
                  <w:sdtPr>
                    <w:alias w:val="5.1 pp."/>
                    <w:tag w:val="part_2d1b1b06507a404ebe012f8f38037cda"/>
                    <w:lock w:val="sdtLocked"/>
                    <w:richText/>
                  </w:sdtPr>
                  <w:sdtContent>
                    <w:p>
                      <w:pPr>
                        <w:ind w:firstLine="709"/>
                        <w:jc w:val="both"/>
                      </w:pPr>
                      <w:sdt>
                        <w:sdtPr>
                          <w:alias w:val="Numeris"/>
                          <w:tag w:val="nr_2d1b1b06507a404ebe012f8f38037cda"/>
                          <w:lock w:val="sdtLocked"/>
                          <w:richText/>
                        </w:sdtPr>
                        <w:sdtContent>
                          <w:r>
                            <w:rPr>
                              <w:color w:val="000000"/>
                              <w:szCs w:val="24"/>
                              <w:lang w:eastAsia="lt-LT"/>
                            </w:rPr>
                            <w:t>5.1</w:t>
                          </w:r>
                        </w:sdtContent>
                      </w:sdt>
                      <w:r>
                        <w:rPr>
                          <w:color w:val="000000"/>
                          <w:szCs w:val="24"/>
                          <w:lang w:eastAsia="lt-LT"/>
                        </w:rPr>
                        <w:t xml:space="preserve">. pirmosios pakopos pedagogikos studijų studentams, kurie studijuoja paskutiniame studijų kurse ir yra sudarę sutartis su savivaldybe ir (ar) savivaldybės mokykla ar valstybine mokykla ir jose įsipareigoję baigę studijas </w:t>
                      </w:r>
                      <w:r>
                        <w:rPr>
                          <w:color w:val="000000"/>
                        </w:rPr>
                        <w:t>dirbti pagal įgytą aukštojo mokslo kvalifikaciją ne trumpiau kaip 3 metus per 5 metų laikotarpį</w:t>
                      </w:r>
                      <w:r>
                        <w:t xml:space="preserve"> ne mažiau kaip 0,7 etato (toliau – sutartis dėl įsidarbinimo);</w:t>
                      </w:r>
                    </w:p>
                  </w:sdtContent>
                </w:sdt>
                <w:sdt>
                  <w:sdtPr>
                    <w:alias w:val="5.2 pp."/>
                    <w:tag w:val="part_af6d54da696c4e9b8221761bba7140c5"/>
                    <w:lock w:val="sdtLocked"/>
                    <w:richText/>
                  </w:sdtPr>
                  <w:sdtContent>
                    <w:p>
                      <w:pPr>
                        <w:ind w:firstLine="709"/>
                        <w:jc w:val="both"/>
                        <w:rPr>
                          <w:color w:val="000000"/>
                          <w:szCs w:val="24"/>
                          <w:lang w:eastAsia="lt-LT"/>
                        </w:rPr>
                      </w:pPr>
                      <w:sdt>
                        <w:sdtPr>
                          <w:alias w:val="Numeris"/>
                          <w:tag w:val="nr_af6d54da696c4e9b8221761bba7140c5"/>
                          <w:lock w:val="sdtLocked"/>
                          <w:richText/>
                        </w:sdtPr>
                        <w:sdtContent>
                          <w:r>
                            <w:t>5.2</w:t>
                          </w:r>
                        </w:sdtContent>
                      </w:sdt>
                      <w:r>
                        <w:t xml:space="preserve">. </w:t>
                      </w:r>
                      <w:r>
                        <w:rPr>
                          <w:color w:val="000000"/>
                          <w:szCs w:val="24"/>
                          <w:lang w:eastAsia="lt-LT"/>
                        </w:rPr>
                        <w:t xml:space="preserve">pedagoginių gretutinių studijų studentams, studijuojantiems paskutiniame pedagoginių gretutinių studijų kurse ir sudariusiems sutartį dėl įsidarbinimo;  </w:t>
                      </w:r>
                    </w:p>
                  </w:sdtContent>
                </w:sdt>
                <w:sdt>
                  <w:sdtPr>
                    <w:alias w:val="5.3 pp."/>
                    <w:tag w:val="part_e6b650c08b9b45948f1c8811350f162d"/>
                    <w:lock w:val="sdtLocked"/>
                    <w:richText/>
                  </w:sdtPr>
                  <w:sdtContent>
                    <w:p>
                      <w:pPr>
                        <w:ind w:firstLine="709"/>
                        <w:jc w:val="both"/>
                      </w:pPr>
                      <w:sdt>
                        <w:sdtPr>
                          <w:alias w:val="Numeris"/>
                          <w:tag w:val="nr_e6b650c08b9b45948f1c8811350f162d"/>
                          <w:lock w:val="sdtLocked"/>
                          <w:richText/>
                        </w:sdtPr>
                        <w:sdtContent>
                          <w:r>
                            <w:rPr>
                              <w:color w:val="000000"/>
                              <w:szCs w:val="24"/>
                              <w:lang w:eastAsia="lt-LT"/>
                            </w:rPr>
                            <w:t>5.3</w:t>
                          </w:r>
                        </w:sdtContent>
                      </w:sdt>
                      <w:r>
                        <w:rPr>
                          <w:color w:val="000000"/>
                          <w:szCs w:val="24"/>
                          <w:lang w:eastAsia="lt-LT"/>
                        </w:rPr>
                        <w:t>. pedagoginių profesinių studijų studentams, sudariusiems</w:t>
                      </w:r>
                      <w:r>
                        <w:t xml:space="preserve"> sutartį dėl įsidarbinimo.</w:t>
                      </w:r>
                    </w:p>
                  </w:sdtContent>
                </w:sdt>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57259e91ec704f83acf4d7b483c794ed"/>
                <w:lock w:val="sdtLocked"/>
                <w:richText/>
              </w:sdtPr>
              <w:sdtContent>
                <w:p>
                  <w:pPr>
                    <w:ind w:firstLine="709"/>
                    <w:jc w:val="both"/>
                    <w:rPr>
                      <w:color w:val="000000"/>
                      <w:szCs w:val="24"/>
                      <w:lang w:eastAsia="lt-LT"/>
                    </w:rPr>
                  </w:pPr>
                  <w:sdt>
                    <w:sdtPr>
                      <w:alias w:val="Numeris"/>
                      <w:tag w:val="nr_57259e91ec704f83acf4d7b483c794ed"/>
                      <w:lock w:val="sdtLocked"/>
                      <w:richText/>
                    </w:sdtPr>
                    <w:sdtContent>
                      <w:r>
                        <w:rPr>
                          <w:color w:val="000000"/>
                          <w:szCs w:val="24"/>
                          <w:lang w:eastAsia="lt-LT"/>
                        </w:rPr>
                        <w:t>7</w:t>
                      </w:r>
                    </w:sdtContent>
                  </w:sdt>
                  <w:r>
                    <w:rPr>
                      <w:color w:val="000000"/>
                      <w:szCs w:val="24"/>
                      <w:lang w:eastAsia="lt-LT"/>
                    </w:rPr>
                    <w:t>. Pasibaigus bendrajam priėmimui į aukštąsias mokyklas, studentų, kuriems skiriama prioritetinė parama, skaičius gali būti tikslinamas, atsižvelgiant į priėmimo į aukštąsias mokyklas rezultatus.</w:t>
                  </w:r>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591dc63f2bf040d5b2798f9966fbbf34"/>
                <w:lock w:val="sdtLocked"/>
                <w:richText/>
              </w:sdtPr>
              <w:sdtContent>
                <w:p>
                  <w:pPr>
                    <w:tabs>
                      <w:tab w:val="left" w:pos="1218"/>
                    </w:tabs>
                    <w:ind w:firstLine="709"/>
                    <w:jc w:val="both"/>
                    <w:rPr>
                      <w:szCs w:val="24"/>
                      <w:lang w:eastAsia="lt-LT"/>
                    </w:rPr>
                  </w:pPr>
                  <w:sdt>
                    <w:sdtPr>
                      <w:alias w:val="Numeris"/>
                      <w:tag w:val="nr_591dc63f2bf040d5b2798f9966fbbf34"/>
                      <w:lock w:val="sdtLocked"/>
                      <w:richText/>
                    </w:sdtPr>
                    <w:sdtContent>
                      <w:r>
                        <w:rPr>
                          <w:szCs w:val="24"/>
                          <w:lang w:eastAsia="lt-LT"/>
                        </w:rPr>
                        <w:t>22</w:t>
                      </w:r>
                    </w:sdtContent>
                  </w:sdt>
                  <w:r>
                    <w:rPr>
                      <w:szCs w:val="24"/>
                      <w:lang w:eastAsia="lt-LT"/>
                    </w:rPr>
                    <w:t xml:space="preserve">. Studentų sąraše nurodoma: studento vardas, pavardė, asmens kodas </w:t>
                  </w:r>
                  <w:r>
                    <w:rPr>
                      <w:color w:val="000000"/>
                      <w:szCs w:val="24"/>
                      <w:lang w:eastAsia="lt-LT"/>
                    </w:rPr>
                    <w:t>(jeigu jo neturi, – gimimo data)</w:t>
                  </w:r>
                  <w:r>
                    <w:rPr>
                      <w:szCs w:val="24"/>
                      <w:lang w:eastAsia="lt-LT"/>
                    </w:rPr>
                    <w:t xml:space="preserve"> ir elektroninio pašto adresas. Pedagoginių gretutinių studijų atveju studentų sąraše papildomai pateikiamas</w:t>
                  </w:r>
                  <w:r>
                    <w:rPr>
                      <w:szCs w:val="24"/>
                    </w:rPr>
                    <w:t xml:space="preserve"> </w:t>
                  </w:r>
                  <w:r>
                    <w:rPr>
                      <w:szCs w:val="24"/>
                      <w:lang w:eastAsia="lt-LT"/>
                    </w:rPr>
                    <w:t>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w:t>
                  </w:r>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7571983ae6b34429ba8e46b5256351a8"/>
                <w:lock w:val="sdtLocked"/>
                <w:richText/>
              </w:sdtPr>
              <w:sdtContent>
                <w:p>
                  <w:pPr>
                    <w:tabs>
                      <w:tab w:val="left" w:pos="1218"/>
                    </w:tabs>
                    <w:ind w:firstLine="709"/>
                    <w:jc w:val="both"/>
                    <w:rPr>
                      <w:color w:val="000000"/>
                      <w:szCs w:val="24"/>
                      <w:lang w:eastAsia="lt-LT"/>
                    </w:rPr>
                  </w:pPr>
                  <w:sdt>
                    <w:sdtPr>
                      <w:alias w:val="Numeris"/>
                      <w:tag w:val="nr_7571983ae6b34429ba8e46b5256351a8"/>
                      <w:lock w:val="sdtLocked"/>
                      <w:richText/>
                    </w:sdtPr>
                    <w:sdtContent>
                      <w:r>
                        <w:rPr>
                          <w:color w:val="000000"/>
                          <w:szCs w:val="24"/>
                          <w:lang w:eastAsia="lt-LT"/>
                        </w:rPr>
                        <w:t>28</w:t>
                      </w:r>
                    </w:sdtContent>
                  </w:sdt>
                  <w:r>
                    <w:rPr>
                      <w:color w:val="000000"/>
                      <w:szCs w:val="24"/>
                      <w:lang w:eastAsia="lt-LT"/>
                    </w:rPr>
                    <w:t xml:space="preserve">. Prioritetinė parama mokama iki studento studijų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lang w:eastAsia="lt-LT"/>
                    </w:rPr>
                    <w:t xml:space="preserve">prioritetinė parama </w:t>
                  </w:r>
                  <w:r>
                    <w:rPr>
                      <w:szCs w:val="24"/>
                    </w:rPr>
                    <w:t xml:space="preserve">studentui skiriama nuo semestro, kurį aukštoji mokykla pateikė Fondui informaciją apie studentus, pradžios. </w:t>
                  </w:r>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177b8182477f491887b8bda0af866cc5"/>
                <w:lock w:val="sdtLocked"/>
                <w:richText/>
              </w:sdtPr>
              <w:sdtContent>
                <w:p>
                  <w:pPr>
                    <w:ind w:firstLine="709"/>
                    <w:jc w:val="both"/>
                    <w:rPr>
                      <w:color w:val="000000"/>
                      <w:szCs w:val="24"/>
                      <w:lang w:eastAsia="lt-LT"/>
                    </w:rPr>
                  </w:pPr>
                  <w:sdt>
                    <w:sdtPr>
                      <w:alias w:val="Numeris"/>
                      <w:tag w:val="nr_177b8182477f491887b8bda0af866cc5"/>
                      <w:lock w:val="sdtLocked"/>
                      <w:richText/>
                    </w:sdtPr>
                    <w:sdtContent>
                      <w:r>
                        <w:rPr>
                          <w:color w:val="000000"/>
                          <w:szCs w:val="24"/>
                        </w:rPr>
                        <w:t>35</w:t>
                      </w:r>
                    </w:sdtContent>
                  </w:sdt>
                  <w:r>
                    <w:rPr>
                      <w:color w:val="000000"/>
                      <w:szCs w:val="24"/>
                    </w:rPr>
                    <w:t xml:space="preserve">. Pirmosios pakopos pedagogikos studijų ir pedagoginių gretutinių studijų studentams tikslinė išmoka skiriama nuo paskutinio </w:t>
                  </w:r>
                  <w:r>
                    <w:rPr>
                      <w:color w:val="000000"/>
                      <w:szCs w:val="24"/>
                      <w:lang w:eastAsia="lt-LT"/>
                    </w:rPr>
                    <w:t>studijų programos kurso pradžios iki</w:t>
                  </w:r>
                  <w:r>
                    <w:rPr>
                      <w:color w:val="000000"/>
                      <w:szCs w:val="24"/>
                    </w:rPr>
                    <w:t xml:space="preserve"> </w:t>
                  </w:r>
                  <w:r>
                    <w:rPr>
                      <w:color w:val="000000"/>
                      <w:szCs w:val="24"/>
                      <w:lang w:eastAsia="lt-LT"/>
                    </w:rPr>
                    <w:t xml:space="preserve">studijų pabaigos, įskaitant sesijų ir atostogų laikotarpius, išskyrus atvejus, kai tikslinės išmokos mokėjimas nutraukiamas ar sustabdomas dėl Aprašo 9 ir 11 punktuose nurodytų aplinkybių. </w:t>
                  </w:r>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ed9e4d030c494ca785cc1c2da7f561cf"/>
                <w:lock w:val="sdtLocked"/>
                <w:richText/>
              </w:sdtPr>
              <w:sdtContent>
                <w:p>
                  <w:pPr>
                    <w:ind w:firstLine="709"/>
                    <w:jc w:val="both"/>
                    <w:rPr>
                      <w:color w:val="000000"/>
                      <w:szCs w:val="24"/>
                      <w:lang w:eastAsia="lt-LT"/>
                    </w:rPr>
                  </w:pPr>
                  <w:sdt>
                    <w:sdtPr>
                      <w:alias w:val="Numeris"/>
                      <w:tag w:val="nr_ed9e4d030c494ca785cc1c2da7f561cf"/>
                      <w:lock w:val="sdtLocked"/>
                      <w:richText/>
                    </w:sdtPr>
                    <w:sdtContent>
                      <w:r>
                        <w:rPr>
                          <w:color w:val="000000"/>
                          <w:szCs w:val="24"/>
                          <w:lang w:eastAsia="lt-LT"/>
                        </w:rPr>
                        <w:t>44</w:t>
                      </w:r>
                    </w:sdtContent>
                  </w:sdt>
                  <w:r>
                    <w:rPr>
                      <w:color w:val="000000"/>
                      <w:szCs w:val="24"/>
                      <w:lang w:eastAsia="lt-LT"/>
                    </w:rPr>
                    <w:t xml:space="preserve">. Fondas per 2 darbo dienas nuo Fondo direktoriaus sprendimo dėl tikslinės </w:t>
                  </w:r>
                  <w:r>
                    <w:rPr>
                      <w:color w:val="000000"/>
                      <w:szCs w:val="24"/>
                    </w:rPr>
                    <w:t>išmokos</w:t>
                  </w:r>
                  <w:r>
                    <w:rPr>
                      <w:color w:val="000000"/>
                      <w:szCs w:val="24"/>
                      <w:lang w:eastAsia="lt-LT"/>
                    </w:rPr>
                    <w:t xml:space="preserve"> skyrimo arba neskyrimo priėmimo dienos informuoja studentus apie sprendimą skirti arba neskirti tikslinę </w:t>
                  </w:r>
                  <w:r>
                    <w:rPr>
                      <w:color w:val="000000"/>
                      <w:szCs w:val="24"/>
                    </w:rPr>
                    <w:t>išmoką</w:t>
                  </w:r>
                  <w:r>
                    <w:rPr>
                      <w:color w:val="000000"/>
                      <w:szCs w:val="24"/>
                      <w:lang w:eastAsia="lt-LT"/>
                    </w:rPr>
                    <w:t>.</w:t>
                  </w:r>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a8324b79d2a442ac858bc2f41d23088a"/>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8324b79d2a442ac858bc2f41d23088a"/>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f13a6a7c2fa34c539cebc57aec57de50"/>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f13a6a7c2fa34c539cebc57aec57de50"/>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amp;quot">
    <w:altName w:val="Times New Roman"/>
    <w:panose1 w:val="00000000000000000000"/>
    <w:charset w:val="00"/>
    <w:family w:val="roman"/>
    <w:notTrueType/>
    <w:pitch w:val="default"/>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07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0705"/>
    <o:shapelayout v:ext="edit">
      <o:idmap v:ext="edit" data="1"/>
    </o:shapelayout>
  </w:shapeDefaults>
  <w:decimalSymbol w:val=","/>
  <w:listSeparator w:val=";"/>
  <w14:docId w14:val="04DA4740"/>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settings" Target="settings.xml"/>
  <Relationship Id="rId100" Type="http://schemas.openxmlformats.org/officeDocument/2006/relationships/header" Target="header473.xml"/>
  <Relationship Id="rId101" Type="http://schemas.openxmlformats.org/officeDocument/2006/relationships/header" Target="header474.xml"/>
  <Relationship Id="rId102" Type="http://schemas.openxmlformats.org/officeDocument/2006/relationships/footer" Target="footer478.xml"/>
  <Relationship Id="rId103" Type="http://schemas.openxmlformats.org/officeDocument/2006/relationships/footer" Target="footer479.xml"/>
  <Relationship Id="rId104" Type="http://schemas.openxmlformats.org/officeDocument/2006/relationships/header" Target="header475.xml"/>
  <Relationship Id="rId105" Type="http://schemas.openxmlformats.org/officeDocument/2006/relationships/footer" Target="footer480.xml"/>
  <Relationship Id="rId106" Type="http://schemas.openxmlformats.org/officeDocument/2006/relationships/customXml" Target="../customXml/item1.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7.png"/>
  <Relationship Id="rId15" Type="http://schemas.openxmlformats.org/officeDocument/2006/relationships/header" Target="header115.xml"/>
  <Relationship Id="rId16" Type="http://schemas.openxmlformats.org/officeDocument/2006/relationships/header" Target="header116.xml"/>
  <Relationship Id="rId17" Type="http://schemas.openxmlformats.org/officeDocument/2006/relationships/footer" Target="footer115.xml"/>
  <Relationship Id="rId18" Type="http://schemas.openxmlformats.org/officeDocument/2006/relationships/footer" Target="footer116.xml"/>
  <Relationship Id="rId19" Type="http://schemas.openxmlformats.org/officeDocument/2006/relationships/header" Target="header117.xml"/>
  <Relationship Id="rId2" Type="http://schemas.openxmlformats.org/officeDocument/2006/relationships/header" Target="header80.xml"/>
  <Relationship Id="rId20" Type="http://schemas.openxmlformats.org/officeDocument/2006/relationships/footer" Target="footer117.xml"/>
  <Relationship Id="rId21" Type="http://schemas.openxmlformats.org/officeDocument/2006/relationships/header" Target="header118.xml"/>
  <Relationship Id="rId22" Type="http://schemas.openxmlformats.org/officeDocument/2006/relationships/header" Target="header119.xml"/>
  <Relationship Id="rId23" Type="http://schemas.openxmlformats.org/officeDocument/2006/relationships/footer" Target="footer118.xml"/>
  <Relationship Id="rId24" Type="http://schemas.openxmlformats.org/officeDocument/2006/relationships/footer" Target="footer119.xml"/>
  <Relationship Id="rId25" Type="http://schemas.openxmlformats.org/officeDocument/2006/relationships/header" Target="header120.xml"/>
  <Relationship Id="rId26" Type="http://schemas.openxmlformats.org/officeDocument/2006/relationships/footer" Target="footer120.xml"/>
  <Relationship Id="rId27" Type="http://schemas.openxmlformats.org/officeDocument/2006/relationships/header" Target="header127.xml"/>
  <Relationship Id="rId28" Type="http://schemas.openxmlformats.org/officeDocument/2006/relationships/header" Target="header128.xml"/>
  <Relationship Id="rId29" Type="http://schemas.openxmlformats.org/officeDocument/2006/relationships/footer" Target="footer127.xml"/>
  <Relationship Id="rId3" Type="http://schemas.openxmlformats.org/officeDocument/2006/relationships/footer" Target="footer79.xml"/>
  <Relationship Id="rId30" Type="http://schemas.openxmlformats.org/officeDocument/2006/relationships/footer" Target="footer128.xml"/>
  <Relationship Id="rId31" Type="http://schemas.openxmlformats.org/officeDocument/2006/relationships/header" Target="header129.xml"/>
  <Relationship Id="rId32" Type="http://schemas.openxmlformats.org/officeDocument/2006/relationships/footer" Target="footer129.xml"/>
  <Relationship Id="rId33" Type="http://schemas.openxmlformats.org/officeDocument/2006/relationships/header" Target="header175.xml"/>
  <Relationship Id="rId34" Type="http://schemas.openxmlformats.org/officeDocument/2006/relationships/header" Target="header176.xml"/>
  <Relationship Id="rId35" Type="http://schemas.openxmlformats.org/officeDocument/2006/relationships/footer" Target="footer175.xml"/>
  <Relationship Id="rId36" Type="http://schemas.openxmlformats.org/officeDocument/2006/relationships/footer" Target="footer176.xml"/>
  <Relationship Id="rId37" Type="http://schemas.openxmlformats.org/officeDocument/2006/relationships/header" Target="header177.xml"/>
  <Relationship Id="rId38" Type="http://schemas.openxmlformats.org/officeDocument/2006/relationships/footer" Target="footer177.xml"/>
  <Relationship Id="rId39" Type="http://schemas.openxmlformats.org/officeDocument/2006/relationships/header" Target="header235.xml"/>
  <Relationship Id="rId4" Type="http://schemas.openxmlformats.org/officeDocument/2006/relationships/footer" Target="footer80.xml"/>
  <Relationship Id="rId40" Type="http://schemas.openxmlformats.org/officeDocument/2006/relationships/header" Target="header236.xml"/>
  <Relationship Id="rId41" Type="http://schemas.openxmlformats.org/officeDocument/2006/relationships/footer" Target="footer235.xml"/>
  <Relationship Id="rId42" Type="http://schemas.openxmlformats.org/officeDocument/2006/relationships/footer" Target="footer236.xml"/>
  <Relationship Id="rId43" Type="http://schemas.openxmlformats.org/officeDocument/2006/relationships/header" Target="header237.xml"/>
  <Relationship Id="rId44" Type="http://schemas.openxmlformats.org/officeDocument/2006/relationships/footer" Target="footer237.xml"/>
  <Relationship Id="rId45" Type="http://schemas.openxmlformats.org/officeDocument/2006/relationships/header" Target="header274.xml"/>
  <Relationship Id="rId46" Type="http://schemas.openxmlformats.org/officeDocument/2006/relationships/header" Target="header275.xml"/>
  <Relationship Id="rId47" Type="http://schemas.openxmlformats.org/officeDocument/2006/relationships/footer" Target="footer274.xml"/>
  <Relationship Id="rId48" Type="http://schemas.openxmlformats.org/officeDocument/2006/relationships/footer" Target="footer275.xml"/>
  <Relationship Id="rId49" Type="http://schemas.openxmlformats.org/officeDocument/2006/relationships/header" Target="header276.xml"/>
  <Relationship Id="rId5" Type="http://schemas.openxmlformats.org/officeDocument/2006/relationships/header" Target="header81.xml"/>
  <Relationship Id="rId50" Type="http://schemas.openxmlformats.org/officeDocument/2006/relationships/footer" Target="footer276.xml"/>
  <Relationship Id="rId51" Type="http://schemas.openxmlformats.org/officeDocument/2006/relationships/header" Target="header322.xml"/>
  <Relationship Id="rId52" Type="http://schemas.openxmlformats.org/officeDocument/2006/relationships/header" Target="header323.xml"/>
  <Relationship Id="rId53" Type="http://schemas.openxmlformats.org/officeDocument/2006/relationships/footer" Target="footer322.xml"/>
  <Relationship Id="rId54" Type="http://schemas.openxmlformats.org/officeDocument/2006/relationships/footer" Target="footer323.xml"/>
  <Relationship Id="rId55" Type="http://schemas.openxmlformats.org/officeDocument/2006/relationships/header" Target="header324.xml"/>
  <Relationship Id="rId56" Type="http://schemas.openxmlformats.org/officeDocument/2006/relationships/footer" Target="footer324.xml"/>
  <Relationship Id="rId57" Type="http://schemas.openxmlformats.org/officeDocument/2006/relationships/header" Target="header347.xml"/>
  <Relationship Id="rId58" Type="http://schemas.openxmlformats.org/officeDocument/2006/relationships/header" Target="header348.xml"/>
  <Relationship Id="rId59" Type="http://schemas.openxmlformats.org/officeDocument/2006/relationships/footer" Target="footer358.xml"/>
  <Relationship Id="rId6" Type="http://schemas.openxmlformats.org/officeDocument/2006/relationships/footer" Target="footer81.xml"/>
  <Relationship Id="rId60" Type="http://schemas.openxmlformats.org/officeDocument/2006/relationships/footer" Target="footer359.xml"/>
  <Relationship Id="rId61" Type="http://schemas.openxmlformats.org/officeDocument/2006/relationships/footer" Target="footer360.xml"/>
  <Relationship Id="rId62" Type="http://schemas.openxmlformats.org/officeDocument/2006/relationships/hyperlink" TargetMode="External" Target="https://www.e-tar.lt/portal/lt/legalAct/TAR.E356C85AC1C6"/>
  <Relationship Id="rId63" Type="http://schemas.openxmlformats.org/officeDocument/2006/relationships/header" Target="header379.xml"/>
  <Relationship Id="rId64" Type="http://schemas.openxmlformats.org/officeDocument/2006/relationships/header" Target="header380.xml"/>
  <Relationship Id="rId65" Type="http://schemas.openxmlformats.org/officeDocument/2006/relationships/footer" Target="footer391.xml"/>
  <Relationship Id="rId66" Type="http://schemas.openxmlformats.org/officeDocument/2006/relationships/footer" Target="footer392.xml"/>
  <Relationship Id="rId67" Type="http://schemas.openxmlformats.org/officeDocument/2006/relationships/header" Target="header381.xml"/>
  <Relationship Id="rId68" Type="http://schemas.openxmlformats.org/officeDocument/2006/relationships/footer" Target="footer393.xml"/>
  <Relationship Id="rId69" Type="http://schemas.openxmlformats.org/officeDocument/2006/relationships/header" Target="header388.xml"/>
  <Relationship Id="rId7" Type="http://schemas.openxmlformats.org/officeDocument/2006/relationships/endnotes" Target="endnotes.xml"/>
  <Relationship Id="rId70" Type="http://schemas.openxmlformats.org/officeDocument/2006/relationships/header" Target="header410.xml"/>
  <Relationship Id="rId71" Type="http://schemas.openxmlformats.org/officeDocument/2006/relationships/header" Target="header411.xml"/>
  <Relationship Id="rId72" Type="http://schemas.openxmlformats.org/officeDocument/2006/relationships/footer" Target="footer415.xml"/>
  <Relationship Id="rId73" Type="http://schemas.openxmlformats.org/officeDocument/2006/relationships/footer" Target="footer416.xml"/>
  <Relationship Id="rId74" Type="http://schemas.openxmlformats.org/officeDocument/2006/relationships/header" Target="header412.xml"/>
  <Relationship Id="rId75" Type="http://schemas.openxmlformats.org/officeDocument/2006/relationships/footer" Target="footer417.xml"/>
  <Relationship Id="rId76" Type="http://schemas.openxmlformats.org/officeDocument/2006/relationships/header" Target="header416.xml"/>
  <Relationship Id="rId77" Type="http://schemas.openxmlformats.org/officeDocument/2006/relationships/header" Target="header417.xml"/>
  <Relationship Id="rId78" Type="http://schemas.openxmlformats.org/officeDocument/2006/relationships/footer" Target="footer421.xml"/>
  <Relationship Id="rId79" Type="http://schemas.openxmlformats.org/officeDocument/2006/relationships/footer" Target="footer422.xml"/>
  <Relationship Id="rId8" Type="http://schemas.openxmlformats.org/officeDocument/2006/relationships/fontTable" Target="fontTable.xml"/>
  <Relationship Id="rId80" Type="http://schemas.openxmlformats.org/officeDocument/2006/relationships/header" Target="header418.xml"/>
  <Relationship Id="rId81" Type="http://schemas.openxmlformats.org/officeDocument/2006/relationships/footer" Target="footer423.xml"/>
  <Relationship Id="rId82" Type="http://schemas.openxmlformats.org/officeDocument/2006/relationships/header" Target="header431.xml"/>
  <Relationship Id="rId83" Type="http://schemas.openxmlformats.org/officeDocument/2006/relationships/header" Target="header432.xml"/>
  <Relationship Id="rId84" Type="http://schemas.openxmlformats.org/officeDocument/2006/relationships/footer" Target="footer436.xml"/>
  <Relationship Id="rId85" Type="http://schemas.openxmlformats.org/officeDocument/2006/relationships/footer" Target="footer437.xml"/>
  <Relationship Id="rId86" Type="http://schemas.openxmlformats.org/officeDocument/2006/relationships/header" Target="header433.xml"/>
  <Relationship Id="rId87" Type="http://schemas.openxmlformats.org/officeDocument/2006/relationships/footer" Target="footer438.xml"/>
  <Relationship Id="rId88" Type="http://schemas.openxmlformats.org/officeDocument/2006/relationships/header" Target="header449.xml"/>
  <Relationship Id="rId89" Type="http://schemas.openxmlformats.org/officeDocument/2006/relationships/header" Target="header450.xml"/>
  <Relationship Id="rId9" Type="http://schemas.openxmlformats.org/officeDocument/2006/relationships/footnotes" Target="footnotes.xml"/>
  <Relationship Id="rId90" Type="http://schemas.openxmlformats.org/officeDocument/2006/relationships/footer" Target="footer454.xml"/>
  <Relationship Id="rId91" Type="http://schemas.openxmlformats.org/officeDocument/2006/relationships/footer" Target="footer455.xml"/>
  <Relationship Id="rId92" Type="http://schemas.openxmlformats.org/officeDocument/2006/relationships/header" Target="header451.xml"/>
  <Relationship Id="rId93" Type="http://schemas.openxmlformats.org/officeDocument/2006/relationships/footer" Target="footer456.xml"/>
  <Relationship Id="rId94" Type="http://schemas.openxmlformats.org/officeDocument/2006/relationships/header" Target="header470.xml"/>
  <Relationship Id="rId95" Type="http://schemas.openxmlformats.org/officeDocument/2006/relationships/header" Target="header471.xml"/>
  <Relationship Id="rId96" Type="http://schemas.openxmlformats.org/officeDocument/2006/relationships/footer" Target="footer475.xml"/>
  <Relationship Id="rId97" Type="http://schemas.openxmlformats.org/officeDocument/2006/relationships/footer" Target="footer476.xml"/>
  <Relationship Id="rId98" Type="http://schemas.openxmlformats.org/officeDocument/2006/relationships/header" Target="header472.xml"/>
  <Relationship Id="rId99" Type="http://schemas.openxmlformats.org/officeDocument/2006/relationships/footer" Target="footer47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999c389141df4c2d96e634e7411a9f4e">
    <Part Type="preambule" DocPartId="2f7404f6733d407f9eab40cd63769f47" PartId="c0dc75114ea24786a16e0ada016f1064"/>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unktas" Nr="2-1" Abbr="2-1 p." DocPartId="8c866700de244e6ba908b478a6590ecb" PartId="a6bef6dcc7844a25b7143ff84492efd8"/>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d90959f7c02d471b90e9480415e5e63a">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c69cc1a742e47c38b1a0fc760b1ef62">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2420dabf02f0478f8e4fb6ea0be9a517">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e1f71d186a614b49ba43a7edae40af0e">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a0d58b22b7924eb6950673b2aaa9f238"/>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Type="papunktis" Nr="3.4" Abbr="3.4 pp." DocPartId="b3769cbb4aa44b98ac748d439a329426" PartId="c539b149db4744c089d369fbc113e356"/>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ace151380818447dba4e24cf0ee0fee0"/>
    <Part Type="punktas" Nr="7" Abbr="7 p." DocPartId="930b4d65f4974753ac5ccaafbb55c6c9" PartId="445ff544296642048676d588f4c9e360"/>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47241fcbc7f9420c976f9f0265a48ae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7312591a7de9445f983d3cc6a0e9b8e1">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4f95af4015bb41a29160a3b76d71301a">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9dc33c251ce24809b2f0ea1c79addaf5">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13cd32f11eca41ca9b54fe263d9b7510">
        <Part Type="papunktis" Nr="5.1" Abbr="5.1 pp." DocPartId="4194656e58b24c48952ee71e43bdaaa2" PartId="2d1b1b06507a404ebe012f8f38037cda"/>
        <Part Type="papunktis" Nr="5.2" Abbr="5.2 pp." DocPartId="b729f3c34d7b475b925f202610697b2a" PartId="af6d54da696c4e9b8221761bba7140c5"/>
        <Part Type="papunktis" Nr="5.3" Abbr="5.3 pp." DocPartId="99815571de38492ba496a5b68cba8a44" PartId="e6b650c08b9b45948f1c8811350f162d"/>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57259e91ec704f83acf4d7b483c794ed"/>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591dc63f2bf040d5b2798f9966fbbf34"/>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7571983ae6b34429ba8e46b5256351a8"/>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177b8182477f491887b8bda0af866cc5"/>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ed9e4d030c494ca785cc1c2da7f561cf"/>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a8324b79d2a442ac858bc2f41d23088a">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f13a6a7c2fa34c539cebc57aec57de50">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7A25FF4A-D3B4-4A38-82E3-5B8C7D55BA50}">
  <ds:schemaRefs>
    <ds:schemaRef ds:uri="http://lrs.lt/TAIS/DocParts"/>
  </ds:schemaRefs>
</ds:datastoreItem>
</file>

<file path=docProps/app.xml><?xml version="1.0" encoding="utf-8"?>
<Properties xmlns="http://schemas.openxmlformats.org/officeDocument/2006/extended-properties">
  <Template>Normal.dotm</Template>
  <TotalTime>296</TotalTime>
  <Pages>102</Pages>
  <Words>191923</Words>
  <Characters>109397</Characters>
  <Application>Microsoft Office Word</Application>
  <DocSecurity>0</DocSecurity>
  <Lines>911</Lines>
  <Paragraphs>601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300719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2024-08-13T12:11:00Z</dcterms:modified>
  <revision>83</revision>
</coreProperties>
</file>