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2022-01-01 iki 2022-03-30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bff2fb80e5384a5db4ac9b3ffa0fb41e"/>
            <w:lock w:val="sdtLocked"/>
            <w:richText/>
          </w:sdtPr>
          <w:sdtContent>
            <w:p>
              <w:pPr>
                <w:ind w:firstLine="720"/>
                <w:jc w:val="both"/>
              </w:pPr>
              <w:r>
                <w:rPr>
                  <w:szCs w:val="24"/>
                  <w:lang w:eastAsia="lt-LT"/>
                </w:rPr>
                <w:t xml:space="preserve">Vadovaudamasi Lietuvos Respublikos mokslo ir studijų įstatymo 42 straipsnio 1 dalimi, 44 straipsnio 1 dalimi, 49 straipsnio 2 dalimi, 52 straipsnio 10 dalimi, 53 straipsnio 8, 13 dalimis, 54 straipsnio 3 dalimi, 75 straipsnio 3 dalimi, </w:t>
              </w:r>
              <w:r>
                <w:rPr>
                  <w:bCs/>
                  <w:szCs w:val="24"/>
                  <w:lang w:eastAsia="lt-LT"/>
                </w:rPr>
                <w:t>75</w:t>
              </w:r>
              <w:r>
                <w:rPr>
                  <w:bCs/>
                  <w:szCs w:val="24"/>
                  <w:vertAlign w:val="superscript"/>
                  <w:lang w:eastAsia="lt-LT"/>
                </w:rPr>
                <w:t xml:space="preserve">2 </w:t>
              </w:r>
              <w:r>
                <w:rPr>
                  <w:szCs w:val="24"/>
                  <w:lang w:eastAsia="lt-LT"/>
                </w:rPr>
                <w:t xml:space="preserve">straipsnio 3, 4, 6 dalimis, </w:t>
              </w:r>
              <w:r>
                <w:rPr>
                  <w:bCs/>
                  <w:szCs w:val="24"/>
                  <w:lang w:eastAsia="lt-LT"/>
                </w:rPr>
                <w:t>75</w:t>
              </w:r>
              <w:r>
                <w:rPr>
                  <w:bCs/>
                  <w:szCs w:val="24"/>
                  <w:vertAlign w:val="superscript"/>
                  <w:lang w:eastAsia="lt-LT"/>
                </w:rPr>
                <w:t>3</w:t>
              </w:r>
              <w:r>
                <w:rPr>
                  <w:szCs w:val="24"/>
                  <w:lang w:eastAsia="lt-LT"/>
                </w:rPr>
                <w:t xml:space="preserve"> straipsnio 1, 6, 7 dalimis, 77 straipsnio 7, 13, 14 dalimis, 79 straipsnio 1 dalimi, </w:t>
              </w:r>
              <w:r>
                <w:rPr>
                  <w:bCs/>
                  <w:szCs w:val="24"/>
                  <w:lang w:eastAsia="lt-LT"/>
                </w:rPr>
                <w:t>81 straipsnio 2 dalimi</w:t>
              </w:r>
              <w:r>
                <w:rPr>
                  <w:szCs w:val="24"/>
                  <w:lang w:eastAsia="lt-LT"/>
                </w:rPr>
                <w:t>, 82 straipsnio 4, 5, 5</w:t>
              </w:r>
              <w:r>
                <w:rPr>
                  <w:szCs w:val="24"/>
                  <w:vertAlign w:val="superscript"/>
                  <w:lang w:eastAsia="lt-LT"/>
                </w:rPr>
                <w:t>1</w:t>
              </w:r>
              <w:r>
                <w:rPr>
                  <w:szCs w:val="24"/>
                  <w:lang w:eastAsia="lt-LT"/>
                </w:rPr>
                <w:t>, 9 dalimis,</w:t>
              </w:r>
              <w:r>
                <w:rPr>
                  <w:lang w:eastAsia="lt-LT"/>
                </w:rPr>
                <w:t xml:space="preserve"> 82</w:t>
              </w:r>
              <w:r>
                <w:rPr>
                  <w:vertAlign w:val="superscript"/>
                  <w:lang w:eastAsia="lt-LT"/>
                </w:rPr>
                <w:t xml:space="preserve">1 </w:t>
              </w:r>
              <w:r>
                <w:rPr>
                  <w:lang w:eastAsia="lt-LT"/>
                </w:rPr>
                <w:t>straipsnio 6 dalimi</w:t>
              </w:r>
              <w:r>
                <w:rPr>
                  <w:szCs w:val="24"/>
                  <w:lang w:eastAsia="lt-LT"/>
                </w:rPr>
                <w:t xml:space="preserve"> ir 83 straipsnio 4 ir 6 dalimis, Lietuvos Respublikos Vyriausybė n u t a r i a</w:t>
              </w:r>
              <w:r>
                <w:rPr>
                  <w:spacing w:val="2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b2c459fbac5417fa53a60d49eb3d7cc"/>
            <w:lock w:val="sdtLocked"/>
            <w:richText/>
          </w:sdtPr>
          <w:sdtContent>
            <w:p>
              <w:pPr>
                <w:ind w:firstLine="720"/>
                <w:jc w:val="both"/>
                <w:rPr>
                  <w:szCs w:val="24"/>
                  <w:lang w:eastAsia="lt-LT"/>
                </w:rPr>
              </w:pPr>
              <w:sdt>
                <w:sdtPr>
                  <w:alias w:val="Numeris"/>
                  <w:tag w:val="nr_8b2c459fbac5417fa53a60d49eb3d7cc"/>
                  <w:lock w:val="sdtLocked"/>
                  <w:richText/>
                </w:sdtPr>
                <w:sdtContent>
                  <w:r>
                    <w:rPr>
                      <w:szCs w:val="24"/>
                      <w:lang w:eastAsia="lt-LT"/>
                    </w:rPr>
                    <w:t>2</w:t>
                  </w:r>
                </w:sdtContent>
              </w:sdt>
              <w:r>
                <w:rPr>
                  <w:szCs w:val="24"/>
                  <w:lang w:eastAsia="lt-LT"/>
                </w:rPr>
                <w:t>. Įgalioti ministrą:</w:t>
              </w:r>
            </w:p>
            <w:sdt>
              <w:sdtPr>
                <w:alias w:val="2.1 pp."/>
                <w:tag w:val="part_4575db7aa03643e5a6c4455606ae5615"/>
                <w:lock w:val="sdtLocked"/>
                <w:richText/>
              </w:sdtPr>
              <w:sdtContent>
                <w:p>
                  <w:pPr>
                    <w:ind w:firstLine="720"/>
                    <w:jc w:val="both"/>
                    <w:rPr>
                      <w:szCs w:val="24"/>
                      <w:lang w:eastAsia="lt-LT"/>
                    </w:rPr>
                  </w:pPr>
                  <w:sdt>
                    <w:sdtPr>
                      <w:alias w:val="Numeris"/>
                      <w:tag w:val="nr_4575db7aa03643e5a6c4455606ae5615"/>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2edb09c30a0c4404a2ae56ec96d50c2c"/>
                <w:lock w:val="sdtLocked"/>
                <w:richText/>
              </w:sdtPr>
              <w:sdtContent>
                <w:p>
                  <w:pPr>
                    <w:ind w:firstLine="720"/>
                    <w:jc w:val="both"/>
                    <w:rPr>
                      <w:szCs w:val="24"/>
                      <w:lang w:eastAsia="lt-LT"/>
                    </w:rPr>
                  </w:pPr>
                  <w:sdt>
                    <w:sdtPr>
                      <w:alias w:val="Numeris"/>
                      <w:tag w:val="nr_2edb09c30a0c4404a2ae56ec96d50c2c"/>
                      <w:lock w:val="sdtLocked"/>
                      <w:richText/>
                    </w:sdtPr>
                    <w:sdtContent>
                      <w:r>
                        <w:rPr>
                          <w:szCs w:val="24"/>
                          <w:lang w:eastAsia="lt-LT"/>
                        </w:rPr>
                        <w:t>2.2</w:t>
                      </w:r>
                    </w:sdtContent>
                  </w:sdt>
                  <w:r>
                    <w:rPr>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6fafc031fd944446a0ea1e52bf7b0dde"/>
                <w:lock w:val="sdtLocked"/>
                <w:richText/>
              </w:sdtPr>
              <w:sdtContent>
                <w:p>
                  <w:pPr>
                    <w:ind w:firstLine="720"/>
                    <w:jc w:val="both"/>
                    <w:rPr>
                      <w:szCs w:val="24"/>
                      <w:lang w:eastAsia="lt-LT"/>
                    </w:rPr>
                  </w:pPr>
                  <w:sdt>
                    <w:sdtPr>
                      <w:alias w:val="Numeris"/>
                      <w:tag w:val="nr_6fafc031fd944446a0ea1e52bf7b0dde"/>
                      <w:lock w:val="sdtLocked"/>
                      <w:richText/>
                    </w:sdtPr>
                    <w:sdtContent>
                      <w:r>
                        <w:rPr>
                          <w:szCs w:val="24"/>
                          <w:lang w:eastAsia="lt-LT"/>
                        </w:rPr>
                        <w:t>2.3</w:t>
                      </w:r>
                    </w:sdtContent>
                  </w:sdt>
                  <w:r>
                    <w:rPr>
                      <w:szCs w:val="24"/>
                      <w:lang w:eastAsia="lt-LT"/>
                    </w:rPr>
                    <w:t xml:space="preserve">. nustatyti mokslo ir studijų institucijų teikiamų duomenų, kurių reikia siekiant atlikti palyginamąjį ekspertinį universitetų ir mokslinių tyrimų institutų mokslinių tyrimų ir eksperimentinės plėtros vertinimą ir kasmetinį </w:t>
                  </w:r>
                  <w:r>
                    <w:rPr>
                      <w:bCs/>
                      <w:szCs w:val="24"/>
                      <w:lang w:eastAsia="lt-LT"/>
                    </w:rPr>
                    <w:t xml:space="preserve">universitetų, mokslinių tyrimų institutų ir kolegijų </w:t>
                  </w:r>
                  <w:r>
                    <w:rPr>
                      <w:szCs w:val="24"/>
                      <w:lang w:eastAsia="lt-LT"/>
                    </w:rPr>
                    <w:t>mokslinių tyrimų ir eksperimentinės plėtros, meno veiklos</w:t>
                  </w:r>
                  <w:r>
                    <w:rPr>
                      <w:bCs/>
                      <w:szCs w:val="24"/>
                      <w:lang w:eastAsia="lt-LT"/>
                    </w:rPr>
                    <w:t xml:space="preserve"> vertinimą, teikimo </w:t>
                  </w:r>
                  <w:r>
                    <w:rPr>
                      <w:szCs w:val="24"/>
                      <w:lang w:eastAsia="lt-LT"/>
                    </w:rPr>
                    <w:t>tvarką;</w:t>
                  </w:r>
                </w:p>
              </w:sdtContent>
            </w:sdt>
            <w:sdt>
              <w:sdtPr>
                <w:alias w:val="2.4 pp."/>
                <w:tag w:val="part_85752cf3a15f4f3796c63a28abf7e72c"/>
                <w:lock w:val="sdtLocked"/>
                <w:richText/>
              </w:sdtPr>
              <w:sdtContent>
                <w:p>
                  <w:pPr>
                    <w:ind w:firstLine="720"/>
                    <w:jc w:val="both"/>
                    <w:rPr>
                      <w:szCs w:val="24"/>
                      <w:lang w:eastAsia="lt-LT"/>
                    </w:rPr>
                  </w:pPr>
                  <w:sdt>
                    <w:sdtPr>
                      <w:alias w:val="Numeris"/>
                      <w:tag w:val="nr_85752cf3a15f4f3796c63a28abf7e72c"/>
                      <w:lock w:val="sdtLocked"/>
                      <w:richText/>
                    </w:sdtPr>
                    <w:sdtContent>
                      <w:r>
                        <w:rPr>
                          <w:szCs w:val="24"/>
                          <w:lang w:eastAsia="lt-LT"/>
                        </w:rPr>
                        <w:t>2.4</w:t>
                      </w:r>
                    </w:sdtContent>
                  </w:sdt>
                  <w:r>
                    <w:rPr>
                      <w:szCs w:val="24"/>
                      <w:lang w:eastAsia="lt-LT"/>
                    </w:rPr>
                    <w:t>. patvirtinti mokslinių tyrimų ir eksperimentinės plėtros, meno veiklos vertinimo aprašus;</w:t>
                  </w:r>
                </w:p>
              </w:sdtContent>
            </w:sdt>
            <w:sdt>
              <w:sdtPr>
                <w:alias w:val="2.5 pp."/>
                <w:tag w:val="part_b613f8b0e69d4e28bf2eb7d4273a3877"/>
                <w:lock w:val="sdtLocked"/>
                <w:richText/>
              </w:sdtPr>
              <w:sdtContent>
                <w:p>
                  <w:pPr>
                    <w:ind w:firstLine="720"/>
                    <w:jc w:val="both"/>
                    <w:rPr>
                      <w:bCs/>
                      <w:szCs w:val="24"/>
                      <w:lang w:eastAsia="lt-LT"/>
                    </w:rPr>
                  </w:pPr>
                  <w:sdt>
                    <w:sdtPr>
                      <w:alias w:val="Numeris"/>
                      <w:tag w:val="nr_b613f8b0e69d4e28bf2eb7d4273a3877"/>
                      <w:lock w:val="sdtLocked"/>
                      <w:richText/>
                    </w:sdtPr>
                    <w:sdtContent>
                      <w:r>
                        <w:rPr>
                          <w:lang w:eastAsia="lt-LT"/>
                        </w:rPr>
                        <w:t>2.5</w:t>
                      </w:r>
                    </w:sdtContent>
                  </w:sdt>
                  <w:r>
                    <w:rPr>
                      <w:lang w:eastAsia="lt-LT"/>
                    </w:rPr>
                    <w:t>. kiekvienais metais skirstyti universitetams ir mokslinių tyrimų institutams valstybės biudžeto bazinio finansavimo lėšas pagal mokslo sritis, atliekant šį skirstymą atsižvelgti į Lietuvos mokslo tarybos siūlymą</w:t>
                  </w:r>
                  <w:r>
                    <w:rPr>
                      <w:bCs/>
                      <w:szCs w:val="24"/>
                      <w:lang w:eastAsia="lt-LT"/>
                    </w:rPr>
                    <w:t>;</w:t>
                  </w:r>
                </w:p>
              </w:sdtContent>
            </w:sdt>
            <w:sdt>
              <w:sdtPr>
                <w:alias w:val="2.6 pp."/>
                <w:tag w:val="part_bb4c6ba7578d4b52895b34e472a6c7a9"/>
                <w:lock w:val="sdtLocked"/>
                <w:richText/>
              </w:sdtPr>
              <w:sdtContent>
                <w:p>
                  <w:pPr>
                    <w:ind w:firstLine="720"/>
                    <w:jc w:val="both"/>
                    <w:rPr>
                      <w:szCs w:val="24"/>
                      <w:lang w:eastAsia="lt-LT"/>
                    </w:rPr>
                  </w:pPr>
                  <w:sdt>
                    <w:sdtPr>
                      <w:alias w:val="Numeris"/>
                      <w:tag w:val="nr_bb4c6ba7578d4b52895b34e472a6c7a9"/>
                      <w:lock w:val="sdtLocked"/>
                      <w:richText/>
                    </w:sdtPr>
                    <w:sdtContent>
                      <w:r>
                        <w:rPr>
                          <w:bCs/>
                          <w:szCs w:val="24"/>
                          <w:lang w:eastAsia="lt-LT"/>
                        </w:rPr>
                        <w:t>2.6</w:t>
                      </w:r>
                    </w:sdtContent>
                  </w:sdt>
                  <w:r>
                    <w:rPr>
                      <w:bCs/>
                      <w:szCs w:val="24"/>
                      <w:lang w:eastAsia="lt-LT"/>
                    </w:rPr>
                    <w:t>. patvirtinti va</w:t>
                  </w:r>
                  <w:r>
                    <w:rPr>
                      <w:szCs w:val="24"/>
                      <w:lang w:eastAsia="lt-LT"/>
                    </w:rPr>
                    <w:t>lstybės biudžeto bazinio finansavimo lėšų skirstymo mokslo ir studijų institucijų moksliniams tyrimams ir eksperimentinei plėtrai, meno veiklai plėtoti tvarkos aprašą.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5e52532c6c8c451ca1f9581225cead3f"/>
                <w:lock w:val="sdtLocked"/>
                <w:richText/>
              </w:sdtPr>
              <w:sdtContent>
                <w:p>
                  <w:pPr>
                    <w:ind w:firstLine="720"/>
                    <w:jc w:val="both"/>
                  </w:pPr>
                  <w:sdt>
                    <w:sdtPr>
                      <w:alias w:val="Numeris"/>
                      <w:tag w:val="nr_5e52532c6c8c451ca1f9581225cead3f"/>
                      <w:lock w:val="sdtLocked"/>
                      <w:richText/>
                    </w:sdtPr>
                    <w:sdtContent>
                      <w:r>
                        <w:rPr>
                          <w:bCs/>
                          <w:lang w:eastAsia="lt-LT"/>
                        </w:rPr>
                        <w:t>3.20</w:t>
                      </w:r>
                    </w:sdtContent>
                  </w:sdt>
                  <w:r>
                    <w:rPr>
                      <w:bCs/>
                      <w:lang w:eastAsia="lt-LT"/>
                    </w:rPr>
                    <w:t xml:space="preserve">. Paramos </w:t>
                  </w:r>
                  <w:r>
                    <w:rPr>
                      <w:bCs/>
                      <w:color w:val="000000"/>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2cbafcb394a4480da626e44f68820ade"/>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2cbafcb394a4480da626e44f68820ade"/>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42e0ef815f574345b228b9a3b99ab622"/>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42e0ef815f574345b228b9a3b99ab622"/>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21830303e2564afdb2ab7c79fdcdb17e"/>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21830303e2564afdb2ab7c79fdcdb17e"/>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4e505239616e4c02bb716fccee998fc7"/>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4e505239616e4c02bb716fccee998fc7"/>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b683589992a743b88b7bc03f8108fd69"/>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b683589992a743b88b7bc03f8108fd69"/>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4d489dbaade4120abaac70af9b2a718"/>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4d489dbaade4120abaac70af9b2a71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3952a1f7a2a4461197dcccf1cbe341c4"/>
                <w:lock w:val="sdtLocked"/>
                <w:richText/>
              </w:sdtPr>
              <w:sdtContent>
                <w:p>
                  <w:pPr>
                    <w:ind w:firstLine="709"/>
                    <w:jc w:val="both"/>
                    <w:rPr>
                      <w:szCs w:val="24"/>
                    </w:rPr>
                  </w:pPr>
                  <w:sdt>
                    <w:sdtPr>
                      <w:alias w:val="Numeris"/>
                      <w:tag w:val="nr_3952a1f7a2a4461197dcccf1cbe341c4"/>
                      <w:lock w:val="sdtLocked"/>
                      <w:richText/>
                    </w:sdtPr>
                    <w:sdtContent>
                      <w:r>
                        <w:rPr>
                          <w:szCs w:val="24"/>
                        </w:rPr>
                        <w:t>4</w:t>
                      </w:r>
                    </w:sdtContent>
                  </w:sdt>
                  <w:r>
                    <w:rPr>
                      <w:szCs w:val="24"/>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c522ad5d749347ccbcd8ed0bf0ed1aac"/>
                    <w:lock w:val="sdtLocked"/>
                    <w:richText/>
                  </w:sdtPr>
                  <w:sdtContent>
                    <w:p>
                      <w:pPr>
                        <w:ind w:firstLine="709"/>
                        <w:jc w:val="both"/>
                        <w:rPr>
                          <w:szCs w:val="24"/>
                        </w:rPr>
                      </w:pPr>
                      <w:sdt>
                        <w:sdtPr>
                          <w:alias w:val="Numeris"/>
                          <w:tag w:val="nr_c522ad5d749347ccbcd8ed0bf0ed1aac"/>
                          <w:lock w:val="sdtLocked"/>
                          <w:richText/>
                        </w:sdtPr>
                        <w:sdtContent>
                          <w:r>
                            <w:rPr>
                              <w:szCs w:val="24"/>
                            </w:rPr>
                            <w:t>4.1</w:t>
                          </w:r>
                        </w:sdtContent>
                      </w:sdt>
                      <w:r>
                        <w:rPr>
                          <w:szCs w:val="24"/>
                        </w:rPr>
                        <w:t xml:space="preserve">. yra įstoję (pakviesti studijuoti) arba jau studijuoja pagal pirmosios, antrosios studijų pakopos, vientisųjų studijų programą ar trečiosios studijų pakopos studijų programą  užsienio valstybių aukštosiose mokyklose, patenkančiose tarp pirmų 50 aukštųjų mokyklų bent viename iš trijų pasaulinių reitingų (Times Higher Education World University Rankings, QS World University Rankings, Academic Ranking of World Universities (ARWU);</w:t>
                      </w:r>
                    </w:p>
                  </w:sdtContent>
                </w:sdt>
                <w:sdt>
                  <w:sdtPr>
                    <w:alias w:val="4.2 pp."/>
                    <w:tag w:val="part_5580a1e4425344799180affab670f7f7"/>
                    <w:lock w:val="sdtLocked"/>
                    <w:richText/>
                  </w:sdtPr>
                  <w:sdtContent>
                    <w:p>
                      <w:pPr>
                        <w:tabs>
                          <w:tab w:val="center" w:pos="-7800"/>
                          <w:tab w:val="left" w:pos="6237"/>
                          <w:tab w:val="right" w:pos="8306"/>
                        </w:tabs>
                        <w:ind w:firstLine="709"/>
                        <w:jc w:val="both"/>
                        <w:rPr>
                          <w:szCs w:val="24"/>
                        </w:rPr>
                      </w:pPr>
                      <w:sdt>
                        <w:sdtPr>
                          <w:alias w:val="Numeris"/>
                          <w:tag w:val="nr_5580a1e4425344799180affab670f7f7"/>
                          <w:lock w:val="sdtLocked"/>
                          <w:richText/>
                        </w:sdtPr>
                        <w:sdtContent>
                          <w:r>
                            <w:rPr>
                              <w:bCs/>
                              <w:szCs w:val="24"/>
                              <w:lang w:eastAsia="lt-LT"/>
                            </w:rPr>
                            <w:t>4.2</w:t>
                          </w:r>
                        </w:sdtContent>
                      </w:sdt>
                      <w:r>
                        <w:rPr>
                          <w:bCs/>
                          <w:szCs w:val="24"/>
                          <w:lang w:eastAsia="lt-LT"/>
                        </w:rPr>
                        <w:t xml:space="preserve">. yra įstoję (pakviesti studijuoti) arba jau studijuoja pagal pirmosios, antrosios studijų pakopos, vientisųjų studijų programą ar trečiosios studijų pakopos studijų programą užsienio valstybių aukštosiose mokyklose, kurios dėl savo specifikos nereitinguojamos Aprašo 4.1 papunktyje nurodytuose reitinguose ir </w:t>
                      </w:r>
                      <w:r>
                        <w:rPr>
                          <w:szCs w:val="24"/>
                          <w:lang w:eastAsia="lt-LT"/>
                        </w:rPr>
                        <w:t xml:space="preserve">vykdo tik meno studijų krypčių grupės  programas.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115aeccaa2a04a168180199af8746c9a"/>
                <w:lock w:val="sdtLocked"/>
                <w:richText/>
              </w:sdtPr>
              <w:sdtContent>
                <w:p>
                  <w:pPr>
                    <w:ind w:firstLine="709"/>
                    <w:jc w:val="both"/>
                    <w:rPr>
                      <w:szCs w:val="24"/>
                    </w:rPr>
                  </w:pPr>
                  <w:sdt>
                    <w:sdtPr>
                      <w:alias w:val="Numeris"/>
                      <w:tag w:val="nr_115aeccaa2a04a168180199af8746c9a"/>
                      <w:lock w:val="sdtLocked"/>
                      <w:richText/>
                    </w:sdtPr>
                    <w:sdtContent>
                      <w:r>
                        <w:rPr>
                          <w:szCs w:val="24"/>
                        </w:rPr>
                        <w:t>8</w:t>
                      </w:r>
                    </w:sdtContent>
                  </w:sdt>
                  <w:r>
                    <w:rPr>
                      <w:szCs w:val="24"/>
                    </w:rPr>
                    <w:t>. Asmeniui skiriama jo prašyme nurodytos rūšies ir dydžio parama (išskyrus Aprašo 32 punkte nurodytą atvejį), ne didesnė nei 530 bazinės socialinės išmokos dydžių (toliau – BSI) vieniems studijų metams:</w:t>
                  </w:r>
                </w:p>
                <w:sdt>
                  <w:sdtPr>
                    <w:alias w:val="8.1 pp."/>
                    <w:tag w:val="part_4bc9140cd2d441d59ffc8f0383b1c9f8"/>
                    <w:lock w:val="sdtLocked"/>
                    <w:richText/>
                  </w:sdtPr>
                  <w:sdtContent>
                    <w:p>
                      <w:pPr>
                        <w:ind w:firstLine="709"/>
                        <w:jc w:val="both"/>
                        <w:rPr>
                          <w:szCs w:val="24"/>
                        </w:rPr>
                      </w:pPr>
                      <w:sdt>
                        <w:sdtPr>
                          <w:alias w:val="Numeris"/>
                          <w:tag w:val="nr_4bc9140cd2d441d59ffc8f0383b1c9f8"/>
                          <w:lock w:val="sdtLocked"/>
                          <w:richText/>
                        </w:sdtPr>
                        <w:sdtContent>
                          <w:r>
                            <w:rPr>
                              <w:szCs w:val="24"/>
                            </w:rPr>
                            <w:t>8.1</w:t>
                          </w:r>
                        </w:sdtContent>
                      </w:sdt>
                      <w:r>
                        <w:rPr>
                          <w:szCs w:val="24"/>
                        </w:rPr>
                        <w:t>. Parama studijų kainai, jei asmens studijos yra mokamos. Šios Paramos suma vieniems studijų metams yra ne didesnė nei studento mokama metinė studijų kaina ir ne didesnė nei 530 BSI dydžių;</w:t>
                      </w:r>
                    </w:p>
                  </w:sdtContent>
                </w:sdt>
                <w:sdt>
                  <w:sdtPr>
                    <w:alias w:val="8.2 pp."/>
                    <w:tag w:val="part_5a5d994378284ffcb142fca0a3be8236"/>
                    <w:lock w:val="sdtLocked"/>
                    <w:richText/>
                  </w:sdtPr>
                  <w:sdtContent>
                    <w:p>
                      <w:pPr>
                        <w:ind w:firstLine="709"/>
                        <w:jc w:val="both"/>
                        <w:rPr>
                          <w:szCs w:val="24"/>
                        </w:rPr>
                      </w:pPr>
                      <w:sdt>
                        <w:sdtPr>
                          <w:alias w:val="Numeris"/>
                          <w:tag w:val="nr_5a5d994378284ffcb142fca0a3be8236"/>
                          <w:lock w:val="sdtLocked"/>
                          <w:richText/>
                        </w:sdtPr>
                        <w:sdtContent>
                          <w:r>
                            <w:rPr>
                              <w:szCs w:val="24"/>
                            </w:rPr>
                            <w:t>8.2</w:t>
                          </w:r>
                        </w:sdtContent>
                      </w:sdt>
                      <w:r>
                        <w:rPr>
                          <w:szCs w:val="24"/>
                        </w:rPr>
                        <w:t xml:space="preserve">. Parama pragyvenimo išlaidoms. Šios Paramos suma vienam studijų mėnesiui yra ne didesnė nei 16 BSI dydžių per mėnesį ir ne daugiau nei 192 BSI vieniems studijų metams. </w:t>
                      </w:r>
                    </w:p>
                    <w:p>
                      <w:pPr>
                        <w:ind w:firstLine="709"/>
                        <w:jc w:val="center"/>
                        <w:rPr>
                          <w:smallCaps/>
                          <w:szCs w:val="24"/>
                        </w:rPr>
                      </w:pPr>
                    </w:p>
                  </w:sdtContent>
                </w:sdt>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2c8e50df91cb4a3e998a97e22856e24a"/>
                        <w:lock w:val="sdtLocked"/>
                        <w:richText/>
                      </w:sdtPr>
                      <w:sdtContent>
                        <w:p>
                          <w:pPr>
                            <w:tabs>
                              <w:tab w:val="center" w:pos="-7800"/>
                              <w:tab w:val="left" w:pos="709"/>
                              <w:tab w:val="left" w:pos="6237"/>
                              <w:tab w:val="right" w:pos="8306"/>
                            </w:tabs>
                            <w:ind w:firstLine="709"/>
                            <w:jc w:val="both"/>
                            <w:rPr>
                              <w:szCs w:val="24"/>
                            </w:rPr>
                          </w:pPr>
                          <w:sdt>
                            <w:sdtPr>
                              <w:alias w:val="Numeris"/>
                              <w:tag w:val="nr_2c8e50df91cb4a3e998a97e22856e24a"/>
                              <w:lock w:val="sdtLocked"/>
                              <w:richText/>
                            </w:sdtPr>
                            <w:sdtContent>
                              <w:r>
                                <w:rPr>
                                  <w:szCs w:val="24"/>
                                  <w:lang w:eastAsia="lt-LT"/>
                                </w:rPr>
                                <w:t>14.4.3</w:t>
                              </w:r>
                            </w:sdtContent>
                          </w:sdt>
                          <w:r>
                            <w:rPr>
                              <w:szCs w:val="24"/>
                              <w:lang w:eastAsia="lt-LT"/>
                            </w:rPr>
                            <w:t xml:space="preserve">. Lietuvos Respublikoje veikiančias asociacijas, vienijančias  studijų krypčių grupės, kuriai priklauso Prašymą pateikusio asmens studijų programa, 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2f2f95ac10d040fcb2077a9e89b2c9c3"/>
                <w:lock w:val="sdtLocked"/>
                <w:richText/>
              </w:sdtPr>
              <w:sdtContent>
                <w:p>
                  <w:pPr>
                    <w:ind w:firstLine="709"/>
                    <w:jc w:val="both"/>
                    <w:rPr>
                      <w:szCs w:val="24"/>
                    </w:rPr>
                  </w:pPr>
                  <w:sdt>
                    <w:sdtPr>
                      <w:alias w:val="Numeris"/>
                      <w:tag w:val="nr_2f2f95ac10d040fcb2077a9e89b2c9c3"/>
                      <w:lock w:val="sdtLocked"/>
                      <w:richText/>
                    </w:sdtPr>
                    <w:sdtContent>
                      <w:r>
                        <w:rPr>
                          <w:szCs w:val="24"/>
                          <w:lang w:eastAsia="lt-LT"/>
                        </w:rPr>
                        <w:t>15</w:t>
                      </w:r>
                    </w:sdtContent>
                  </w:sdt>
                  <w:r>
                    <w:rPr>
                      <w:szCs w:val="24"/>
                      <w:lang w:eastAsia="lt-LT"/>
                    </w:rPr>
                    <w:t>. Prašymai, neturintys trūkumų, Prašymai, kurių trūkumai ištaisyti Aprašo 14.2 papunktyje nustatyta tvarka, taip pat Vertinimą atliekančių įstaigų pateikti Aprašo 4.2 papunktyje nurodytų aukštųjų mokyklų vertinimai perduodami nagrinėti Įgaliotos institucijos sudarytai komisijai (toliau – Komisija).</w:t>
                  </w:r>
                  <w:r>
                    <w:rPr>
                      <w:b/>
                      <w:szCs w:val="24"/>
                      <w:lang w:eastAsia="lt-LT"/>
                    </w:rPr>
                    <w:t xml:space="preserve"> </w:t>
                  </w:r>
                  <w:r>
                    <w:rPr>
                      <w:bCs/>
                      <w:szCs w:val="24"/>
                      <w:lang w:eastAsia="lt-LT"/>
                    </w:rPr>
                    <w:t>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w:t>
                  </w:r>
                  <w:r>
                    <w:rPr>
                      <w:szCs w:val="24"/>
                      <w:lang w:eastAsia="lt-LT"/>
                    </w:rPr>
                    <w:t>.</w:t>
                  </w:r>
                  <w:r>
                    <w:rPr>
                      <w:rFonts w:ascii="Arial" w:hAnsi="Arial" w:cs="Arial"/>
                      <w:sz w:val="20"/>
                      <w:lang w:eastAsia="lt-LT"/>
                    </w:rPr>
                    <w:t xml:space="preserve"> </w:t>
                  </w:r>
                  <w:r>
                    <w:rPr>
                      <w:bCs/>
                      <w:szCs w:val="24"/>
                      <w:lang w:eastAsia="lt-LT"/>
                    </w:rPr>
                    <w:t>Komisijos narių asmens duomenys Įgaliotos institucijos interneto svetainėje skelbiami tol, kol asmuo eina Komisijos nario pareigas.</w:t>
                  </w:r>
                  <w:r>
                    <w:rPr>
                      <w:b/>
                      <w:bCs/>
                      <w:szCs w:val="24"/>
                      <w:lang w:eastAsia="lt-LT"/>
                    </w:rPr>
                    <w:t xml:space="preserve"> </w:t>
                  </w:r>
                  <w:r>
                    <w:rPr>
                      <w:szCs w:val="24"/>
                      <w:lang w:eastAsia="lt-LT"/>
                    </w:rPr>
                    <w:t>Komisija sudaroma iš 7 narių</w:t>
                  </w:r>
                  <w:r>
                    <w:rPr>
                      <w:bCs/>
                      <w:szCs w:val="24"/>
                      <w:lang w:eastAsia="lt-LT"/>
                    </w:rPr>
                    <w:t>, kurie nėra susiję tiesioginio pavaldumo ryšiais.</w:t>
                  </w:r>
                  <w:r>
                    <w:rPr>
                      <w:szCs w:val="24"/>
                      <w:lang w:eastAsia="lt-LT"/>
                    </w:rPr>
                    <w:t xml:space="preserve"> </w:t>
                  </w:r>
                  <w:r>
                    <w:rPr>
                      <w:bCs/>
                      <w:szCs w:val="24"/>
                      <w:lang w:eastAsia="lt-LT"/>
                    </w:rPr>
                    <w:t>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14caa2acf6f5450fa98004cffc02a45d"/>
                    <w:lock w:val="sdtLocked"/>
                    <w:richText/>
                  </w:sdtPr>
                  <w:sdtContent>
                    <w:p>
                      <w:pPr>
                        <w:ind w:firstLine="709"/>
                        <w:jc w:val="both"/>
                        <w:rPr>
                          <w:b/>
                          <w:bCs/>
                          <w:szCs w:val="24"/>
                          <w:lang w:eastAsia="lt-LT"/>
                        </w:rPr>
                      </w:pPr>
                      <w:sdt>
                        <w:sdtPr>
                          <w:alias w:val="Numeris"/>
                          <w:tag w:val="nr_14caa2acf6f5450fa98004cffc02a45d"/>
                          <w:lock w:val="sdtLocked"/>
                          <w:richText/>
                        </w:sdtPr>
                        <w:sdtContent>
                          <w:r>
                            <w:rPr>
                              <w:szCs w:val="24"/>
                              <w:lang w:eastAsia="lt-LT"/>
                            </w:rPr>
                            <w:t>20.1</w:t>
                          </w:r>
                        </w:sdtContent>
                      </w:sdt>
                      <w:r>
                        <w:rPr>
                          <w:szCs w:val="24"/>
                          <w:lang w:eastAsia="lt-LT"/>
                        </w:rPr>
                        <w:t xml:space="preserve">. už aukštosios mokyklos, į kurią asmuo yra įstojęs (pakviestas studijuoti) ar kurioje studijuoja, reitingą skiriama nuo 1 iki 50 balų. Skiriant balą, vadovaujamasi paskutine aktualia kiekvieno iš reitingų informacija. Šis balas skiriamas tik tiems asmenims, kurie yra įstoję (pakviesti studijuoti) ar studijuoja Aprašo 4.1 papunktyje nurodytose užsienio valstybių aukštosiose mokyklose. Išvedus reitingų vidurkį už 1 vietoje esančią aukštąją mokyklą skiriama 50 balų, 2 vietoje – 49 balai ir taip toliau. Komisija turi teisę motyvuotu rašytiniu sprendimu nepritarti Vertinimą atliekančios įstaigos pateiktam Aprašo 4.2 papunktyje nurodytų aukštųjų mokyklų įvertinimui. </w:t>
                      </w:r>
                      <w:r>
                        <w:rPr>
                          <w:bCs/>
                          <w:szCs w:val="24"/>
                          <w:lang w:eastAsia="lt-LT"/>
                        </w:rPr>
                        <w:t>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w:t>
                      </w:r>
                      <w:r>
                        <w:rPr>
                          <w:szCs w:val="24"/>
                          <w:lang w:eastAsia="lt-LT"/>
                        </w:rPr>
                        <w:t xml:space="preserve">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rPr>
                          <w:bCs/>
                          <w:szCs w:val="24"/>
                          <w:lang w:eastAsia="lt-LT"/>
                        </w:rPr>
                        <w:t>;</w:t>
                      </w:r>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32180ba7f2994fdfb00d82711b051914"/>
                <w:lock w:val="sdtLocked"/>
                <w:richText/>
              </w:sdtPr>
              <w:sdtContent>
                <w:p>
                  <w:pPr>
                    <w:ind w:firstLine="709"/>
                    <w:jc w:val="both"/>
                    <w:rPr>
                      <w:szCs w:val="24"/>
                    </w:rPr>
                  </w:pPr>
                  <w:sdt>
                    <w:sdtPr>
                      <w:alias w:val="Numeris"/>
                      <w:tag w:val="nr_32180ba7f2994fdfb00d82711b051914"/>
                      <w:lock w:val="sdtLocked"/>
                      <w:richText/>
                    </w:sdtPr>
                    <w:sdtContent>
                      <w:r>
                        <w:rPr>
                          <w:szCs w:val="24"/>
                        </w:rPr>
                        <w:t>23</w:t>
                      </w:r>
                    </w:sdtContent>
                  </w:sdt>
                  <w:r>
                    <w:rPr>
                      <w:szCs w:val="24"/>
                    </w:rPr>
                    <w:t xml:space="preserve">. Iš Konkurse dalyvaujančių asmenų pagal jų konkursinius balus sudaromos dvi pagrindinės konkursinės eilės: </w:t>
                  </w:r>
                </w:p>
                <w:sdt>
                  <w:sdtPr>
                    <w:alias w:val="23.1 pp."/>
                    <w:tag w:val="part_7f61199fd2504c6ebd3d9065132573ed"/>
                    <w:lock w:val="sdtLocked"/>
                    <w:richText/>
                  </w:sdtPr>
                  <w:sdtContent>
                    <w:p>
                      <w:pPr>
                        <w:ind w:firstLine="709"/>
                        <w:jc w:val="both"/>
                        <w:rPr>
                          <w:szCs w:val="24"/>
                        </w:rPr>
                      </w:pPr>
                      <w:sdt>
                        <w:sdtPr>
                          <w:alias w:val="Numeris"/>
                          <w:tag w:val="nr_7f61199fd2504c6ebd3d9065132573ed"/>
                          <w:lock w:val="sdtLocked"/>
                          <w:richText/>
                        </w:sdtPr>
                        <w:sdtContent>
                          <w:r>
                            <w:rPr>
                              <w:szCs w:val="24"/>
                            </w:rPr>
                            <w:t>23.1</w:t>
                          </w:r>
                        </w:sdtContent>
                      </w:sdt>
                      <w:r>
                        <w:rPr>
                          <w:szCs w:val="24"/>
                        </w:rPr>
                        <w:t>. asmenų, kurie yra įstoję (pakviesti studijuoti) ar studijuoja Aprašo 4.1 papunktyje nurodytose aukštosiose mokyklose, konkursinė eilė;</w:t>
                      </w:r>
                    </w:p>
                  </w:sdtContent>
                </w:sdt>
                <w:sdt>
                  <w:sdtPr>
                    <w:alias w:val="23.2 pp."/>
                    <w:tag w:val="part_d72abd2bb6bd40fa871d10d5a2283f8f"/>
                    <w:lock w:val="sdtLocked"/>
                    <w:richText/>
                  </w:sdtPr>
                  <w:sdtContent>
                    <w:p>
                      <w:pPr>
                        <w:ind w:firstLine="709"/>
                        <w:jc w:val="both"/>
                        <w:rPr>
                          <w:szCs w:val="24"/>
                        </w:rPr>
                      </w:pPr>
                      <w:sdt>
                        <w:sdtPr>
                          <w:alias w:val="Numeris"/>
                          <w:tag w:val="nr_d72abd2bb6bd40fa871d10d5a2283f8f"/>
                          <w:lock w:val="sdtLocked"/>
                          <w:richText/>
                        </w:sdtPr>
                        <w:sdtContent>
                          <w:r>
                            <w:rPr>
                              <w:szCs w:val="24"/>
                            </w:rPr>
                            <w:t>23.2</w:t>
                          </w:r>
                        </w:sdtContent>
                      </w:sdt>
                      <w:r>
                        <w:rPr>
                          <w:szCs w:val="24"/>
                        </w:rPr>
                        <w:t>. asmenų, kurie yra įstoję (pakviesti studijuoti) ar studijuoja Aprašo 4.2 papunktyje nurodytose aukštosiose mokyklose, konkursinė eilė.</w:t>
                      </w:r>
                    </w:p>
                  </w:sdtContent>
                </w:sdt>
              </w:sdtContent>
            </w:sdt>
            <w:sdt>
              <w:sdtPr>
                <w:alias w:val="24 p."/>
                <w:tag w:val="part_2a7be4a9596c486e8b4efe48df6c8ca5"/>
                <w:lock w:val="sdtLocked"/>
                <w:richText/>
              </w:sdtPr>
              <w:sdtContent>
                <w:p>
                  <w:pPr>
                    <w:ind w:firstLine="709"/>
                    <w:jc w:val="both"/>
                    <w:rPr>
                      <w:szCs w:val="24"/>
                    </w:rPr>
                  </w:pPr>
                  <w:sdt>
                    <w:sdtPr>
                      <w:alias w:val="Numeris"/>
                      <w:tag w:val="nr_2a7be4a9596c486e8b4efe48df6c8ca5"/>
                      <w:lock w:val="sdtLocked"/>
                      <w:richText/>
                    </w:sdtPr>
                    <w:sdtContent>
                      <w:r>
                        <w:rPr>
                          <w:szCs w:val="24"/>
                        </w:rPr>
                        <w:t>24</w:t>
                      </w:r>
                    </w:sdtContent>
                  </w:sdt>
                  <w:r>
                    <w:rPr>
                      <w:szCs w:val="24"/>
                    </w:rPr>
                    <w:t xml:space="preserve">.  Tais atvejais, kai skiriamos lėšos Paramai mokėti konkrečios studijų krypties, pakopos ir (ar) trukmės studijoms, sudaromos papildomos konkursinės eilės pagal atitinkamos Paramos tikslus. Į papildomas konkursines eiles gali būti įrašoma tiek asmenų, kiek galėtų gauti Paramą, atsižvelgiant į jai mokėti skirtų lėšų sumą.</w:t>
                  </w:r>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67cde76b7c16471d803421e04502e4df"/>
                <w:lock w:val="sdtLocked"/>
                <w:richText/>
              </w:sdtPr>
              <w:sdtContent>
                <w:p>
                  <w:pPr>
                    <w:ind w:firstLine="709"/>
                    <w:jc w:val="both"/>
                    <w:rPr>
                      <w:szCs w:val="24"/>
                    </w:rPr>
                  </w:pPr>
                  <w:sdt>
                    <w:sdtPr>
                      <w:alias w:val="Numeris"/>
                      <w:tag w:val="nr_67cde76b7c16471d803421e04502e4df"/>
                      <w:lock w:val="sdtLocked"/>
                      <w:richText/>
                    </w:sdtPr>
                    <w:sdtContent>
                      <w:r>
                        <w:rPr>
                          <w:szCs w:val="24"/>
                        </w:rPr>
                        <w:t>29</w:t>
                      </w:r>
                    </w:sdtContent>
                  </w:sdt>
                  <w:r>
                    <w:rPr>
                      <w:szCs w:val="24"/>
                    </w:rPr>
                    <w:t>. Lėšos Paramai mokėti į pagrindines konkursines eiles įrašytiems asmenims paskirstomos taip:</w:t>
                  </w:r>
                </w:p>
                <w:sdt>
                  <w:sdtPr>
                    <w:alias w:val="29.1 pp."/>
                    <w:tag w:val="part_951807c20ba14b56be5d40e7949a793d"/>
                    <w:lock w:val="sdtLocked"/>
                    <w:richText/>
                  </w:sdtPr>
                  <w:sdtContent>
                    <w:p>
                      <w:pPr>
                        <w:ind w:firstLine="709"/>
                        <w:jc w:val="both"/>
                        <w:rPr>
                          <w:szCs w:val="24"/>
                        </w:rPr>
                      </w:pPr>
                      <w:sdt>
                        <w:sdtPr>
                          <w:alias w:val="Numeris"/>
                          <w:tag w:val="nr_951807c20ba14b56be5d40e7949a793d"/>
                          <w:lock w:val="sdtLocked"/>
                          <w:richText/>
                        </w:sdtPr>
                        <w:sdtContent>
                          <w:r>
                            <w:rPr>
                              <w:szCs w:val="24"/>
                            </w:rPr>
                            <w:t>29.1</w:t>
                          </w:r>
                        </w:sdtContent>
                      </w:sdt>
                      <w:r>
                        <w:rPr>
                          <w:szCs w:val="24"/>
                        </w:rPr>
                        <w:t xml:space="preserve">. asmenims, įrašytiems į Aprašo 23.2 papunktyje nurodytą konkursinę eilę, skiriama 20 procentų Paramai mokėti skirtų lėšų, bet ne mažiau nei 530 BSI vieniems studijų metams. Tuo atveju, jei visiems Aprašo 23.2 papunktyje nurodytoje konkursinėje eilėje esantiems asmenims reikalinga mažesnė paramos suma nei 20 procentų Paramai mokėti skirtų lėšų, asmenims, įrašytiems į Aprašo 23.2 papunktyje nurodytą konkursinę eilę, skiriama mažiau nei 20 procentų Paramai mokėti skirtų lėšų; </w:t>
                      </w:r>
                    </w:p>
                  </w:sdtContent>
                </w:sdt>
                <w:sdt>
                  <w:sdtPr>
                    <w:alias w:val="29.2 pp."/>
                    <w:tag w:val="part_748a16660b4745dda34a8b79c33ecffe"/>
                    <w:lock w:val="sdtLocked"/>
                    <w:richText/>
                  </w:sdtPr>
                  <w:sdtContent>
                    <w:p>
                      <w:pPr>
                        <w:ind w:firstLine="709"/>
                        <w:jc w:val="both"/>
                        <w:rPr>
                          <w:szCs w:val="24"/>
                        </w:rPr>
                      </w:pPr>
                      <w:sdt>
                        <w:sdtPr>
                          <w:alias w:val="Numeris"/>
                          <w:tag w:val="nr_748a16660b4745dda34a8b79c33ecffe"/>
                          <w:lock w:val="sdtLocked"/>
                          <w:richText/>
                        </w:sdtPr>
                        <w:sdtContent>
                          <w:r>
                            <w:rPr>
                              <w:szCs w:val="24"/>
                            </w:rPr>
                            <w:t>29.2</w:t>
                          </w:r>
                        </w:sdtContent>
                      </w:sdt>
                      <w:r>
                        <w:rPr>
                          <w:szCs w:val="24"/>
                        </w:rPr>
                        <w:t xml:space="preserve"> asmenims, įrašytiems į Aprašo 23.1 papunktyje nurodytą konkursinę eilę, skiriama likusi lėšų dalis. </w:t>
                      </w:r>
                    </w:p>
                  </w:sdtContent>
                </w:sdt>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1bff4e0becf84863b49460778fd3de21"/>
                <w:lock w:val="sdtLocked"/>
                <w:richText/>
              </w:sdtPr>
              <w:sdtContent>
                <w:p>
                  <w:pPr>
                    <w:ind w:firstLine="709"/>
                    <w:jc w:val="both"/>
                    <w:rPr>
                      <w:szCs w:val="24"/>
                    </w:rPr>
                  </w:pPr>
                  <w:sdt>
                    <w:sdtPr>
                      <w:alias w:val="Numeris"/>
                      <w:tag w:val="nr_1bff4e0becf84863b49460778fd3de21"/>
                      <w:lock w:val="sdtLocked"/>
                      <w:richText/>
                    </w:sdtPr>
                    <w:sdtContent>
                      <w:r>
                        <w:rPr>
                          <w:szCs w:val="24"/>
                        </w:rPr>
                        <w:t>34</w:t>
                      </w:r>
                    </w:sdtContent>
                  </w:sdt>
                  <w:r>
                    <w:rPr>
                      <w:szCs w:val="24"/>
                    </w:rPr>
                    <w:t xml:space="preserve">. Jei paskyrus Paramą iš Aprašo 29.1 papunktyje nurodytų lėšų, lieka mažesnė nei 270 BSI dydžių lėšų suma arba į Aprašo 23.2 papunktyje nurodytą konkursinę eilę įrašyti asmenys nesutinka su jiems skiriamu ne viso Prašyme nurodyto dydžio Paramos dydžiu, likusi lėšų suma pridedama prie Aprašo 29.2 papunktyje nurodytų lėšų. Jei Aprašo 23.2 papunktyje nurodyta konkursinė eilė nesusidarė (Konkurse nedalyvauja asmenys, kurie yra įstoję  (pakviesti studijuoti) ar studijuoja Aprašo 4.2 papunktyje nurodytose aukštosiose mokyklose), visa Aprašo 29.1 papunktyje nurodyta lėšų suma pridedama prie Aprašo 29.2 papunktyje nurodytų lėšų. </w:t>
                  </w:r>
                </w:p>
                <w:p>
                  <w:pPr>
                    <w:jc w:val="center"/>
                    <w:rPr>
                      <w:szCs w:val="24"/>
                    </w:rPr>
                  </w:pPr>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f51f087f8acc44ae94c7ed1276436cad"/>
                    <w:lock w:val="sdtLocked"/>
                    <w:richText/>
                  </w:sdtPr>
                  <w:sdtContent>
                    <w:p>
                      <w:pPr>
                        <w:ind w:firstLine="709"/>
                        <w:jc w:val="both"/>
                        <w:rPr>
                          <w:szCs w:val="24"/>
                          <w:lang w:eastAsia="en-GB"/>
                        </w:rPr>
                      </w:pPr>
                      <w:sdt>
                        <w:sdtPr>
                          <w:alias w:val="Numeris"/>
                          <w:tag w:val="nr_f51f087f8acc44ae94c7ed1276436cad"/>
                          <w:lock w:val="sdtLocked"/>
                          <w:richText/>
                        </w:sdtPr>
                        <w:sdtContent>
                          <w:r>
                            <w:rPr>
                              <w:szCs w:val="24"/>
                              <w:lang w:eastAsia="en-GB"/>
                            </w:rPr>
                            <w:t>52.1</w:t>
                          </w:r>
                        </w:sdtContent>
                      </w:sdt>
                      <w:r>
                        <w:rPr>
                          <w:szCs w:val="24"/>
                          <w:lang w:eastAsia="en-GB"/>
                        </w:rPr>
                        <w:t xml:space="preserve">. </w:t>
                      </w:r>
                      <w:r>
                        <w:rPr>
                          <w:bCs/>
                          <w:szCs w:val="24"/>
                          <w:lang w:eastAsia="en-GB"/>
                        </w:rPr>
                        <w:t>aukštesnės pakopos studijų laikotarpiui,</w:t>
                      </w:r>
                      <w:r>
                        <w:rPr>
                          <w:szCs w:val="24"/>
                          <w:lang w:eastAsia="en-GB"/>
                        </w:rPr>
                        <w:t xml:space="preserve"> jei asmuo tęsia aukštesnės pakopos studijas;</w:t>
                      </w:r>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9f787c42e20d41b6a803e11781b9c6cc"/>
        <w:lock w:val="sdtLocked"/>
        <w:richText/>
      </w:sdtPr>
      <w:sdtContent>
        <w:p>
          <w:pPr>
            <w:ind w:left="10348"/>
            <w:rPr>
              <w:szCs w:val="24"/>
              <w:lang w:eastAsia="lt-LT"/>
            </w:rPr>
            <w:sectPr>
              <w:headerReference w:type="even" r:id="rId88"/>
              <w:headerReference w:type="default" r:id="rId89"/>
              <w:footerReference w:type="even" r:id="rId90"/>
              <w:footerReference w:type="default" r:id="rId91"/>
              <w:headerReference w:type="first" r:id="rId92"/>
              <w:footerReference w:type="first" r:id="rId93"/>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647e9b0d344f4971b3a66e82434e6ea7"/>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647e9b0d344f4971b3a66e82434e6ea7"/>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0b2a4f3e16514fb48de302a85f4c8727"/>
        <w:lock w:val="sdtLocked"/>
        <w:richText/>
      </w:sdtPr>
      <w:sdtContent>
        <w:p>
          <w:pPr>
            <w:ind w:left="5102"/>
            <w:sectPr>
              <w:pgSz w:w="11906" w:h="16838" w:code="9"/>
              <w:pgMar w:top="1134" w:right="1134" w:bottom="1134" w:left="1701" w:header="567" w:footer="567" w:gutter="0"/>
              <w:pgNumType w:start="1"/>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bCs/>
              <w:szCs w:val="24"/>
              <w:lang w:eastAsia="lt-LT"/>
            </w:rPr>
          </w:pPr>
          <w:r>
            <w:rPr>
              <w:bCs/>
              <w:szCs w:val="24"/>
              <w:lang w:eastAsia="lt-LT"/>
            </w:rPr>
            <w:t>(Lietuvos Respublikos Vyriausybės</w:t>
          </w:r>
        </w:p>
        <w:p>
          <w:pPr>
            <w:ind w:left="5102"/>
            <w:rPr>
              <w:bCs/>
              <w:szCs w:val="24"/>
              <w:lang w:eastAsia="lt-LT"/>
            </w:rPr>
          </w:pPr>
          <w:r>
            <w:rPr>
              <w:bCs/>
              <w:szCs w:val="24"/>
              <w:lang w:eastAsia="lt-LT"/>
            </w:rPr>
            <w:t>2020 m. birželio 3 d. nutarimo Nr. 559</w:t>
          </w:r>
        </w:p>
        <w:p>
          <w:pPr>
            <w:ind w:left="5102"/>
            <w:rPr>
              <w:bCs/>
              <w:szCs w:val="24"/>
              <w:lang w:eastAsia="lt-LT"/>
            </w:rPr>
          </w:pPr>
          <w:r>
            <w:rPr>
              <w:bCs/>
              <w:szCs w:val="24"/>
              <w:lang w:eastAsia="lt-LT"/>
            </w:rPr>
            <w:t>redakcija)</w:t>
          </w:r>
        </w:p>
        <w:p>
          <w:pPr>
            <w:rPr>
              <w:sz w:val="22"/>
              <w:szCs w:val="22"/>
            </w:rPr>
          </w:pPr>
        </w:p>
        <w:p>
          <w:pPr>
            <w:rPr>
              <w:b/>
            </w:rPr>
          </w:pPr>
        </w:p>
        <w:p>
          <w:pPr>
            <w:jc w:val="center"/>
          </w:pPr>
          <w:sdt>
            <w:sdtPr>
              <w:alias w:val="Pavadinimas"/>
              <w:tag w:val="title_0b2a4f3e16514fb48de302a85f4c8727"/>
              <w:lock w:val="sdtLocked"/>
              <w:richText/>
            </w:sdt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ind w:firstLine="567"/>
            <w:jc w:val="both"/>
            <w:rPr>
              <w:b/>
              <w:color w:val="000000"/>
              <w:szCs w:val="24"/>
              <w:lang w:eastAsia="lt-LT"/>
            </w:rPr>
          </w:pPr>
        </w:p>
        <w:sdt>
          <w:sdtPr>
            <w:alias w:val="1 p."/>
            <w:tag w:val="part_058313d78b4740a1adfd00434cd960c9"/>
            <w:lock w:val="sdtLocked"/>
            <w:richText/>
          </w:sdtPr>
          <w:sdtContent>
            <w:p>
              <w:pPr>
                <w:ind w:firstLine="567"/>
                <w:jc w:val="both"/>
                <w:rPr>
                  <w:bCs/>
                  <w:color w:val="000000"/>
                  <w:szCs w:val="24"/>
                  <w:lang w:eastAsia="lt-LT"/>
                </w:rPr>
              </w:pPr>
              <w:sdt>
                <w:sdtPr>
                  <w:alias w:val="Numeris"/>
                  <w:tag w:val="nr_058313d78b4740a1adfd00434cd960c9"/>
                  <w:lock w:val="sdtLocked"/>
                  <w:richText/>
                </w:sdt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studentams (toliau – pedagoginių studijų studentai), studijuojantiems valstybės finansuojamose studijų vietose ir neturintiems akademinių skolų.</w:t>
              </w:r>
            </w:p>
          </w:sdtContent>
        </w:sdt>
        <w:sdt>
          <w:sdtPr>
            <w:alias w:val="2 p."/>
            <w:tag w:val="part_cfb126f88d8649b99af77f45cfb23ce7"/>
            <w:lock w:val="sdtLocked"/>
            <w:richText/>
          </w:sdtPr>
          <w:sdtContent>
            <w:p>
              <w:pPr>
                <w:ind w:firstLine="567"/>
                <w:jc w:val="both"/>
                <w:rPr>
                  <w:bCs/>
                  <w:color w:val="000000"/>
                  <w:szCs w:val="24"/>
                  <w:lang w:eastAsia="lt-LT"/>
                </w:rPr>
              </w:pPr>
              <w:sdt>
                <w:sdtPr>
                  <w:alias w:val="Numeris"/>
                  <w:tag w:val="nr_cfb126f88d8649b99af77f45cfb23ce7"/>
                  <w:lock w:val="sdtLocked"/>
                  <w:richText/>
                </w:sdtPr>
                <w:sdtContent>
                  <w:r>
                    <w:rPr>
                      <w:bCs/>
                      <w:color w:val="000000"/>
                      <w:szCs w:val="24"/>
                      <w:lang w:eastAsia="lt-LT"/>
                    </w:rPr>
                    <w:t>2</w:t>
                  </w:r>
                </w:sdtContent>
              </w:sdt>
              <w:r>
                <w:rPr>
                  <w:bCs/>
                  <w:color w:val="000000"/>
                  <w:szCs w:val="24"/>
                  <w:lang w:eastAsia="lt-LT"/>
                </w:rPr>
                <w:t xml:space="preserve">. Parama taip pat skiriama pirmosios pakopos ne pedagogikos krypties studijų programų studentams, kurie greta šių studijų programų valstybės finansuojamose studijų vietose studijuoja pedagogikos studijų modulį ir neturi akademinių skolų (toliau – pedagoginių gretutinių studijų studentai). Pedagoginių gretutinių studijų studentų, kuriems skiriama parama, skaičių pagal aukštąsias mokyklas ir studijų programų, pagal kurias jie studijuoja, kryptis ar jų grupes, atsižvelgęs į valstybės finansines galimybes ir poreikį parengti tam tikrų dalykų mokytojus, kasmet iki birželio 25 dienos tvirtina Lietuvos Respublikos švietimo, mokslo ir sporto ministras. Pasibaigus bendrajam priėmimui į pirmosios pakopos ir vientisąsias studijas švietimo, mokslo ir sporto ministras, įvertinęs priėmimo rezultatus, gali skirti papildomą skaičių studentų, kuriems skiriama parama, pagal aukštąsias mokyklas ir studijų programų, pagal kurias jie studijuoja, kryptis ar jų grupes. </w:t>
              </w:r>
            </w:p>
          </w:sdtContent>
        </w:sdt>
        <w:sdt>
          <w:sdtPr>
            <w:alias w:val="3 p."/>
            <w:tag w:val="part_536b3f39457d4188bb0834654dfe55a0"/>
            <w:lock w:val="sdtLocked"/>
            <w:richText/>
          </w:sdtPr>
          <w:sdtContent>
            <w:p>
              <w:pPr>
                <w:ind w:firstLine="567"/>
                <w:jc w:val="both"/>
                <w:rPr>
                  <w:bCs/>
                  <w:color w:val="000000"/>
                  <w:szCs w:val="24"/>
                  <w:lang w:eastAsia="lt-LT"/>
                </w:rPr>
              </w:pPr>
              <w:sdt>
                <w:sdtPr>
                  <w:alias w:val="Numeris"/>
                  <w:tag w:val="nr_536b3f39457d4188bb0834654dfe55a0"/>
                  <w:lock w:val="sdtLocked"/>
                  <w:richText/>
                </w:sdt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e5f1716a021f47e984f1f4d3dc0ed8cd"/>
            <w:lock w:val="sdtLocked"/>
            <w:richText/>
          </w:sdtPr>
          <w:sdtContent>
            <w:p>
              <w:pPr>
                <w:ind w:firstLine="567"/>
                <w:jc w:val="both"/>
                <w:rPr>
                  <w:bCs/>
                  <w:color w:val="000000"/>
                  <w:szCs w:val="24"/>
                  <w:lang w:eastAsia="lt-LT"/>
                </w:rPr>
              </w:pPr>
              <w:sdt>
                <w:sdtPr>
                  <w:alias w:val="Numeris"/>
                  <w:tag w:val="nr_e5f1716a021f47e984f1f4d3dc0ed8cd"/>
                  <w:lock w:val="sdtLocked"/>
                  <w:richText/>
                </w:sdt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64039f0c3d4b269a29f1cb43be5e4c"/>
                <w:lock w:val="sdtLocked"/>
                <w:richText/>
              </w:sdtPr>
              <w:sdtContent>
                <w:p>
                  <w:pPr>
                    <w:ind w:firstLine="567"/>
                    <w:jc w:val="both"/>
                    <w:rPr>
                      <w:bCs/>
                      <w:color w:val="000000"/>
                      <w:szCs w:val="24"/>
                      <w:lang w:eastAsia="lt-LT"/>
                    </w:rPr>
                  </w:pPr>
                  <w:sdt>
                    <w:sdtPr>
                      <w:alias w:val="Numeris"/>
                      <w:tag w:val="nr_9164039f0c3d4b269a29f1cb43be5e4c"/>
                      <w:lock w:val="sdtLocked"/>
                      <w:richText/>
                    </w:sdtPr>
                    <w:sdtContent>
                      <w:r>
                        <w:rPr>
                          <w:bCs/>
                          <w:color w:val="000000"/>
                          <w:szCs w:val="24"/>
                          <w:lang w:eastAsia="lt-LT"/>
                        </w:rPr>
                        <w:t>4.1</w:t>
                      </w:r>
                    </w:sdtContent>
                  </w:sdt>
                  <w:r>
                    <w:rPr>
                      <w:bCs/>
                      <w:color w:val="000000"/>
                      <w:szCs w:val="24"/>
                      <w:lang w:eastAsia="lt-LT"/>
                    </w:rPr>
                    <w:t>. Fondas perveda paramai mokėti skirtas lėšas kiekvienai aukštajai mokyklai, kurioje studijuoja pedagoginių studijų studentai ir pedagoginių gretutinių studijų studentai, bei kontroliuoja šių lėšų panaudojimą;</w:t>
                  </w:r>
                </w:p>
              </w:sdtContent>
            </w:sdt>
            <w:sdt>
              <w:sdtPr>
                <w:alias w:val="4.2 pp."/>
                <w:tag w:val="part_c9fbb6b1cf8944adb25bad73670ee0a2"/>
                <w:lock w:val="sdtLocked"/>
                <w:richText/>
              </w:sdtPr>
              <w:sdtContent>
                <w:p>
                  <w:pPr>
                    <w:ind w:firstLine="567"/>
                    <w:jc w:val="both"/>
                    <w:rPr>
                      <w:bCs/>
                      <w:color w:val="000000"/>
                      <w:szCs w:val="24"/>
                      <w:lang w:eastAsia="lt-LT"/>
                    </w:rPr>
                  </w:pPr>
                  <w:sdt>
                    <w:sdtPr>
                      <w:alias w:val="Numeris"/>
                      <w:tag w:val="nr_c9fbb6b1cf8944adb25bad73670ee0a2"/>
                      <w:lock w:val="sdtLocked"/>
                      <w:richText/>
                    </w:sdtPr>
                    <w:sdtContent>
                      <w:r>
                        <w:rPr>
                          <w:bCs/>
                          <w:color w:val="000000"/>
                          <w:szCs w:val="24"/>
                          <w:lang w:eastAsia="lt-LT"/>
                        </w:rPr>
                        <w:t>4.2</w:t>
                      </w:r>
                    </w:sdtContent>
                  </w:sdt>
                  <w:r>
                    <w:rPr>
                      <w:bCs/>
                      <w:color w:val="000000"/>
                      <w:szCs w:val="24"/>
                      <w:lang w:eastAsia="lt-LT"/>
                    </w:rPr>
                    <w:t>. aukštosios mokyklos savo nustatyta tvarka atrenka švietimo, mokslo ir sporto ministro patvirtintų studijų krypčių ar jų grupių pedagoginių gretutinių studijų studentus, kurių paskutinio vertinamojo laikotarpio studijų rezultatų vidurkis yra geriausias, galinčius pretenduoti į paramą, ir priima pedagoginių studijų studentų ir pedagoginių gretutinių studijų studentų prašymus skirti paramą pagal Fondo patvirtintą formą, sudaro pedagoginių studijų studentų ir pedagoginių gretutinių studijų studentų, kuriems gali būti skirta parama, sąrašus, išmoka paramą pedagoginių studijų studentams ir pedagoginių gretutinių studijų studentams šiame apraše nustatyta tvarka ir atsiskaito Fondui už joms pervestas lėšas.</w:t>
                  </w:r>
                </w:p>
              </w:sdtContent>
            </w:sdt>
          </w:sdtContent>
        </w:sdt>
        <w:sdt>
          <w:sdtPr>
            <w:alias w:val="5 p."/>
            <w:tag w:val="part_25962aa4570542548f9cf2d7e442ac35"/>
            <w:lock w:val="sdtLocked"/>
            <w:richText/>
          </w:sdtPr>
          <w:sdtContent>
            <w:p>
              <w:pPr>
                <w:ind w:firstLine="567"/>
                <w:jc w:val="both"/>
                <w:rPr>
                  <w:bCs/>
                  <w:color w:val="000000"/>
                  <w:szCs w:val="24"/>
                </w:rPr>
              </w:pPr>
              <w:sdt>
                <w:sdtPr>
                  <w:alias w:val="Numeris"/>
                  <w:tag w:val="nr_25962aa4570542548f9cf2d7e442ac35"/>
                  <w:lock w:val="sdtLocked"/>
                  <w:richText/>
                </w:sdtPr>
                <w:sdtContent>
                  <w:r>
                    <w:rPr>
                      <w:bCs/>
                      <w:color w:val="000000"/>
                      <w:szCs w:val="24"/>
                    </w:rPr>
                    <w:t>5</w:t>
                  </w:r>
                </w:sdtContent>
              </w:sdt>
              <w:r>
                <w:rPr>
                  <w:bCs/>
                  <w:color w:val="000000"/>
                  <w:szCs w:val="24"/>
                </w:rPr>
                <w:t>. Lėšas, skirtas einamaisiais metais priimtiems studijuoti pedagoginių studijų studentams ir pradėjusiems studijuoti pedagoginių gretutinių studijų modulį pedagoginių gretutinių studijų studentams skirtai paramai, Lietuvos Respublikos švietimo, mokslo ir sporto ministerija skiria Fondui paskutiniams keturiems einamųjų metų mėnesiams, vėlesniais metais – šiems ir aukštesnių kursų studentams skirtai paramai, – iš Švietimo, mokslo ir sporto ministerijos nustatytų asignavimų Fondui šiam tikslui skirtų Lietuvos Respublikos valstybės biudžeto lėšų.</w:t>
              </w:r>
            </w:p>
          </w:sdtContent>
        </w:sdt>
        <w:sdt>
          <w:sdtPr>
            <w:alias w:val="6 p."/>
            <w:tag w:val="part_31c04780f3c743e883b6eda869495902"/>
            <w:lock w:val="sdtLocked"/>
            <w:richText/>
          </w:sdtPr>
          <w:sdtContent>
            <w:p>
              <w:pPr>
                <w:ind w:firstLine="567"/>
                <w:jc w:val="both"/>
                <w:rPr>
                  <w:bCs/>
                  <w:color w:val="000000"/>
                  <w:szCs w:val="24"/>
                </w:rPr>
              </w:pPr>
              <w:sdt>
                <w:sdtPr>
                  <w:alias w:val="Numeris"/>
                  <w:tag w:val="nr_31c04780f3c743e883b6eda869495902"/>
                  <w:lock w:val="sdtLocked"/>
                  <w:richText/>
                </w:sdtPr>
                <w:sdtContent>
                  <w:r>
                    <w:rPr>
                      <w:bCs/>
                      <w:color w:val="000000"/>
                      <w:szCs w:val="24"/>
                    </w:rPr>
                    <w:t>6</w:t>
                  </w:r>
                </w:sdtContent>
              </w:sdt>
              <w:r>
                <w:rPr>
                  <w:bCs/>
                  <w:color w:val="000000"/>
                  <w:szCs w:val="24"/>
                </w:rPr>
                <w:t>. Aukštosios mokyklos savo nustatyta tvarka ir terminais priima einamaisiais studijų metais į aukštąsias mokyklas įstojusių pedagoginių studijų studentų ir pedagoginių gretutinių studijų studentų, pradėjusių studijuoti pedagoginių gretutinių studijų modulį, Fondo nustatytos formos prašymus skirti paramą ir iki einamųjų metų rugsėjo 30 dienos sudaro ir pateikia Fondui pedagoginių studijų studentų ir pedagoginių gretutinių studijų studentų, kuriems skiriama parama, sąrašus.</w:t>
              </w:r>
            </w:p>
          </w:sdtContent>
        </w:sdt>
        <w:sdt>
          <w:sdtPr>
            <w:alias w:val="7 p."/>
            <w:tag w:val="part_dfcde532b73143babac0343b5e6704d6"/>
            <w:lock w:val="sdtLocked"/>
            <w:richText/>
          </w:sdtPr>
          <w:sdtContent>
            <w:p>
              <w:pPr>
                <w:ind w:firstLine="567"/>
                <w:jc w:val="both"/>
                <w:rPr>
                  <w:bCs/>
                  <w:color w:val="000000"/>
                  <w:szCs w:val="24"/>
                </w:rPr>
              </w:pPr>
              <w:sdt>
                <w:sdtPr>
                  <w:alias w:val="Numeris"/>
                  <w:tag w:val="nr_dfcde532b73143babac0343b5e6704d6"/>
                  <w:lock w:val="sdtLocked"/>
                  <w:richText/>
                </w:sdtPr>
                <w:sdtContent>
                  <w:r>
                    <w:rPr>
                      <w:bCs/>
                      <w:color w:val="000000"/>
                      <w:szCs w:val="24"/>
                    </w:rPr>
                    <w:t>7</w:t>
                  </w:r>
                </w:sdtContent>
              </w:sdt>
              <w:r>
                <w:rPr>
                  <w:bCs/>
                  <w:color w:val="000000"/>
                  <w:szCs w:val="24"/>
                </w:rPr>
                <w:t xml:space="preserve">. Pedagoginių studijų studentų ir pedagoginių gretutinių studijų studentų, kuriems skiriama parama, sąrašuose nurodoma: studento vardas, pavardė, asmens kodas, priėmimo metai, studijų kryptis, studijų programos pavadinimas ir valstybinis kodas, patvirtinimas, kad studentas studijuoja valstybės finansuojamoje studijų vietoje, kad studentas studijuoja pedagoginių gretutinių studijų modulį (jeigu studijuoja pagal pirmosios pakopos ne pedagoginių studijų programą), nėra išėjęs akademinių atostogų ir neturi akademinių skolų, studento studijų pradžios ir pabaigos datos bei paramai mokėti visam studijų laikotarpiui apskaičiuota suma. </w:t>
              </w:r>
            </w:p>
          </w:sdtContent>
        </w:sdt>
        <w:sdt>
          <w:sdtPr>
            <w:alias w:val="8 p."/>
            <w:tag w:val="part_cb1bcafc982543129799315d712311dd"/>
            <w:lock w:val="sdtLocked"/>
            <w:richText/>
          </w:sdtPr>
          <w:sdtContent>
            <w:p>
              <w:pPr>
                <w:ind w:firstLine="567"/>
                <w:jc w:val="both"/>
                <w:rPr>
                  <w:bCs/>
                  <w:color w:val="000000"/>
                  <w:szCs w:val="24"/>
                </w:rPr>
              </w:pPr>
              <w:sdt>
                <w:sdtPr>
                  <w:alias w:val="Numeris"/>
                  <w:tag w:val="nr_cb1bcafc982543129799315d712311dd"/>
                  <w:lock w:val="sdtLocked"/>
                  <w:richText/>
                </w:sdt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tvarka bei terminai.</w:t>
              </w:r>
            </w:p>
          </w:sdtContent>
        </w:sdt>
        <w:sdt>
          <w:sdtPr>
            <w:alias w:val="9 p."/>
            <w:tag w:val="part_505b5cb111e342f098672c3e69068150"/>
            <w:lock w:val="sdtLocked"/>
            <w:richText/>
          </w:sdtPr>
          <w:sdtContent>
            <w:p>
              <w:pPr>
                <w:ind w:firstLine="567"/>
                <w:jc w:val="both"/>
                <w:rPr>
                  <w:bCs/>
                  <w:color w:val="000000"/>
                  <w:szCs w:val="24"/>
                </w:rPr>
              </w:pPr>
              <w:sdt>
                <w:sdtPr>
                  <w:alias w:val="Numeris"/>
                  <w:tag w:val="nr_505b5cb111e342f098672c3e69068150"/>
                  <w:lock w:val="sdtLocked"/>
                  <w:richText/>
                </w:sdt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pedagoginių studijų studentas arba pedagoginių gretutinių studijų studentas pakeičia studijų formą ir nustatoma ilgesnė jo studijų trukmė, aukštoji mokykla per 10 darbo dienų nuo studento įtraukimo į sąrašą ar studijų formos pakeitimo pateikia Fondui patikslintą pedagoginių studijų studentų ir pedagoginių gretutinių studijų studentų, kuriems skiriama parama, sąrašą, o Fondas per 10 darbo dienų nuo patikslinto sąrašo gavimo patikslina aukštajai mokyklai skiriamą lėšų sumą bei pasirašo su aukštąja mokykla lėšų naudojimo sutarties pakeitimą.</w:t>
              </w:r>
            </w:p>
          </w:sdtContent>
        </w:sdt>
        <w:sdt>
          <w:sdtPr>
            <w:alias w:val="10 p."/>
            <w:tag w:val="part_6eeb27c106594e8b9d7052c24b5d970d"/>
            <w:lock w:val="sdtLocked"/>
            <w:richText/>
          </w:sdtPr>
          <w:sdtContent>
            <w:p>
              <w:pPr>
                <w:ind w:firstLine="567"/>
                <w:jc w:val="both"/>
                <w:rPr>
                  <w:bCs/>
                  <w:color w:val="000000"/>
                  <w:szCs w:val="24"/>
                </w:rPr>
              </w:pPr>
              <w:sdt>
                <w:sdtPr>
                  <w:alias w:val="Numeris"/>
                  <w:tag w:val="nr_6eeb27c106594e8b9d7052c24b5d970d"/>
                  <w:lock w:val="sdtLocked"/>
                  <w:richText/>
                </w:sdtPr>
                <w:sdtContent>
                  <w:r>
                    <w:rPr>
                      <w:bCs/>
                      <w:color w:val="000000"/>
                      <w:szCs w:val="24"/>
                    </w:rPr>
                    <w:t>10</w:t>
                  </w:r>
                </w:sdtContent>
              </w:sdt>
              <w:r>
                <w:rPr>
                  <w:bCs/>
                  <w:color w:val="000000"/>
                  <w:szCs w:val="24"/>
                </w:rPr>
                <w:t>. Parama skiriama visam studijų laikotarpiui, įskaitant atostogas (išskyrus akademines atostogas), ir mokama ne ilgiau kaip iki studijų pabaigos. Jei asmens studijos prasideda po einamojo mėnesio 15 d. arba baigiasi iki einamojo mėnesio 15 d., parama už tą mėnesį nemokama.</w:t>
              </w:r>
            </w:p>
          </w:sdtContent>
        </w:sdt>
        <w:sdt>
          <w:sdtPr>
            <w:alias w:val="11 p."/>
            <w:tag w:val="part_a1fd69629deb4537a7fef56c2a07b9a5"/>
            <w:lock w:val="sdtLocked"/>
            <w:richText/>
          </w:sdtPr>
          <w:sdtContent>
            <w:p>
              <w:pPr>
                <w:ind w:firstLine="567"/>
                <w:jc w:val="both"/>
                <w:rPr>
                  <w:bCs/>
                  <w:color w:val="000000"/>
                  <w:szCs w:val="24"/>
                  <w:lang w:eastAsia="lt-LT"/>
                </w:rPr>
              </w:pPr>
              <w:sdt>
                <w:sdtPr>
                  <w:alias w:val="Numeris"/>
                  <w:tag w:val="nr_a1fd69629deb4537a7fef56c2a07b9a5"/>
                  <w:lock w:val="sdtLocked"/>
                  <w:richText/>
                </w:sdtPr>
                <w:sdtContent>
                  <w:r>
                    <w:rPr>
                      <w:bCs/>
                      <w:color w:val="000000"/>
                      <w:szCs w:val="24"/>
                      <w:lang w:eastAsia="lt-LT"/>
                    </w:rPr>
                    <w:t>11</w:t>
                  </w:r>
                </w:sdtContent>
              </w:sdt>
              <w:r>
                <w:rPr>
                  <w:bCs/>
                  <w:color w:val="000000"/>
                  <w:szCs w:val="24"/>
                  <w:lang w:eastAsia="lt-LT"/>
                </w:rPr>
                <w:t xml:space="preserve">. Paramą pedagoginių studijų studentams ir pedagoginių gretutinių studijų studentams  aukštosios mokyklos išmoka kiekvieną mėnesį. Už einamąjį mėnesį parama išmokama iki einamojo mėnesio pabaigos, išskyrus einamųjų studijų metų pirmąjį mėnesį, kai parama išmokama ne vėliau kaip iki antrojo einamųjų studijų metų mėnesio pabaigos. </w:t>
              </w:r>
            </w:p>
          </w:sdtContent>
        </w:sdt>
        <w:sdt>
          <w:sdtPr>
            <w:alias w:val="12 p."/>
            <w:tag w:val="part_dbf1c5583050419dae2bfc413526bbbd"/>
            <w:lock w:val="sdtLocked"/>
            <w:richText/>
          </w:sdtPr>
          <w:sdtContent>
            <w:p>
              <w:pPr>
                <w:ind w:firstLine="567"/>
                <w:jc w:val="both"/>
                <w:rPr>
                  <w:bCs/>
                  <w:color w:val="000000"/>
                  <w:szCs w:val="24"/>
                  <w:lang w:eastAsia="lt-LT"/>
                </w:rPr>
              </w:pPr>
              <w:sdt>
                <w:sdtPr>
                  <w:alias w:val="Numeris"/>
                  <w:tag w:val="nr_dbf1c5583050419dae2bfc413526bbbd"/>
                  <w:lock w:val="sdtLocked"/>
                  <w:richText/>
                </w:sdtPr>
                <w:sdtContent>
                  <w:r>
                    <w:rPr>
                      <w:bCs/>
                      <w:color w:val="000000"/>
                      <w:szCs w:val="24"/>
                      <w:lang w:eastAsia="lt-LT"/>
                    </w:rPr>
                    <w:t>12</w:t>
                  </w:r>
                </w:sdtContent>
              </w:sdt>
              <w:r>
                <w:rPr>
                  <w:bCs/>
                  <w:color w:val="000000"/>
                  <w:szCs w:val="24"/>
                  <w:lang w:eastAsia="lt-LT"/>
                </w:rPr>
                <w:t xml:space="preserve">. Paramos mokėjimą aukštoji mokykla nutraukia, pedagoginių studijų studentui arba pedagoginių gretutinių studijų studentui nutraukus studijas anksčiau numatytos studijų pabaigos datos. </w:t>
              </w:r>
            </w:p>
          </w:sdtContent>
        </w:sdt>
        <w:sdt>
          <w:sdtPr>
            <w:alias w:val="13 p."/>
            <w:tag w:val="part_96dbe1b236c043968774f970022515fe"/>
            <w:lock w:val="sdtLocked"/>
            <w:richText/>
          </w:sdtPr>
          <w:sdtContent>
            <w:p>
              <w:pPr>
                <w:ind w:firstLine="567"/>
                <w:jc w:val="both"/>
                <w:rPr>
                  <w:bCs/>
                  <w:color w:val="000000"/>
                  <w:szCs w:val="24"/>
                  <w:lang w:eastAsia="lt-LT"/>
                </w:rPr>
              </w:pPr>
              <w:sdt>
                <w:sdtPr>
                  <w:alias w:val="Numeris"/>
                  <w:tag w:val="nr_96dbe1b236c043968774f970022515fe"/>
                  <w:lock w:val="sdtLocked"/>
                  <w:richText/>
                </w:sdt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65412f1def7f4dcc9c7f8ecc6f7816c6"/>
                <w:lock w:val="sdtLocked"/>
                <w:richText/>
              </w:sdtPr>
              <w:sdtContent>
                <w:p>
                  <w:pPr>
                    <w:ind w:firstLine="567"/>
                    <w:jc w:val="both"/>
                    <w:rPr>
                      <w:bCs/>
                      <w:color w:val="000000"/>
                      <w:szCs w:val="24"/>
                      <w:lang w:eastAsia="lt-LT"/>
                    </w:rPr>
                  </w:pPr>
                  <w:sdt>
                    <w:sdtPr>
                      <w:alias w:val="Numeris"/>
                      <w:tag w:val="nr_65412f1def7f4dcc9c7f8ecc6f7816c6"/>
                      <w:lock w:val="sdtLocked"/>
                      <w:richText/>
                    </w:sdt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c31e3b31590d49569bf2c3960cafdaf2"/>
                <w:lock w:val="sdtLocked"/>
                <w:richText/>
              </w:sdtPr>
              <w:sdtContent>
                <w:p>
                  <w:pPr>
                    <w:ind w:firstLine="567"/>
                    <w:jc w:val="both"/>
                    <w:rPr>
                      <w:bCs/>
                      <w:color w:val="000000"/>
                      <w:szCs w:val="24"/>
                      <w:lang w:eastAsia="lt-LT"/>
                    </w:rPr>
                  </w:pPr>
                  <w:sdt>
                    <w:sdtPr>
                      <w:alias w:val="Numeris"/>
                      <w:tag w:val="nr_c31e3b31590d49569bf2c3960cafdaf2"/>
                      <w:lock w:val="sdtLocked"/>
                      <w:richText/>
                    </w:sdtPr>
                    <w:sdtContent>
                      <w:r>
                        <w:rPr>
                          <w:bCs/>
                          <w:color w:val="000000"/>
                          <w:szCs w:val="24"/>
                          <w:lang w:eastAsia="lt-LT"/>
                        </w:rPr>
                        <w:t>13.2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a397d4cd6ac48309a14347dce8eda48"/>
            <w:lock w:val="sdtLocked"/>
            <w:richText/>
          </w:sdtPr>
          <w:sdtContent>
            <w:p>
              <w:pPr>
                <w:ind w:firstLine="567"/>
                <w:jc w:val="both"/>
                <w:rPr>
                  <w:bCs/>
                  <w:color w:val="000000"/>
                  <w:szCs w:val="24"/>
                  <w:lang w:eastAsia="lt-LT"/>
                </w:rPr>
              </w:pPr>
              <w:sdt>
                <w:sdtPr>
                  <w:alias w:val="Numeris"/>
                  <w:tag w:val="nr_6a397d4cd6ac48309a14347dce8eda48"/>
                  <w:lock w:val="sdtLocked"/>
                  <w:richText/>
                </w:sdt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jei po einamojo mėnesio 15 dienos, parama už einamąjį mėnesį išmokama.</w:t>
              </w:r>
            </w:p>
          </w:sdtContent>
        </w:sdt>
        <w:sdt>
          <w:sdtPr>
            <w:alias w:val="15 p."/>
            <w:tag w:val="part_4837bb3304ad42dd8a61c7b8a0512de3"/>
            <w:lock w:val="sdtLocked"/>
            <w:richText/>
          </w:sdtPr>
          <w:sdtContent>
            <w:p>
              <w:pPr>
                <w:ind w:firstLine="567"/>
                <w:jc w:val="both"/>
                <w:rPr>
                  <w:bCs/>
                  <w:color w:val="000000"/>
                  <w:szCs w:val="24"/>
                  <w:lang w:eastAsia="lt-LT"/>
                </w:rPr>
              </w:pPr>
              <w:sdt>
                <w:sdtPr>
                  <w:alias w:val="Numeris"/>
                  <w:tag w:val="nr_4837bb3304ad42dd8a61c7b8a0512de3"/>
                  <w:lock w:val="sdtLocked"/>
                  <w:richText/>
                </w:sdtPr>
                <w:sdtContent>
                  <w:r>
                    <w:rPr>
                      <w:bCs/>
                      <w:color w:val="000000"/>
                      <w:szCs w:val="24"/>
                      <w:lang w:eastAsia="lt-LT"/>
                    </w:rPr>
                    <w:t>15</w:t>
                  </w:r>
                </w:sdtContent>
              </w:sdt>
              <w:r>
                <w:rPr>
                  <w:bCs/>
                  <w:color w:val="000000"/>
                  <w:szCs w:val="24"/>
                  <w:lang w:eastAsia="lt-LT"/>
                </w:rPr>
                <w:t xml:space="preserve">. Paramos mokėjimas atnaujinamas, išnykus šio aprašo 13 punkte nurodytoms aplinkybėms: jei nurodytos aplinkybės išnyksta iki einamojo mėnesio 15 dienos, paramos mokėjimą aukštoji mokykla atnaujina nuo einamojo mėnesio, jei po einamojo mėnesio 15 dienos, paramos mokėjimą aukštoji mokykla atnaujina nuo kito mėnesio. </w:t>
              </w:r>
            </w:p>
          </w:sdtContent>
        </w:sdt>
        <w:sdt>
          <w:sdtPr>
            <w:alias w:val="16 p."/>
            <w:tag w:val="part_9a6851bfbd6c4e5fb65f2140ee572b2b"/>
            <w:lock w:val="sdtLocked"/>
            <w:richText/>
          </w:sdtPr>
          <w:sdtContent>
            <w:p>
              <w:pPr>
                <w:ind w:firstLine="567"/>
                <w:jc w:val="both"/>
                <w:rPr>
                  <w:bCs/>
                  <w:color w:val="000000"/>
                  <w:szCs w:val="24"/>
                  <w:lang w:eastAsia="lt-LT"/>
                </w:rPr>
              </w:pPr>
              <w:sdt>
                <w:sdtPr>
                  <w:alias w:val="Numeris"/>
                  <w:tag w:val="nr_9a6851bfbd6c4e5fb65f2140ee572b2b"/>
                  <w:lock w:val="sdtLocked"/>
                  <w:richText/>
                </w:sdtPr>
                <w:sdtContent>
                  <w:r>
                    <w:rPr>
                      <w:bCs/>
                      <w:color w:val="000000"/>
                      <w:szCs w:val="24"/>
                      <w:lang w:eastAsia="lt-LT"/>
                    </w:rPr>
                    <w:t>16</w:t>
                  </w:r>
                </w:sdtContent>
              </w:sdt>
              <w:r>
                <w:rPr>
                  <w:bCs/>
                  <w:color w:val="000000"/>
                  <w:szCs w:val="24"/>
                  <w:lang w:eastAsia="lt-LT"/>
                </w:rPr>
                <w:t xml:space="preserve">. Parama mokama vieną kartą už vieną studijų laikotarpį. Jei pedagoginių studijų studentas arba pedagoginių gretutinių studijų studentas pakartotinai studijuoja tame pačiame semestre, parama jam nemokama tiek mėnesių, kiek jis gavo paramą tą semestrą ankstesnių studijų metu. </w:t>
              </w:r>
            </w:p>
          </w:sdtContent>
        </w:sdt>
        <w:sdt>
          <w:sdtPr>
            <w:alias w:val="17 p."/>
            <w:tag w:val="part_3ff50c4e9f8c4c1aba5931e6e28a5009"/>
            <w:lock w:val="sdtLocked"/>
            <w:richText/>
          </w:sdtPr>
          <w:sdtContent>
            <w:p>
              <w:pPr>
                <w:ind w:firstLine="567"/>
                <w:jc w:val="both"/>
                <w:rPr>
                  <w:bCs/>
                  <w:color w:val="000000"/>
                  <w:szCs w:val="24"/>
                  <w:lang w:eastAsia="lt-LT"/>
                </w:rPr>
              </w:pPr>
              <w:sdt>
                <w:sdtPr>
                  <w:alias w:val="Numeris"/>
                  <w:tag w:val="nr_3ff50c4e9f8c4c1aba5931e6e28a5009"/>
                  <w:lock w:val="sdtLocked"/>
                  <w:richText/>
                </w:sdtPr>
                <w:sdtContent>
                  <w:r>
                    <w:rPr>
                      <w:bCs/>
                      <w:color w:val="000000"/>
                      <w:szCs w:val="24"/>
                      <w:lang w:eastAsia="lt-LT"/>
                    </w:rPr>
                    <w:t>17</w:t>
                  </w:r>
                </w:sdtContent>
              </w:sdt>
              <w:r>
                <w:rPr>
                  <w:bCs/>
                  <w:color w:val="000000"/>
                  <w:szCs w:val="24"/>
                  <w:lang w:eastAsia="lt-LT"/>
                </w:rPr>
                <w:t xml:space="preserve">. Atsiskaitydama už paramai mokėti skirtas lėšas, aukštoji mokykla pateikia Fondui lėšų naudojimo sutartyje nurodytas ataskaitas bei šiuos duomenis: ar pedagoginių studijų studentas arba pedagoginių gretutinių studijų studentas pakartotinai studijuoja tame pačiame semestre, akademinių skolų gavimo ir likvidavimo datas, akademinių atostogų pradžios ir pabaigos datas, studijų nutraukimo datą. </w:t>
              </w:r>
            </w:p>
          </w:sdtContent>
        </w:sdt>
        <w:sdt>
          <w:sdtPr>
            <w:alias w:val="18 p."/>
            <w:tag w:val="part_56959ba7c5c34cd9b41532a21898faa8"/>
            <w:lock w:val="sdtLocked"/>
            <w:richText/>
          </w:sdtPr>
          <w:sdtContent>
            <w:p>
              <w:pPr>
                <w:ind w:firstLine="567"/>
                <w:jc w:val="both"/>
                <w:rPr>
                  <w:bCs/>
                  <w:color w:val="000000"/>
                  <w:szCs w:val="24"/>
                  <w:lang w:eastAsia="lt-LT"/>
                </w:rPr>
              </w:pPr>
              <w:sdt>
                <w:sdtPr>
                  <w:alias w:val="Numeris"/>
                  <w:tag w:val="nr_56959ba7c5c34cd9b41532a21898faa8"/>
                  <w:lock w:val="sdtLocked"/>
                  <w:richText/>
                </w:sdt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f3b35ac210b54500b401fc5046c91aaa"/>
            <w:lock w:val="sdtLocked"/>
            <w:richText/>
          </w:sdtPr>
          <w:sdtContent>
            <w:p>
              <w:pPr>
                <w:ind w:firstLine="567"/>
                <w:jc w:val="both"/>
                <w:rPr>
                  <w:bCs/>
                  <w:color w:val="000000"/>
                  <w:szCs w:val="24"/>
                  <w:lang w:eastAsia="lt-LT"/>
                </w:rPr>
              </w:pPr>
              <w:sdt>
                <w:sdtPr>
                  <w:alias w:val="Numeris"/>
                  <w:tag w:val="nr_f3b35ac210b54500b401fc5046c91aaa"/>
                  <w:lock w:val="sdtLocked"/>
                  <w:richText/>
                </w:sdt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alias w:val="pabaiga"/>
            <w:tag w:val="part_80b08de01e294d7c81553545a137d3ac"/>
            <w:lock w:val="sdtLocked"/>
            <w:richText/>
          </w:sdtPr>
          <w:sdtContent>
            <w:p>
              <w:pPr>
                <w:spacing w:line="276" w:lineRule="auto"/>
                <w:ind w:firstLine="567"/>
                <w:jc w:val="center"/>
              </w:pPr>
              <w:r>
                <w:rPr>
                  <w:bCs/>
                  <w:color w:val="000000"/>
                  <w:szCs w:val="24"/>
                  <w:lang w:eastAsia="lt-LT"/>
                </w:rPr>
                <w:t>______________________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patvirtinta"/>
        <w:tag w:val="part_a3057d5f4823409f8695175f330c7b88"/>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a3057d5f4823409f8695175f330c7b88"/>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5ec18ad8240f410b8eada62e32a1a17f"/>
        <w:lock w:val="sdtLocked"/>
        <w:richText/>
      </w:sdtPr>
      <w:sdtContent>
        <w:p>
          <w:pPr>
            <w:ind w:left="5245"/>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5ec18ad8240f410b8eada62e32a1a17f"/>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781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8177"/>
    <o:shapelayout v:ext="edit">
      <o:idmap v:ext="edit" data="1"/>
    </o:shapelayout>
  </w:shapeDefaults>
  <w:decimalSymbol w:val=","/>
  <w:listSeparator w:val=";"/>
  <w14:docId w14:val="3DDA3DB3"/>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97.xml"/>
  <Relationship Id="rId16" Type="http://schemas.openxmlformats.org/officeDocument/2006/relationships/header" Target="header98.xml"/>
  <Relationship Id="rId17" Type="http://schemas.openxmlformats.org/officeDocument/2006/relationships/footer" Target="footer97.xml"/>
  <Relationship Id="rId18" Type="http://schemas.openxmlformats.org/officeDocument/2006/relationships/footer" Target="footer98.xml"/>
  <Relationship Id="rId19" Type="http://schemas.openxmlformats.org/officeDocument/2006/relationships/header" Target="header99.xml"/>
  <Relationship Id="rId2" Type="http://schemas.openxmlformats.org/officeDocument/2006/relationships/header" Target="header68.xml"/>
  <Relationship Id="rId20" Type="http://schemas.openxmlformats.org/officeDocument/2006/relationships/footer" Target="footer99.xml"/>
  <Relationship Id="rId21" Type="http://schemas.openxmlformats.org/officeDocument/2006/relationships/header" Target="header103.xml"/>
  <Relationship Id="rId22" Type="http://schemas.openxmlformats.org/officeDocument/2006/relationships/header" Target="header104.xml"/>
  <Relationship Id="rId23" Type="http://schemas.openxmlformats.org/officeDocument/2006/relationships/footer" Target="footer103.xml"/>
  <Relationship Id="rId24" Type="http://schemas.openxmlformats.org/officeDocument/2006/relationships/footer" Target="footer104.xml"/>
  <Relationship Id="rId25" Type="http://schemas.openxmlformats.org/officeDocument/2006/relationships/header" Target="header105.xml"/>
  <Relationship Id="rId26" Type="http://schemas.openxmlformats.org/officeDocument/2006/relationships/footer" Target="footer105.xml"/>
  <Relationship Id="rId27" Type="http://schemas.openxmlformats.org/officeDocument/2006/relationships/header" Target="header112.xml"/>
  <Relationship Id="rId28" Type="http://schemas.openxmlformats.org/officeDocument/2006/relationships/header" Target="header113.xml"/>
  <Relationship Id="rId29" Type="http://schemas.openxmlformats.org/officeDocument/2006/relationships/footer" Target="footer112.xml"/>
  <Relationship Id="rId3" Type="http://schemas.openxmlformats.org/officeDocument/2006/relationships/footer" Target="footer67.xml"/>
  <Relationship Id="rId30" Type="http://schemas.openxmlformats.org/officeDocument/2006/relationships/footer" Target="footer113.xml"/>
  <Relationship Id="rId31" Type="http://schemas.openxmlformats.org/officeDocument/2006/relationships/header" Target="header114.xml"/>
  <Relationship Id="rId32" Type="http://schemas.openxmlformats.org/officeDocument/2006/relationships/footer" Target="footer114.xml"/>
  <Relationship Id="rId33" Type="http://schemas.openxmlformats.org/officeDocument/2006/relationships/header" Target="header145.xml"/>
  <Relationship Id="rId34" Type="http://schemas.openxmlformats.org/officeDocument/2006/relationships/header" Target="header146.xml"/>
  <Relationship Id="rId35" Type="http://schemas.openxmlformats.org/officeDocument/2006/relationships/footer" Target="footer145.xml"/>
  <Relationship Id="rId36" Type="http://schemas.openxmlformats.org/officeDocument/2006/relationships/footer" Target="footer146.xml"/>
  <Relationship Id="rId37" Type="http://schemas.openxmlformats.org/officeDocument/2006/relationships/header" Target="header147.xml"/>
  <Relationship Id="rId38" Type="http://schemas.openxmlformats.org/officeDocument/2006/relationships/footer" Target="footer147.xml"/>
  <Relationship Id="rId39" Type="http://schemas.openxmlformats.org/officeDocument/2006/relationships/header" Target="header208.xml"/>
  <Relationship Id="rId4" Type="http://schemas.openxmlformats.org/officeDocument/2006/relationships/footer" Target="footer68.xml"/>
  <Relationship Id="rId40" Type="http://schemas.openxmlformats.org/officeDocument/2006/relationships/header" Target="header209.xml"/>
  <Relationship Id="rId41" Type="http://schemas.openxmlformats.org/officeDocument/2006/relationships/footer" Target="footer208.xml"/>
  <Relationship Id="rId42" Type="http://schemas.openxmlformats.org/officeDocument/2006/relationships/footer" Target="footer209.xml"/>
  <Relationship Id="rId43" Type="http://schemas.openxmlformats.org/officeDocument/2006/relationships/header" Target="header210.xml"/>
  <Relationship Id="rId44" Type="http://schemas.openxmlformats.org/officeDocument/2006/relationships/footer" Target="footer210.xml"/>
  <Relationship Id="rId45" Type="http://schemas.openxmlformats.org/officeDocument/2006/relationships/header" Target="header238.xml"/>
  <Relationship Id="rId46" Type="http://schemas.openxmlformats.org/officeDocument/2006/relationships/header" Target="header239.xml"/>
  <Relationship Id="rId47" Type="http://schemas.openxmlformats.org/officeDocument/2006/relationships/footer" Target="footer238.xml"/>
  <Relationship Id="rId48" Type="http://schemas.openxmlformats.org/officeDocument/2006/relationships/footer" Target="footer239.xml"/>
  <Relationship Id="rId49" Type="http://schemas.openxmlformats.org/officeDocument/2006/relationships/header" Target="header240.xml"/>
  <Relationship Id="rId5" Type="http://schemas.openxmlformats.org/officeDocument/2006/relationships/header" Target="header69.xml"/>
  <Relationship Id="rId50" Type="http://schemas.openxmlformats.org/officeDocument/2006/relationships/footer" Target="footer240.xml"/>
  <Relationship Id="rId51" Type="http://schemas.openxmlformats.org/officeDocument/2006/relationships/header" Target="header283.xml"/>
  <Relationship Id="rId52" Type="http://schemas.openxmlformats.org/officeDocument/2006/relationships/header" Target="header284.xml"/>
  <Relationship Id="rId53" Type="http://schemas.openxmlformats.org/officeDocument/2006/relationships/footer" Target="footer283.xml"/>
  <Relationship Id="rId54" Type="http://schemas.openxmlformats.org/officeDocument/2006/relationships/footer" Target="footer284.xml"/>
  <Relationship Id="rId55" Type="http://schemas.openxmlformats.org/officeDocument/2006/relationships/header" Target="header285.xml"/>
  <Relationship Id="rId56" Type="http://schemas.openxmlformats.org/officeDocument/2006/relationships/footer" Target="footer285.xml"/>
  <Relationship Id="rId57" Type="http://schemas.openxmlformats.org/officeDocument/2006/relationships/header" Target="header306.xml"/>
  <Relationship Id="rId58" Type="http://schemas.openxmlformats.org/officeDocument/2006/relationships/header" Target="header307.xml"/>
  <Relationship Id="rId59" Type="http://schemas.openxmlformats.org/officeDocument/2006/relationships/footer" Target="footer316.xml"/>
  <Relationship Id="rId6" Type="http://schemas.openxmlformats.org/officeDocument/2006/relationships/footer" Target="footer69.xml"/>
  <Relationship Id="rId60" Type="http://schemas.openxmlformats.org/officeDocument/2006/relationships/footer" Target="footer317.xml"/>
  <Relationship Id="rId61" Type="http://schemas.openxmlformats.org/officeDocument/2006/relationships/footer" Target="footer318.xml"/>
  <Relationship Id="rId62" Type="http://schemas.openxmlformats.org/officeDocument/2006/relationships/hyperlink" TargetMode="External" Target="https://www.e-tar.lt/portal/lt/legalAct/TAR.E356C85AC1C6"/>
  <Relationship Id="rId63" Type="http://schemas.openxmlformats.org/officeDocument/2006/relationships/header" Target="header338.xml"/>
  <Relationship Id="rId64" Type="http://schemas.openxmlformats.org/officeDocument/2006/relationships/header" Target="header339.xml"/>
  <Relationship Id="rId65" Type="http://schemas.openxmlformats.org/officeDocument/2006/relationships/footer" Target="footer349.xml"/>
  <Relationship Id="rId66" Type="http://schemas.openxmlformats.org/officeDocument/2006/relationships/footer" Target="footer350.xml"/>
  <Relationship Id="rId67" Type="http://schemas.openxmlformats.org/officeDocument/2006/relationships/header" Target="header340.xml"/>
  <Relationship Id="rId68" Type="http://schemas.openxmlformats.org/officeDocument/2006/relationships/footer" Target="footer351.xml"/>
  <Relationship Id="rId69" Type="http://schemas.openxmlformats.org/officeDocument/2006/relationships/header" Target="header344.xml"/>
  <Relationship Id="rId7" Type="http://schemas.openxmlformats.org/officeDocument/2006/relationships/endnotes" Target="endnotes.xml"/>
  <Relationship Id="rId70" Type="http://schemas.openxmlformats.org/officeDocument/2006/relationships/header" Target="header360.xml"/>
  <Relationship Id="rId71" Type="http://schemas.openxmlformats.org/officeDocument/2006/relationships/header" Target="header361.xml"/>
  <Relationship Id="rId72" Type="http://schemas.openxmlformats.org/officeDocument/2006/relationships/footer" Target="footer367.xml"/>
  <Relationship Id="rId73" Type="http://schemas.openxmlformats.org/officeDocument/2006/relationships/footer" Target="footer368.xml"/>
  <Relationship Id="rId74" Type="http://schemas.openxmlformats.org/officeDocument/2006/relationships/header" Target="header362.xml"/>
  <Relationship Id="rId75" Type="http://schemas.openxmlformats.org/officeDocument/2006/relationships/footer" Target="footer369.xml"/>
  <Relationship Id="rId76" Type="http://schemas.openxmlformats.org/officeDocument/2006/relationships/header" Target="header369.xml"/>
  <Relationship Id="rId77" Type="http://schemas.openxmlformats.org/officeDocument/2006/relationships/header" Target="header370.xml"/>
  <Relationship Id="rId78" Type="http://schemas.openxmlformats.org/officeDocument/2006/relationships/footer" Target="footer376.xml"/>
  <Relationship Id="rId79" Type="http://schemas.openxmlformats.org/officeDocument/2006/relationships/footer" Target="footer377.xml"/>
  <Relationship Id="rId8" Type="http://schemas.openxmlformats.org/officeDocument/2006/relationships/fontTable" Target="fontTable.xml"/>
  <Relationship Id="rId80" Type="http://schemas.openxmlformats.org/officeDocument/2006/relationships/header" Target="header371.xml"/>
  <Relationship Id="rId81" Type="http://schemas.openxmlformats.org/officeDocument/2006/relationships/footer" Target="footer378.xml"/>
  <Relationship Id="rId82" Type="http://schemas.openxmlformats.org/officeDocument/2006/relationships/header" Target="header378.xml"/>
  <Relationship Id="rId83" Type="http://schemas.openxmlformats.org/officeDocument/2006/relationships/header" Target="header379.xml"/>
  <Relationship Id="rId84" Type="http://schemas.openxmlformats.org/officeDocument/2006/relationships/footer" Target="footer385.xml"/>
  <Relationship Id="rId85" Type="http://schemas.openxmlformats.org/officeDocument/2006/relationships/footer" Target="footer386.xml"/>
  <Relationship Id="rId86" Type="http://schemas.openxmlformats.org/officeDocument/2006/relationships/header" Target="header380.xml"/>
  <Relationship Id="rId87" Type="http://schemas.openxmlformats.org/officeDocument/2006/relationships/footer" Target="footer387.xml"/>
  <Relationship Id="rId88" Type="http://schemas.openxmlformats.org/officeDocument/2006/relationships/header" Target="header387.xml"/>
  <Relationship Id="rId89" Type="http://schemas.openxmlformats.org/officeDocument/2006/relationships/header" Target="header388.xml"/>
  <Relationship Id="rId9" Type="http://schemas.openxmlformats.org/officeDocument/2006/relationships/footnotes" Target="footnotes.xml"/>
  <Relationship Id="rId90" Type="http://schemas.openxmlformats.org/officeDocument/2006/relationships/footer" Target="footer394.xml"/>
  <Relationship Id="rId91" Type="http://schemas.openxmlformats.org/officeDocument/2006/relationships/footer" Target="footer395.xml"/>
  <Relationship Id="rId92" Type="http://schemas.openxmlformats.org/officeDocument/2006/relationships/header" Target="header389.xml"/>
  <Relationship Id="rId93" Type="http://schemas.openxmlformats.org/officeDocument/2006/relationships/footer" Target="footer396.xml"/>
  <Relationship Id="rId94"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bff2fb80e5384a5db4ac9b3ffa0fb41e"/>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b2c459fbac5417fa53a60d49eb3d7cc">
      <Part Type="papunktis" Nr="2.1" Abbr="2.1 pp." DocPartId="36c3d578e1004461b45656513fdf3e4a" PartId="4575db7aa03643e5a6c4455606ae5615"/>
      <Part Type="papunktis" Nr="2.2" Abbr="2.2 pp." DocPartId="0bf6c010e16f4dacb9451296fb664414" PartId="2edb09c30a0c4404a2ae56ec96d50c2c"/>
      <Part Type="papunktis" Nr="2.3" Abbr="2.3 pp." DocPartId="82a95bee28114db3840154201be2a646" PartId="6fafc031fd944446a0ea1e52bf7b0dde"/>
      <Part Type="papunktis" Nr="2.4" Abbr="2.4 pp." DocPartId="e8fe714386694bf7a9090763695c6de7" PartId="85752cf3a15f4f3796c63a28abf7e72c"/>
      <Part Type="papunktis" Nr="2.5" Abbr="2.5 pp." DocPartId="46a2badd214b4f7e96d3f46a468fa611" PartId="b613f8b0e69d4e28bf2eb7d4273a3877"/>
      <Part Type="papunktis" Nr="2.6" Abbr="2.6 pp." DocPartId="3419b33f5df949848bb5874c14b30f21" PartId="bb4c6ba7578d4b52895b34e472a6c7a9"/>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5e52532c6c8c451ca1f9581225cead3f"/>
      <Part Type="papunktis" Nr="3.21" Abbr="3.21 pp." DocPartId="05158a6759ef40ef8315d421c64c947e" PartId="1556e79171b242bca408662be94b263f"/>
      <Part Type="papunktis" Nr="3.22" Abbr="3.22 pp." DocPartId="62ce0dea723749e6a743b26856334f36" PartId="4aabe79725fc4820bc11ff1094091f3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2cbafcb394a4480da626e44f68820ade">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42e0ef815f574345b228b9a3b99ab622">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21830303e2564afdb2ab7c79fdcdb17e">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4e505239616e4c02bb716fccee998fc7">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b683589992a743b88b7bc03f8108fd69">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4d489dbaade4120abaac70af9b2a71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3952a1f7a2a4461197dcccf1cbe341c4">
        <Part Type="papunktis" Nr="4.1" Abbr="4.1 pp." DocPartId="954c911655a245bda92e426b12b78ab7" PartId="c522ad5d749347ccbcd8ed0bf0ed1aac"/>
        <Part Type="papunktis" Nr="4.2" Abbr="4.2 pp." DocPartId="d2d79903b43c4caa8b07ec002e25f0bb" PartId="5580a1e4425344799180affab670f7f7"/>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115aeccaa2a04a168180199af8746c9a">
        <Part Type="papunktis" Nr="8.1" Abbr="8.1 pp." DocPartId="4247020cc0fb431d9216ff84e8096db1" PartId="4bc9140cd2d441d59ffc8f0383b1c9f8"/>
        <Part Type="papunktis" Nr="8.2" Abbr="8.2 pp." DocPartId="9d04831c08f34f789fe8652b3c9818ef" PartId="5a5d994378284ffcb142fca0a3be8236"/>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2c8e50df91cb4a3e998a97e22856e24a"/>
        </Part>
      </Part>
      <Part Type="punktas" Nr="15" Abbr="15 p." DocPartId="cab1961ae7564b49abdd1adf783c0d9b" PartId="2f2f95ac10d040fcb2077a9e89b2c9c3"/>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14caa2acf6f5450fa98004cffc02a45d"/>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32180ba7f2994fdfb00d82711b051914">
        <Part Type="papunktis" Nr="23.1" Abbr="23.1 pp." DocPartId="c6fc446a47a54f968aa73ec6c85eab6c" PartId="7f61199fd2504c6ebd3d9065132573ed"/>
        <Part Type="papunktis" Nr="23.2" Abbr="23.2 pp." DocPartId="b7a15aa06cae425f87f3d1a8bc865e04" PartId="d72abd2bb6bd40fa871d10d5a2283f8f"/>
      </Part>
      <Part Type="punktas" Nr="24" Abbr="24 p." DocPartId="b76ed06f8b82450793a02d0f192038c9" PartId="2a7be4a9596c486e8b4efe48df6c8ca5"/>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67cde76b7c16471d803421e04502e4df">
        <Part Type="papunktis" Nr="29.1" Abbr="29.1 pp." DocPartId="29e64cf303dc496fbed55eb4e1b7762d" PartId="951807c20ba14b56be5d40e7949a793d"/>
        <Part Type="papunktis" Nr="29.2" Abbr="29.2 pp." DocPartId="23afbc464e574c9c9037a44a5ef0fe78" PartId="748a16660b4745dda34a8b79c33ecffe"/>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1bff4e0becf84863b49460778fd3de2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f51f087f8acc44ae94c7ed1276436cad"/>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9f787c42e20d41b6a803e11781b9c6cc">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647e9b0d344f4971b3a66e82434e6ea7">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0b2a4f3e16514fb48de302a85f4c8727">
    <Part Type="punktas" Nr="1" Abbr="1 p." DocPartId="94f6d9c4b71a4aef9bd769eeff171a09" PartId="058313d78b4740a1adfd00434cd960c9"/>
    <Part Type="punktas" Nr="2" Abbr="2 p." DocPartId="9b79c8af9d8e4d9d85da83a3dd0f60cd" PartId="cfb126f88d8649b99af77f45cfb23ce7"/>
    <Part Type="punktas" Nr="3" Abbr="3 p." DocPartId="8024af10697a4ee1a42760fcbeea8316" PartId="536b3f39457d4188bb0834654dfe55a0"/>
    <Part Type="punktas" Nr="4" Abbr="4 p." DocPartId="29d8422062f74577abc9969dc838c766" PartId="e5f1716a021f47e984f1f4d3dc0ed8cd">
      <Part Type="papunktis" Nr="4.1" Abbr="4.1 pp." DocPartId="0b71e1c33bda4f91a9d0b87af3e26c75" PartId="9164039f0c3d4b269a29f1cb43be5e4c"/>
      <Part Type="papunktis" Nr="4.2" Abbr="4.2 pp." DocPartId="3f28335ebad2468c84c0c419949a8177" PartId="c9fbb6b1cf8944adb25bad73670ee0a2"/>
    </Part>
    <Part Type="punktas" Nr="5" Abbr="5 p." DocPartId="3233dc5b3a904fcba20a29c486b1e808" PartId="25962aa4570542548f9cf2d7e442ac35"/>
    <Part Type="punktas" Nr="6" Abbr="6 p." DocPartId="f2158fbec7f3415bb860590f5bf76af7" PartId="31c04780f3c743e883b6eda869495902"/>
    <Part Type="punktas" Nr="7" Abbr="7 p." DocPartId="f0cfa0c7ccd042198dfe35c2d9d42b01" PartId="dfcde532b73143babac0343b5e6704d6"/>
    <Part Type="punktas" Nr="8" Abbr="8 p." DocPartId="229cb36962bc443d92c4d7fd425e2956" PartId="cb1bcafc982543129799315d712311dd"/>
    <Part Type="punktas" Nr="9" Abbr="9 p." DocPartId="d6966f7304ad4f818cf528f239d4ac41" PartId="505b5cb111e342f098672c3e69068150"/>
    <Part Type="punktas" Nr="10" Abbr="10 p." DocPartId="4c975bff6a8b490cb9e484a40028a04e" PartId="6eeb27c106594e8b9d7052c24b5d970d"/>
    <Part Type="punktas" Nr="11" Abbr="11 p." DocPartId="83014e5f082442ffbc8b3b62f2858041" PartId="a1fd69629deb4537a7fef56c2a07b9a5"/>
    <Part Type="punktas" Nr="12" Abbr="12 p." DocPartId="4a565b29b9ac4c79ab7b096f5580cbdf" PartId="dbf1c5583050419dae2bfc413526bbbd"/>
    <Part Type="punktas" Nr="13" Abbr="13 p." DocPartId="5cabd5065ba04306b91e5684747f9ebc" PartId="96dbe1b236c043968774f970022515fe">
      <Part Type="papunktis" Nr="13.1" Abbr="13.1 pp." DocPartId="b4d0ee03f9b8446d933e7804759ffa8c" PartId="65412f1def7f4dcc9c7f8ecc6f7816c6"/>
      <Part Type="papunktis" Nr="13.2" Abbr="13.2 pp." DocPartId="4d85405f9eef483aadc2a26042f747ef" PartId="c31e3b31590d49569bf2c3960cafdaf2"/>
    </Part>
    <Part Type="punktas" Nr="14" Abbr="14 p." DocPartId="1602f4960828492b924090d82437c04e" PartId="6a397d4cd6ac48309a14347dce8eda48"/>
    <Part Type="punktas" Nr="15" Abbr="15 p." DocPartId="721305dbab5c4b9c9019cdef12e6b942" PartId="4837bb3304ad42dd8a61c7b8a0512de3"/>
    <Part Type="punktas" Nr="16" Abbr="16 p." DocPartId="f05ab4f7d0cb47eda255c86036e895ef" PartId="9a6851bfbd6c4e5fb65f2140ee572b2b"/>
    <Part Type="punktas" Nr="17" Abbr="17 p." DocPartId="aa6fccc263b549c8ae369dd7f343fde8" PartId="3ff50c4e9f8c4c1aba5931e6e28a5009"/>
    <Part Type="punktas" Nr="18" Abbr="18 p." DocPartId="04f2df1a0b3c47afa000abc6c04fdf07" PartId="56959ba7c5c34cd9b41532a21898faa8"/>
    <Part Type="punktas" Nr="19" Abbr="19 p." DocPartId="0fe0db35edde4cbbb39e7be54b9d72db" PartId="f3b35ac210b54500b401fc5046c91aaa"/>
    <Part Type="pabaiga" DocPartId="08e7d28786bd461e8b217844ed4bdd8f" PartId="80b08de01e294d7c81553545a137d3ac"/>
  </Part>
  <Part Type="patvirtinta" Title="SOCIALINIŲ STIPENDIJŲ SKYRIMO IR ADMINISTRAVIMO TVARKOS APRAŠAS" DocPartId="fcfe15eafe854725b38456a37aa330e4" PartId="a3057d5f4823409f8695175f330c7b88">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 Type="patvirtinta" Title="VALSTYBĖS REMIAMŲ PASKOLŲ STUDENTAMS SUTEIKIMO, ADMINISTRAVIMO IR GRĄŽINIMO TVARKOS APRAŠAS" DocPartId="9226ec33aaa84ab0b830b5800bc6573e" PartId="5ec18ad8240f410b8eada62e32a1a17f">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s>
</file>

<file path=customXml/itemProps1.xml><?xml version="1.0" encoding="utf-8"?>
<ds:datastoreItem xmlns:ds="http://schemas.openxmlformats.org/officeDocument/2006/customXml" ds:itemID="{2A3AA58A-C14C-45A0-802F-8D1C031B079C}">
  <ds:schemaRefs>
    <ds:schemaRef ds:uri="http://lrs.lt/TAIS/DocParts"/>
  </ds:schemaRefs>
</ds:datastoreItem>
</file>

<file path=docProps/app.xml><?xml version="1.0" encoding="utf-8"?>
<Properties xmlns="http://schemas.openxmlformats.org/officeDocument/2006/extended-properties">
  <Template>Normal.dotm</Template>
  <TotalTime>234</TotalTime>
  <Pages>90</Pages>
  <Words>31340</Words>
  <Characters>223085</Characters>
  <Application>Microsoft Office Word</Application>
  <DocSecurity>0</DocSecurity>
  <Lines>1859</Lines>
  <Paragraphs>507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253918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JŪRĖNIENĖ Jolanta</lastModifiedBy>
  <lastPrinted>2017-03-01T07:06:00Z</lastPrinted>
  <dcterms:modified xsi:type="dcterms:W3CDTF">2024-08-13T04:32:00Z</dcterms:modified>
  <revision>66</revision>
</coreProperties>
</file>