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2bc39361f354292a47360a37397b015"/>
        <w:lock w:val="sdtLocked"/>
        <w:richText/>
      </w:sdtPr>
      <w:sdtContent>
        <w:p>
          <w:pPr>
            <w:jc w:val="both"/>
            <w:rPr>
              <w:rFonts w:ascii="Arial" w:hAnsi="Arial"/>
            </w:rPr>
          </w:pPr>
          <w:r>
            <w:rPr>
              <w:rFonts w:ascii="Arial" w:hAnsi="Arial"/>
              <w:b/>
              <w:i/>
            </w:rPr>
            <w:t>Suvestinė redakcija nuo 2019-04-17 iki 2019-05-31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rPr>
              <w:lang w:eastAsia="lt-LT"/>
            </w:rPr>
          </w:pPr>
          <w:r>
            <w:rPr>
              <w:lang w:eastAsia="lt-LT"/>
            </w:rPr>
            <w:tab/>
          </w:r>
        </w:p>
        <w:p>
          <w:pPr>
            <w:tabs>
              <w:tab w:val="center" w:pos="4566"/>
              <w:tab w:val="left" w:pos="8374"/>
            </w:tabs>
            <w:ind w:firstLine="62"/>
            <w:rPr>
              <w:lang w:eastAsia="lt-LT"/>
            </w:rPr>
          </w:pPr>
          <w:r>
            <w:rPr>
              <w:lang w:eastAsia="lt-LT"/>
            </w:rPr>
            <w:tab/>
            <w:t>2017 m. kovo 1 d. Nr. 149</w:t>
            <w:tab/>
          </w:r>
        </w:p>
        <w:p>
          <w:pPr>
            <w:tabs>
              <w:tab w:val="center" w:pos="4535"/>
              <w:tab w:val="left" w:pos="7560"/>
            </w:tabs>
            <w:rPr>
              <w:lang w:eastAsia="lt-LT"/>
            </w:rPr>
          </w:pPr>
          <w:r>
            <w:rPr>
              <w:lang w:eastAsia="lt-LT"/>
            </w:rPr>
            <w:tab/>
            <w:t>Vilnius</w:t>
            <w:tab/>
          </w:r>
        </w:p>
        <w:p>
          <w:pPr>
            <w:jc w:val="center"/>
            <w:rPr>
              <w:lang w:eastAsia="lt-LT"/>
            </w:rPr>
          </w:pPr>
        </w:p>
        <w:p>
          <w:pPr>
            <w:jc w:val="center"/>
            <w:rPr>
              <w:lang w:eastAsia="lt-LT"/>
            </w:rPr>
          </w:pPr>
        </w:p>
        <w:sdt>
          <w:sdtPr>
            <w:alias w:val="preambule"/>
            <w:tag w:val="part_75756db7e41449de81e2a920ba448146"/>
            <w:lock w:val="sdtLocked"/>
            <w:richText/>
          </w:sdtPr>
          <w:sdtContent>
            <w:p>
              <w:pPr>
                <w:ind w:firstLine="720"/>
                <w:jc w:val="both"/>
              </w:pPr>
              <w:r>
                <w:rPr>
                  <w:szCs w:val="24"/>
                  <w:lang w:eastAsia="lt-LT"/>
                </w:rPr>
                <w:t>Vadovaudamasi Lietuvos Respublikos mokslo ir studijų įstatymo 42 straipsnio 1 dalimi, 44 straipsnio 1 dalimi, 52 straipsnio 10 dalimi, 53 straipsnio 8, 13 dalimis, 54 straipsnio 3 dalimi, 75 straipsnio 2, 3, 4 dalimis, 77 straipsnio 7, 13, 14 dalimis, 79 straipsnio 1 dalimi, 82 straipsnio 4, 5, 51 dalimis ir 83 straipsnio 4, 6 dalimis,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4d0c8beef209458b996511ef73934994"/>
                <w:lock w:val="sdtLocked"/>
                <w:richText/>
              </w:sdtPr>
              <w:sdtContent>
                <w:p>
                  <w:pPr>
                    <w:ind w:firstLine="720"/>
                    <w:jc w:val="both"/>
                  </w:pPr>
                  <w:sdt>
                    <w:sdtPr>
                      <w:alias w:val="Numeris"/>
                      <w:tag w:val="nr_4d0c8beef209458b996511ef73934994"/>
                      <w:lock w:val="sdtLocked"/>
                      <w:richText/>
                    </w:sdtPr>
                    <w:sdtContent>
                      <w:r>
                        <w:rPr>
                          <w:szCs w:val="24"/>
                          <w:lang w:eastAsia="lt-LT"/>
                        </w:rPr>
                        <w:t>3.13</w:t>
                      </w:r>
                    </w:sdtContent>
                  </w:sdt>
                  <w:r>
                    <w:rPr>
                      <w:szCs w:val="24"/>
                      <w:lang w:eastAsia="lt-LT"/>
                    </w:rPr>
                    <w:t>. Paramos studijoms teikimo doktorantams ir studentams, studijuojantiems pagal profesines studijų programas,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9d1e021617de4e768fafe6ea2795a76f"/>
                <w:lock w:val="sdtLocked"/>
                <w:richText/>
              </w:sdtPr>
              <w:sdtContent>
                <w:p>
                  <w:pPr>
                    <w:ind w:firstLine="720"/>
                    <w:jc w:val="both"/>
                  </w:pPr>
                  <w:sdt>
                    <w:sdtPr>
                      <w:alias w:val="Numeris"/>
                      <w:tag w:val="nr_9d1e021617de4e768fafe6ea2795a76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1063df25e26942fab8e78dbe97a180e6"/>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1063df25e26942fab8e78dbe97a180e6"/>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712af457c7b3482c88d789369da8ddd8"/>
                    <w:lock w:val="sdtLocked"/>
                    <w:richText/>
                  </w:sdtPr>
                  <w:sdtContent>
                    <w:p>
                      <w:pPr>
                        <w:spacing w:line="360" w:lineRule="auto"/>
                        <w:ind w:firstLine="720"/>
                        <w:jc w:val="both"/>
                        <w:rPr>
                          <w:lang w:eastAsia="lt-LT"/>
                        </w:rPr>
                      </w:pPr>
                      <w:sdt>
                        <w:sdtPr>
                          <w:alias w:val="Numeris"/>
                          <w:tag w:val="nr_712af457c7b3482c88d789369da8ddd8"/>
                          <w:lock w:val="sdtLocked"/>
                          <w:richText/>
                        </w:sdtPr>
                        <w:sdtContent>
                          <w:r>
                            <w:rPr>
                              <w:szCs w:val="24"/>
                              <w:lang w:eastAsia="lt-LT"/>
                            </w:rPr>
                            <w:t>4.3</w:t>
                          </w:r>
                        </w:sdtContent>
                      </w:sdt>
                      <w:r>
                        <w:rPr>
                          <w:szCs w:val="24"/>
                          <w:lang w:eastAsia="lt-LT"/>
                        </w:rPr>
                        <w:t xml:space="preserve">. </w:t>
                      </w:r>
                      <w:r>
                        <w:rPr>
                          <w:color w:val="000000"/>
                          <w:szCs w:val="24"/>
                          <w:lang w:eastAsia="lt-LT"/>
                        </w:rPr>
                        <w:t xml:space="preserve">bazinės išlaidos akademinių darbuotojų darbo užmokesčiui apskaičiuojamos remiantis Lietuvos Respublikos Seimo patvirtintu pareiginės algos baziniu dydžiu (toliau – bazinis dydis): </w:t>
                      </w:r>
                      <w:r>
                        <w:rPr>
                          <w:b/>
                          <w:color w:val="000000"/>
                          <w:szCs w:val="24"/>
                          <w:lang w:eastAsia="lt-LT"/>
                        </w:rPr>
                        <w:t>7</w:t>
                      </w:r>
                      <w:r>
                        <w:rPr>
                          <w:color w:val="000000"/>
                          <w:szCs w:val="24"/>
                          <w:lang w:eastAsia="lt-LT"/>
                        </w:rPr>
                        <w:t>,40 bazinio dydžio (universitetinėms studijoms) arba 6,31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7e0cf41e3d6b4c9cacab7026a5a75bdf"/>
                <w:lock w:val="sdtLocked"/>
                <w:richText/>
              </w:sdtPr>
              <w:sdtContent>
                <w:p>
                  <w:pPr>
                    <w:spacing w:line="360" w:lineRule="auto"/>
                    <w:ind w:firstLine="720"/>
                    <w:jc w:val="both"/>
                    <w:rPr>
                      <w:szCs w:val="24"/>
                      <w:lang w:eastAsia="lt-LT"/>
                    </w:rPr>
                  </w:pPr>
                  <w:sdt>
                    <w:sdtPr>
                      <w:alias w:val="Numeris"/>
                      <w:tag w:val="nr_7e0cf41e3d6b4c9cacab7026a5a75bd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6 p."/>
                <w:tag w:val="part_c8df2324cb7942e1891c1e9f7b7a3f8f"/>
                <w:lock w:val="sdtLocked"/>
                <w:richText/>
              </w:sdtPr>
              <w:sdtContent>
                <w:p>
                  <w:pPr>
                    <w:spacing w:line="360" w:lineRule="auto"/>
                    <w:ind w:firstLine="720"/>
                    <w:jc w:val="both"/>
                    <w:rPr>
                      <w:szCs w:val="24"/>
                      <w:lang w:eastAsia="lt-LT"/>
                    </w:rPr>
                  </w:pPr>
                  <w:sdt>
                    <w:sdtPr>
                      <w:alias w:val="Numeris"/>
                      <w:tag w:val="nr_c8df2324cb7942e1891c1e9f7b7a3f8f"/>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6,60 bazinio dydžio, rezidentūros atveju – 17,19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e586991fd3f24e4ea1b870c9c9b675d2"/>
                    <w:lock w:val="sdtLocked"/>
                    <w:richText/>
                  </w:sdtPr>
                  <w:sdtContent>
                    <w:p>
                      <w:pPr>
                        <w:spacing w:line="360" w:lineRule="auto"/>
                        <w:ind w:firstLine="720"/>
                        <w:jc w:val="both"/>
                        <w:rPr>
                          <w:szCs w:val="24"/>
                          <w:lang w:eastAsia="lt-LT"/>
                        </w:rPr>
                      </w:pPr>
                      <w:sdt>
                        <w:sdtPr>
                          <w:alias w:val="Numeris"/>
                          <w:tag w:val="nr_e586991fd3f24e4ea1b870c9c9b675d2"/>
                          <w:lock w:val="sdtLocked"/>
                          <w:richText/>
                        </w:sdtPr>
                        <w:sdtContent>
                          <w:r>
                            <w:rPr>
                              <w:szCs w:val="24"/>
                              <w:lang w:eastAsia="lt-LT"/>
                            </w:rPr>
                            <w:t>7.2</w:t>
                          </w:r>
                        </w:sdtContent>
                      </w:sdt>
                      <w:r>
                        <w:rPr>
                          <w:szCs w:val="24"/>
                          <w:lang w:eastAsia="lt-LT"/>
                        </w:rPr>
                        <w:t>. išlaidos akademinių darbuotojų darbo užmokesčiui apskaičiuojamos 9,51</w:t>
                      </w:r>
                      <w:r>
                        <w:rPr>
                          <w:b/>
                          <w:szCs w:val="24"/>
                          <w:lang w:eastAsia="lt-LT"/>
                        </w:rPr>
                        <w:t xml:space="preserve">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37ff6d02acb42e8b2f9c1740301f8b3"/>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c37ff6d02acb42e8b2f9c1740301f8b3"/>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ed70d6f4f9d415299d095efc0db0e3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d70d6f4f9d415299d095efc0db0e31"/>
                              <w:lock w:val="sdtLocked"/>
                              <w:richText/>
                            </w:sdtPr>
                            <w:sdtContent>
                              <w:r>
                                <w:rPr>
                                  <w:color w:val="000000"/>
                                  <w:lang w:eastAsia="lt-LT"/>
                                </w:rPr>
                                <w:t>4.1.1</w:t>
                              </w:r>
                            </w:sdtContent>
                          </w:sdt>
                          <w:r>
                            <w:rPr>
                              <w:color w:val="000000"/>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ir mokslo ministro (toliau – ministras) tvirtinamame kasmetinio universitetų ir institutų MTEP ir meno veiklos vertinimo reglamente nustatyti mokslo (meno) darbai;</w:t>
                          </w:r>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cce033c824b441da992125b54b31da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ce033c824b441da992125b54b31da64"/>
                      <w:lock w:val="sdtLocked"/>
                      <w:richText/>
                    </w:sdtPr>
                    <w:sdtContent>
                      <w:r>
                        <w:rPr>
                          <w:color w:val="000000"/>
                          <w:lang w:eastAsia="lt-LT"/>
                        </w:rPr>
                        <w:t>5</w:t>
                      </w:r>
                    </w:sdtContent>
                  </w:sdt>
                  <w:r>
                    <w:rPr>
                      <w:color w:val="000000"/>
                      <w:lang w:eastAsia="lt-LT"/>
                    </w:rPr>
                    <w:t>. Duomenis apie praėjusių metų MTEP ir meno veiklą ministro nustatytais terminais pagal ministro patvirtintas formas universitetai ir institutai pateikia Lietuvos mokslo tarybai (toliau – Taryba), o kolegijos – Švietimo ir mokslo ministerijai (toliau – Ministerija).</w:t>
                  </w:r>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a475e40d344f4180a59188bf043b97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a475e40d344f4180a59188bf043b97c3"/>
                      <w:lock w:val="sdtLocked"/>
                      <w:richText/>
                    </w:sdtPr>
                    <w:sdtContent>
                      <w:r>
                        <w:rPr>
                          <w:color w:val="000000"/>
                          <w:lang w:eastAsia="lt-LT"/>
                        </w:rPr>
                        <w:t>7</w:t>
                      </w:r>
                    </w:sdtContent>
                  </w:sdt>
                  <w:r>
                    <w:rPr>
                      <w:color w:val="000000"/>
                      <w:lang w:eastAsia="lt-LT"/>
                    </w:rPr>
                    <w:t>. Kasmetinį kolegijų vertinimą vykdo Ministerija vadovaudamasi kasmetinio kolegijų MTEP ir meno veiklos vertinimo reglamentu. Kasmetinio kolegijų vertinimo rezultatus Ministerija skelbia savo interneto svetainėje.</w:t>
                  </w:r>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b4277ad37f7c4cfca257aff13b1bed6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277ad37f7c4cfca257aff13b1bed68"/>
                      <w:lock w:val="sdtLocked"/>
                      <w:richText/>
                    </w:sdtPr>
                    <w:sdtContent>
                      <w:r>
                        <w:rPr>
                          <w:color w:val="000000"/>
                          <w:lang w:eastAsia="lt-LT"/>
                        </w:rPr>
                        <w:t>15</w:t>
                      </w:r>
                    </w:sdtContent>
                  </w:sdt>
                  <w:r>
                    <w:rPr>
                      <w:color w:val="000000"/>
                      <w:lang w:eastAsia="lt-LT"/>
                    </w:rPr>
                    <w:t>. Lėšos MTEP ir menui mokslo sritims ir menui padalijamos procentais taip:</w:t>
                  </w:r>
                </w:p>
                <w:sdt>
                  <w:sdtPr>
                    <w:alias w:val="15.1 pp."/>
                    <w:tag w:val="part_b9e61522f43a43a0ac9b6bf261ef37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e61522f43a43a0ac9b6bf261ef378a"/>
                          <w:lock w:val="sdtLocked"/>
                          <w:richText/>
                        </w:sdtPr>
                        <w:sdtContent>
                          <w:r>
                            <w:rPr>
                              <w:color w:val="000000"/>
                              <w:lang w:eastAsia="lt-LT"/>
                            </w:rPr>
                            <w:t>15.1</w:t>
                          </w:r>
                        </w:sdtContent>
                      </w:sdt>
                      <w:r>
                        <w:rPr>
                          <w:color w:val="000000"/>
                          <w:lang w:eastAsia="lt-LT"/>
                        </w:rPr>
                        <w:t>. humanitarinių mokslų sričiai – 14;</w:t>
                      </w:r>
                    </w:p>
                  </w:sdtContent>
                </w:sdt>
                <w:sdt>
                  <w:sdtPr>
                    <w:alias w:val="15.2 pp."/>
                    <w:tag w:val="part_2e8b1ae7c56a41119ce530f4bcd5503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8b1ae7c56a41119ce530f4bcd5503e"/>
                          <w:lock w:val="sdtLocked"/>
                          <w:richText/>
                        </w:sdtPr>
                        <w:sdtContent>
                          <w:r>
                            <w:rPr>
                              <w:color w:val="000000"/>
                              <w:lang w:eastAsia="lt-LT"/>
                            </w:rPr>
                            <w:t>15.2</w:t>
                          </w:r>
                        </w:sdtContent>
                      </w:sdt>
                      <w:r>
                        <w:rPr>
                          <w:color w:val="000000"/>
                          <w:lang w:eastAsia="lt-LT"/>
                        </w:rPr>
                        <w:t>. socialinių mokslų sričiai – 11;</w:t>
                      </w:r>
                    </w:p>
                  </w:sdtContent>
                </w:sdt>
                <w:sdt>
                  <w:sdtPr>
                    <w:alias w:val="15.3 pp."/>
                    <w:tag w:val="part_bdcd2f69681e4cc2b0c0ea05b8238d3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cd2f69681e4cc2b0c0ea05b8238d3d"/>
                          <w:lock w:val="sdtLocked"/>
                          <w:richText/>
                        </w:sdtPr>
                        <w:sdtContent>
                          <w:r>
                            <w:rPr>
                              <w:color w:val="000000"/>
                              <w:lang w:eastAsia="lt-LT"/>
                            </w:rPr>
                            <w:t>15.3</w:t>
                          </w:r>
                        </w:sdtContent>
                      </w:sdt>
                      <w:r>
                        <w:rPr>
                          <w:color w:val="000000"/>
                          <w:lang w:eastAsia="lt-LT"/>
                        </w:rPr>
                        <w:t>. fizinių mokslų sričiai – 25;</w:t>
                      </w:r>
                    </w:p>
                  </w:sdtContent>
                </w:sdt>
                <w:sdt>
                  <w:sdtPr>
                    <w:alias w:val="15.4 pp."/>
                    <w:tag w:val="part_78fac5c3c85b4e8db8d5ee299b536d8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8fac5c3c85b4e8db8d5ee299b536d84"/>
                          <w:lock w:val="sdtLocked"/>
                          <w:richText/>
                        </w:sdtPr>
                        <w:sdtContent>
                          <w:r>
                            <w:rPr>
                              <w:color w:val="000000"/>
                              <w:lang w:eastAsia="lt-LT"/>
                            </w:rPr>
                            <w:t>15.4</w:t>
                          </w:r>
                        </w:sdtContent>
                      </w:sdt>
                      <w:r>
                        <w:rPr>
                          <w:color w:val="000000"/>
                          <w:lang w:eastAsia="lt-LT"/>
                        </w:rPr>
                        <w:t>. biomedicinos mokslų sričiai – 19;</w:t>
                      </w:r>
                    </w:p>
                  </w:sdtContent>
                </w:sdt>
                <w:sdt>
                  <w:sdtPr>
                    <w:alias w:val="15.5 pp."/>
                    <w:tag w:val="part_4dc0ac4c0ba445edbb86a72bf041b1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dc0ac4c0ba445edbb86a72bf041b104"/>
                          <w:lock w:val="sdtLocked"/>
                          <w:richText/>
                        </w:sdtPr>
                        <w:sdtContent>
                          <w:r>
                            <w:rPr>
                              <w:color w:val="000000"/>
                              <w:lang w:eastAsia="lt-LT"/>
                            </w:rPr>
                            <w:t>15.5</w:t>
                          </w:r>
                        </w:sdtContent>
                      </w:sdt>
                      <w:r>
                        <w:rPr>
                          <w:color w:val="000000"/>
                          <w:lang w:eastAsia="lt-LT"/>
                        </w:rPr>
                        <w:t>. žemės ūkio mokslų sričiai – 6;</w:t>
                      </w:r>
                    </w:p>
                  </w:sdtContent>
                </w:sdt>
                <w:sdt>
                  <w:sdtPr>
                    <w:alias w:val="15.6 pp."/>
                    <w:tag w:val="part_c0ef870e5271448fa352b19bb6f18dc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0ef870e5271448fa352b19bb6f18dcc"/>
                          <w:lock w:val="sdtLocked"/>
                          <w:richText/>
                        </w:sdtPr>
                        <w:sdtContent>
                          <w:r>
                            <w:rPr>
                              <w:color w:val="000000"/>
                              <w:lang w:eastAsia="lt-LT"/>
                            </w:rPr>
                            <w:t>15.6</w:t>
                          </w:r>
                        </w:sdtContent>
                      </w:sdt>
                      <w:r>
                        <w:rPr>
                          <w:color w:val="000000"/>
                          <w:lang w:eastAsia="lt-LT"/>
                        </w:rPr>
                        <w:t>. technologijos mokslų sričiai – 21;</w:t>
                      </w:r>
                    </w:p>
                  </w:sdtContent>
                </w:sdt>
                <w:sdt>
                  <w:sdtPr>
                    <w:alias w:val="15.7 pp."/>
                    <w:tag w:val="part_1ebdd4ee73384e1c8fa3c9788a2380c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bdd4ee73384e1c8fa3c9788a2380c0"/>
                          <w:lock w:val="sdtLocked"/>
                          <w:richText/>
                        </w:sdtPr>
                        <w:sdtContent>
                          <w:r>
                            <w:rPr>
                              <w:color w:val="000000"/>
                              <w:lang w:eastAsia="lt-LT"/>
                            </w:rPr>
                            <w:t>15.7</w:t>
                          </w:r>
                        </w:sdtContent>
                      </w:sdt>
                      <w:r>
                        <w:rPr>
                          <w:color w:val="000000"/>
                          <w:lang w:eastAsia="lt-LT"/>
                        </w:rPr>
                        <w:t>. menui – 4.</w:t>
                      </w:r>
                    </w:p>
                  </w:sdtContent>
                </w:sdt>
              </w:sdtContent>
            </w:sdt>
            <w:sdt>
              <w:sdtPr>
                <w:alias w:val="16 p."/>
                <w:tag w:val="part_c208d98f7f1540738ce13630865a4ca2"/>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208d98f7f1540738ce13630865a4ca2"/>
                      <w:lock w:val="sdtLocked"/>
                      <w:richText/>
                    </w:sdtPr>
                    <w:sdtContent>
                      <w:r>
                        <w:rPr>
                          <w:color w:val="000000"/>
                          <w:lang w:eastAsia="lt-LT"/>
                        </w:rPr>
                        <w:t>16</w:t>
                      </w:r>
                    </w:sdtContent>
                  </w:sdt>
                  <w:r>
                    <w:rPr>
                      <w:color w:val="000000"/>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suminiams įverčiams.</w:t>
                  </w:r>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74cc0e9476f2485786803bbc127da20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4cc0e9476f2485786803bbc127da20b"/>
                      <w:lock w:val="sdtLocked"/>
                      <w:richText/>
                    </w:sdtPr>
                    <w:sdtContent>
                      <w:r>
                        <w:rPr>
                          <w:color w:val="000000"/>
                          <w:lang w:eastAsia="lt-LT"/>
                        </w:rPr>
                        <w:t>18</w:t>
                      </w:r>
                    </w:sdtContent>
                  </w:sdt>
                  <w:r>
                    <w:rPr>
                      <w:color w:val="000000"/>
                      <w:lang w:eastAsia="lt-LT"/>
                    </w:rPr>
                    <w:t>. Pagal universitetų ir institutų gautas programų lėšas paskirstomų likusių lėšų MTEP ir menui suma sudaro 17 procentų visų universitetų ir institutų gautų programų lėšų sumos su sąlyga, kad skirstoma suma neviršija tokios pagal tų metų kasmetinio vertinimo rezultatus skirstomos likusių lėšų MTEP ir menui dalies procentais:</w:t>
                  </w:r>
                </w:p>
                <w:sdt>
                  <w:sdtPr>
                    <w:alias w:val="18.1 pp."/>
                    <w:tag w:val="part_b405e9c3595d4f1d82389c7055894b9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05e9c3595d4f1d82389c7055894b93"/>
                          <w:lock w:val="sdtLocked"/>
                          <w:richText/>
                        </w:sdtPr>
                        <w:sdtContent>
                          <w:r>
                            <w:rPr>
                              <w:color w:val="000000"/>
                              <w:lang w:eastAsia="lt-LT"/>
                            </w:rPr>
                            <w:t>18.1</w:t>
                          </w:r>
                        </w:sdtContent>
                      </w:sdt>
                      <w:r>
                        <w:rPr>
                          <w:color w:val="000000"/>
                          <w:lang w:eastAsia="lt-LT"/>
                        </w:rPr>
                        <w:t>. humanitarinių mokslų srityje – 5;</w:t>
                      </w:r>
                    </w:p>
                  </w:sdtContent>
                </w:sdt>
                <w:sdt>
                  <w:sdtPr>
                    <w:alias w:val="18.2 pp."/>
                    <w:tag w:val="part_cf8abb90bd0c4f1bb0e086bf9e7568f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f8abb90bd0c4f1bb0e086bf9e7568ff"/>
                          <w:lock w:val="sdtLocked"/>
                          <w:richText/>
                        </w:sdtPr>
                        <w:sdtContent>
                          <w:r>
                            <w:rPr>
                              <w:color w:val="000000"/>
                              <w:lang w:eastAsia="lt-LT"/>
                            </w:rPr>
                            <w:t>18.2</w:t>
                          </w:r>
                        </w:sdtContent>
                      </w:sdt>
                      <w:r>
                        <w:rPr>
                          <w:color w:val="000000"/>
                          <w:lang w:eastAsia="lt-LT"/>
                        </w:rPr>
                        <w:t>. fizinių, biomedicinos ir žemės ūkio mokslų srityse – 15;</w:t>
                      </w:r>
                    </w:p>
                  </w:sdtContent>
                </w:sdt>
                <w:sdt>
                  <w:sdtPr>
                    <w:alias w:val="18.3 pp."/>
                    <w:tag w:val="part_c12691a4e1784823b19af25d357d71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12691a4e1784823b19af25d357d71c3"/>
                          <w:lock w:val="sdtLocked"/>
                          <w:richText/>
                        </w:sdtPr>
                        <w:sdtContent>
                          <w:r>
                            <w:rPr>
                              <w:color w:val="000000"/>
                              <w:lang w:eastAsia="lt-LT"/>
                            </w:rPr>
                            <w:t>18.3</w:t>
                          </w:r>
                        </w:sdtContent>
                      </w:sdt>
                      <w:r>
                        <w:rPr>
                          <w:color w:val="000000"/>
                          <w:lang w:eastAsia="lt-LT"/>
                        </w:rPr>
                        <w:t>. socialinių ir technologijos mokslų srityse – 20.</w:t>
                      </w:r>
                    </w:p>
                  </w:sdtContent>
                </w:sdt>
              </w:sdtContent>
            </w:sdt>
            <w:sdt>
              <w:sdtPr>
                <w:alias w:val="19 p."/>
                <w:tag w:val="part_02aa058b5a344f38b9fcd1e7f4cb21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2aa058b5a344f38b9fcd1e7f4cb2164"/>
                      <w:lock w:val="sdtLocked"/>
                      <w:richText/>
                    </w:sdtPr>
                    <w:sdtContent>
                      <w:r>
                        <w:rPr>
                          <w:color w:val="000000"/>
                          <w:lang w:eastAsia="lt-LT"/>
                        </w:rPr>
                        <w:t>19</w:t>
                      </w:r>
                    </w:sdtContent>
                  </w:sdt>
                  <w:r>
                    <w:rPr>
                      <w:color w:val="000000"/>
                      <w:lang w:eastAsia="lt-LT"/>
                    </w:rPr>
                    <w:t>. Pagal universitetų ir institutų gautas užsakymų lėšas paskirstomų likusių lėšų MTEP ir menui suma sudaro 17 procentų visų universitetų ir institutų gautų užsakymų lėšų sumos su sąlyga, kad skirstoma suma neviršija tokios pagal tų metų kasmetinio vertinimo rezultatus skirstomos likusių lėšų MTEP ir menui dalies procentais:</w:t>
                  </w:r>
                </w:p>
                <w:sdt>
                  <w:sdtPr>
                    <w:alias w:val="19.1 pp."/>
                    <w:tag w:val="part_7d304ba6302d42caa0702b526156c3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d304ba6302d42caa0702b526156c304"/>
                          <w:lock w:val="sdtLocked"/>
                          <w:richText/>
                        </w:sdtPr>
                        <w:sdtContent>
                          <w:r>
                            <w:rPr>
                              <w:color w:val="000000"/>
                              <w:lang w:eastAsia="lt-LT"/>
                            </w:rPr>
                            <w:t>19.1</w:t>
                          </w:r>
                        </w:sdtContent>
                      </w:sdt>
                      <w:r>
                        <w:rPr>
                          <w:color w:val="000000"/>
                          <w:lang w:eastAsia="lt-LT"/>
                        </w:rPr>
                        <w:t>. humanitarinių ir socialinių mokslų srityse ir menuose – 10;</w:t>
                      </w:r>
                    </w:p>
                  </w:sdtContent>
                </w:sdt>
                <w:sdt>
                  <w:sdtPr>
                    <w:alias w:val="19.2 pp."/>
                    <w:tag w:val="part_4c88c1e8b6a44e4f91beadcc1daa47b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c88c1e8b6a44e4f91beadcc1daa47b0"/>
                          <w:lock w:val="sdtLocked"/>
                          <w:richText/>
                        </w:sdtPr>
                        <w:sdtContent>
                          <w:r>
                            <w:rPr>
                              <w:color w:val="000000"/>
                              <w:lang w:eastAsia="lt-LT"/>
                            </w:rPr>
                            <w:t>19.2</w:t>
                          </w:r>
                        </w:sdtContent>
                      </w:sdt>
                      <w:r>
                        <w:rPr>
                          <w:color w:val="000000"/>
                          <w:lang w:eastAsia="lt-LT"/>
                        </w:rPr>
                        <w:t>. fizinių ir biomedicinos mokslų srityse – 25;</w:t>
                      </w:r>
                    </w:p>
                  </w:sdtContent>
                </w:sdt>
                <w:sdt>
                  <w:sdtPr>
                    <w:alias w:val="19.3 pp."/>
                    <w:tag w:val="part_1e973a40723f4e368121c82991f9aba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973a40723f4e368121c82991f9aba9"/>
                          <w:lock w:val="sdtLocked"/>
                          <w:richText/>
                        </w:sdtPr>
                        <w:sdtContent>
                          <w:r>
                            <w:rPr>
                              <w:color w:val="000000"/>
                              <w:lang w:eastAsia="lt-LT"/>
                            </w:rPr>
                            <w:t>19.3</w:t>
                          </w:r>
                        </w:sdtContent>
                      </w:sdt>
                      <w:r>
                        <w:rPr>
                          <w:color w:val="000000"/>
                          <w:lang w:eastAsia="lt-LT"/>
                        </w:rPr>
                        <w:t>. žemės ūkio mokslų srityje – 35;</w:t>
                      </w:r>
                    </w:p>
                  </w:sdtContent>
                </w:sdt>
                <w:sdt>
                  <w:sdtPr>
                    <w:alias w:val="19.4 pp."/>
                    <w:tag w:val="part_e807680238de4666851a3d03c9dd8d2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807680238de4666851a3d03c9dd8d2e"/>
                          <w:lock w:val="sdtLocked"/>
                          <w:richText/>
                        </w:sdtPr>
                        <w:sdtContent>
                          <w:r>
                            <w:rPr>
                              <w:color w:val="000000"/>
                              <w:lang w:eastAsia="lt-LT"/>
                            </w:rPr>
                            <w:t>19.4</w:t>
                          </w:r>
                        </w:sdtContent>
                      </w:sdt>
                      <w:r>
                        <w:rPr>
                          <w:color w:val="000000"/>
                          <w:lang w:eastAsia="lt-LT"/>
                        </w:rPr>
                        <w:t>. technologijos mokslų srityje – 30.</w:t>
                      </w:r>
                    </w:p>
                  </w:sdtContent>
                </w:sdt>
              </w:sdtContent>
            </w:sdt>
            <w:sdt>
              <w:sdtPr>
                <w:alias w:val="20 p."/>
                <w:tag w:val="part_ef1b3c443bcd43dfb49fd6d47baeb155"/>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f1b3c443bcd43dfb49fd6d47baeb155"/>
                      <w:lock w:val="sdtLocked"/>
                      <w:richText/>
                    </w:sdtPr>
                    <w:sdtContent>
                      <w:r>
                        <w:rPr>
                          <w:color w:val="000000"/>
                          <w:lang w:eastAsia="lt-LT"/>
                        </w:rPr>
                        <w:t>20</w:t>
                      </w:r>
                    </w:sdtContent>
                  </w:sdt>
                  <w:r>
                    <w:rPr>
                      <w:color w:val="000000"/>
                      <w:lang w:eastAsia="lt-LT"/>
                    </w:rPr>
                    <w:t>. Pagal Aprašo 18 ir 19 punktų nuostatas nepaskirstytos likusios lėšos MTEP ir menui skirstomos pagal universitetų ir institutų mokslo (meno) darbų kasmetinio vertinimo įverčius.</w:t>
                  </w:r>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1087ed2f3a8f4994af12824b9470ca3a"/>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1087ed2f3a8f4994af12824b9470ca3a"/>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65d061eaf1a545c59fd343eec8d8c232"/>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65d061eaf1a545c59fd343eec8d8c232"/>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07a680109dab48728ce4e3e3fee4f222"/>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07a680109dab48728ce4e3e3fee4f222"/>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2a4f18f5031d4384916cc01bb8e3251b"/>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2a4f18f5031d4384916cc01bb8e3251b"/>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5a2632e981a54d66867d7905b7c4f734"/>
        <w:lock w:val="sdtLocked"/>
        <w:richText/>
      </w:sdtPr>
      <w:sdtContent>
        <w:p>
          <w:pPr>
            <w:ind w:left="5102" w:hanging="282"/>
            <w:sectPr>
              <w:headerReference w:type="even" r:id="rId62"/>
              <w:headerReference w:type="default" r:id="rId63"/>
              <w:footerReference w:type="even" r:id="rId64"/>
              <w:footerReference w:type="default" r:id="rId65"/>
              <w:headerReference w:type="first" r:id="rId66"/>
              <w:footerReference w:type="first" r:id="rId67"/>
              <w:pgSz w:w="11906" w:h="16838" w:code="9"/>
              <w:pgMar w:top="1134" w:right="1134" w:bottom="1134" w:left="1701" w:header="567" w:footer="567" w:gutter="0"/>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2017 m. kovo 1 d. nutarimu Nr. 149</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szCs w:val="24"/>
              <w:lang w:eastAsia="lt-LT"/>
            </w:rPr>
          </w:pPr>
          <w:sdt>
            <w:sdtPr>
              <w:alias w:val="Pavadinimas"/>
              <w:tag w:val="title_5a2632e981a54d66867d7905b7c4f734"/>
              <w:lock w:val="sdtLocked"/>
              <w:richText/>
            </w:sdtPr>
            <w:sdtContent>
              <w:r>
                <w:rPr>
                  <w:b/>
                  <w:szCs w:val="24"/>
                  <w:lang w:eastAsia="lt-LT"/>
                </w:rPr>
                <w:t>PARAMOS STUDIJOMS TEIKIMO DOKTORANTAMS IR STUDENTAMS, STUDIJUOJANTIEMS PAGAL PROFESINES STUDIJŲ PROGRAMAS, TVARKOS APRAŠAS</w:t>
              </w:r>
            </w:sdtContent>
          </w:sdt>
        </w:p>
        <w:p>
          <w:pPr>
            <w:ind w:firstLine="720"/>
            <w:jc w:val="center"/>
            <w:rPr>
              <w:szCs w:val="24"/>
              <w:lang w:eastAsia="lt-LT"/>
            </w:rPr>
          </w:pPr>
        </w:p>
        <w:sdt>
          <w:sdtPr>
            <w:alias w:val="1 p."/>
            <w:tag w:val="part_05c8ffb0bdc24ed4b21b910e1bb05c0e"/>
            <w:lock w:val="sdtLocked"/>
            <w:richText/>
          </w:sdtPr>
          <w:sdtContent>
            <w:p>
              <w:pPr>
                <w:ind w:firstLine="567"/>
                <w:jc w:val="both"/>
                <w:rPr>
                  <w:color w:val="000000"/>
                  <w:lang w:eastAsia="lt-LT"/>
                </w:rPr>
              </w:pPr>
              <w:sdt>
                <w:sdtPr>
                  <w:alias w:val="Numeris"/>
                  <w:tag w:val="nr_05c8ffb0bdc24ed4b21b910e1bb05c0e"/>
                  <w:lock w:val="sdtLocked"/>
                  <w:richText/>
                </w:sdtPr>
                <w:sdtContent>
                  <w:r>
                    <w:rPr>
                      <w:color w:val="000000"/>
                      <w:lang w:eastAsia="lt-LT"/>
                    </w:rPr>
                    <w:t>1</w:t>
                  </w:r>
                </w:sdtContent>
              </w:sdt>
              <w:r>
                <w:rPr>
                  <w:color w:val="000000"/>
                  <w:lang w:eastAsia="lt-LT"/>
                </w:rPr>
                <w:t xml:space="preserve">. Paramos studijoms teikimo doktorantams ir studentams, studijuojantiems pagal profesines studijų programas, tvarkos apraše nustatoma, kad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 ir nuolatinės studijų formos studentams, studijuojantiems pagal profesinių studijų programas (išskyrus </w:t>
              </w:r>
              <w:r>
                <w:rPr>
                  <w:szCs w:val="24"/>
                </w:rPr>
                <w:t xml:space="preserve">gydytojus rezidentus, gydytojus odontologus </w:t>
              </w:r>
              <w:r>
                <w:rPr>
                  <w:szCs w:val="24"/>
                  <w:lang w:eastAsia="lt-LT"/>
                </w:rPr>
                <w:t>rezidentus ir veterinarijos gydytojus rezidentus</w:t>
              </w:r>
              <w:r>
                <w:rPr>
                  <w:color w:val="000000"/>
                  <w:lang w:eastAsia="lt-LT"/>
                </w:rPr>
                <w:t xml:space="preserve">), priimtiems į studijų vietas, kuriose studijos apmokamos biudžeto lėšomis (toliau – profesinių studijų studentai), kas mėnesį teikiama parama studijoms. </w:t>
              </w:r>
            </w:p>
            <w:p>
              <w:pPr>
                <w:rPr>
                  <w:sz w:val="2"/>
                  <w:szCs w:val="2"/>
                </w:rPr>
              </w:pPr>
            </w:p>
          </w:sdtContent>
        </w:sdt>
        <w:sdt>
          <w:sdtPr>
            <w:alias w:val="2 p."/>
            <w:tag w:val="part_549666a73652493a973d5e994730fe5d"/>
            <w:lock w:val="sdtLocked"/>
            <w:richText/>
          </w:sdtPr>
          <w:sdtContent>
            <w:p>
              <w:pPr>
                <w:ind w:firstLine="567"/>
                <w:jc w:val="both"/>
                <w:rPr>
                  <w:color w:val="000000"/>
                  <w:lang w:eastAsia="lt-LT"/>
                </w:rPr>
              </w:pPr>
              <w:sdt>
                <w:sdtPr>
                  <w:alias w:val="Numeris"/>
                  <w:tag w:val="nr_549666a73652493a973d5e994730fe5d"/>
                  <w:lock w:val="sdtLocked"/>
                  <w:richText/>
                </w:sdtPr>
                <w:sdtContent>
                  <w:r>
                    <w:rPr>
                      <w:color w:val="000000"/>
                      <w:lang w:eastAsia="lt-LT"/>
                    </w:rPr>
                    <w:t>2</w:t>
                  </w:r>
                </w:sdtContent>
              </w:sdt>
              <w:r>
                <w:rPr>
                  <w:color w:val="000000"/>
                  <w:lang w:eastAsia="lt-LT"/>
                </w:rPr>
                <w:t>. Paramos studijoms dydis (bazinės socialinės išmokos dydžiais) yra toks:</w:t>
              </w:r>
            </w:p>
            <w:p>
              <w:pPr>
                <w:rPr>
                  <w:sz w:val="2"/>
                  <w:szCs w:val="2"/>
                </w:rPr>
              </w:pPr>
            </w:p>
            <w:sdt>
              <w:sdtPr>
                <w:alias w:val="2.1 pp."/>
                <w:tag w:val="part_8244026ebbb64ee1bf8cd062fe56906b"/>
                <w:lock w:val="sdtLocked"/>
                <w:richText/>
              </w:sdtPr>
              <w:sdtContent>
                <w:p>
                  <w:pPr>
                    <w:ind w:firstLine="567"/>
                    <w:jc w:val="both"/>
                    <w:rPr>
                      <w:color w:val="000000"/>
                      <w:lang w:eastAsia="lt-LT"/>
                    </w:rPr>
                  </w:pPr>
                  <w:sdt>
                    <w:sdtPr>
                      <w:alias w:val="Numeris"/>
                      <w:tag w:val="nr_8244026ebbb64ee1bf8cd062fe56906b"/>
                      <w:lock w:val="sdtLocked"/>
                      <w:richText/>
                    </w:sdtPr>
                    <w:sdtContent>
                      <w:r>
                        <w:rPr>
                          <w:lang w:eastAsia="lt-LT"/>
                        </w:rPr>
                        <w:t>2.1</w:t>
                      </w:r>
                    </w:sdtContent>
                  </w:sdt>
                  <w:r>
                    <w:rPr>
                      <w:lang w:eastAsia="lt-LT"/>
                    </w:rPr>
                    <w:t>. pirmųjų doktorantūros metų doktorantams – 19,0;</w:t>
                  </w:r>
                  <w:r>
                    <w:t xml:space="preserve"> </w:t>
                  </w:r>
                </w:p>
                <w:p>
                  <w:pPr>
                    <w:rPr>
                      <w:sz w:val="2"/>
                      <w:szCs w:val="2"/>
                    </w:rPr>
                  </w:pPr>
                </w:p>
              </w:sdtContent>
            </w:sdt>
            <w:sdt>
              <w:sdtPr>
                <w:alias w:val="2.2 pp."/>
                <w:tag w:val="part_d58ac2abb07b453c81c80f44735652dd"/>
                <w:lock w:val="sdtLocked"/>
                <w:richText/>
              </w:sdtPr>
              <w:sdtContent>
                <w:p>
                  <w:pPr>
                    <w:ind w:firstLine="567"/>
                    <w:jc w:val="both"/>
                    <w:rPr>
                      <w:color w:val="000000"/>
                      <w:lang w:eastAsia="lt-LT"/>
                    </w:rPr>
                  </w:pPr>
                  <w:sdt>
                    <w:sdtPr>
                      <w:alias w:val="Numeris"/>
                      <w:tag w:val="nr_d58ac2abb07b453c81c80f44735652dd"/>
                      <w:lock w:val="sdtLocked"/>
                      <w:richText/>
                    </w:sdtPr>
                    <w:sdtContent>
                      <w:r>
                        <w:rPr>
                          <w:lang w:eastAsia="lt-LT"/>
                        </w:rPr>
                        <w:t>2.2</w:t>
                      </w:r>
                    </w:sdtContent>
                  </w:sdt>
                  <w:r>
                    <w:rPr>
                      <w:lang w:eastAsia="lt-LT"/>
                    </w:rPr>
                    <w:t>. antrųjų ir vėlesnių doktorantūros metų doktorantams – 22,0;</w:t>
                  </w:r>
                  <w:r>
                    <w:t xml:space="preserve"> </w:t>
                  </w:r>
                </w:p>
                <w:p>
                  <w:pPr>
                    <w:rPr>
                      <w:sz w:val="2"/>
                      <w:szCs w:val="2"/>
                    </w:rPr>
                  </w:pPr>
                </w:p>
              </w:sdtContent>
            </w:sdt>
            <w:sdt>
              <w:sdtPr>
                <w:alias w:val="2.3 pp."/>
                <w:tag w:val="part_17a491074fe44b8a87bf9c02e94b7ae6"/>
                <w:lock w:val="sdtLocked"/>
                <w:richText/>
              </w:sdtPr>
              <w:sdtContent>
                <w:p>
                  <w:pPr>
                    <w:ind w:firstLine="567"/>
                    <w:jc w:val="both"/>
                    <w:rPr>
                      <w:color w:val="000000"/>
                      <w:lang w:eastAsia="lt-LT"/>
                    </w:rPr>
                  </w:pPr>
                  <w:sdt>
                    <w:sdtPr>
                      <w:alias w:val="Numeris"/>
                      <w:tag w:val="nr_17a491074fe44b8a87bf9c02e94b7ae6"/>
                      <w:lock w:val="sdtLocked"/>
                      <w:richText/>
                    </w:sdtPr>
                    <w:sdtContent>
                      <w:r>
                        <w:rPr>
                          <w:color w:val="000000"/>
                          <w:lang w:eastAsia="lt-LT"/>
                        </w:rPr>
                        <w:t>2.3</w:t>
                      </w:r>
                    </w:sdtContent>
                  </w:sdt>
                  <w:r>
                    <w:rPr>
                      <w:color w:val="000000"/>
                      <w:lang w:eastAsia="lt-LT"/>
                    </w:rPr>
                    <w:t>. profesinių studijų studentams – 3,05.</w:t>
                  </w:r>
                </w:p>
                <w:p>
                  <w:pPr>
                    <w:rPr>
                      <w:sz w:val="2"/>
                      <w:szCs w:val="2"/>
                    </w:rPr>
                  </w:pPr>
                </w:p>
              </w:sdtContent>
            </w:sdt>
          </w:sdtContent>
        </w:sdt>
        <w:sdt>
          <w:sdtPr>
            <w:alias w:val="3 p."/>
            <w:tag w:val="part_26aeab04b17e40c9a51a52350ffcb0a4"/>
            <w:lock w:val="sdtLocked"/>
            <w:richText/>
          </w:sdtPr>
          <w:sdtContent>
            <w:p>
              <w:pPr>
                <w:ind w:firstLine="567"/>
                <w:jc w:val="both"/>
                <w:rPr>
                  <w:color w:val="000000"/>
                  <w:lang w:eastAsia="lt-LT"/>
                </w:rPr>
              </w:pPr>
              <w:sdt>
                <w:sdtPr>
                  <w:alias w:val="Numeris"/>
                  <w:tag w:val="nr_26aeab04b17e40c9a51a52350ffcb0a4"/>
                  <w:lock w:val="sdtLocked"/>
                  <w:richText/>
                </w:sdtPr>
                <w:sdtContent>
                  <w:r>
                    <w:rPr>
                      <w:color w:val="000000"/>
                      <w:lang w:eastAsia="lt-LT"/>
                    </w:rPr>
                    <w:t>3</w:t>
                  </w:r>
                </w:sdtContent>
              </w:sdt>
              <w:r>
                <w:rPr>
                  <w:color w:val="000000"/>
                  <w:lang w:eastAsia="lt-LT"/>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w:t>
              </w:r>
            </w:p>
            <w:p>
              <w:pPr>
                <w:rPr>
                  <w:sz w:val="2"/>
                  <w:szCs w:val="2"/>
                </w:rPr>
              </w:pPr>
            </w:p>
          </w:sdtContent>
        </w:sdt>
        <w:sdt>
          <w:sdtPr>
            <w:alias w:val="4 p."/>
            <w:tag w:val="part_74564c827b694a95823e3e5c3cd5be09"/>
            <w:lock w:val="sdtLocked"/>
            <w:richText/>
          </w:sdtPr>
          <w:sdtContent>
            <w:p>
              <w:pPr>
                <w:ind w:firstLine="567"/>
                <w:jc w:val="both"/>
                <w:rPr>
                  <w:color w:val="000000"/>
                  <w:lang w:eastAsia="lt-LT"/>
                </w:rPr>
              </w:pPr>
              <w:sdt>
                <w:sdtPr>
                  <w:alias w:val="Numeris"/>
                  <w:tag w:val="nr_74564c827b694a95823e3e5c3cd5be09"/>
                  <w:lock w:val="sdtLocked"/>
                  <w:richText/>
                </w:sdtPr>
                <w:sdtContent>
                  <w:r>
                    <w:rPr>
                      <w:color w:val="000000"/>
                      <w:lang w:eastAsia="lt-LT"/>
                    </w:rPr>
                    <w:t>4</w:t>
                  </w:r>
                </w:sdtContent>
              </w:sdt>
              <w:r>
                <w:rPr>
                  <w:color w:val="000000"/>
                  <w:lang w:eastAsia="lt-LT"/>
                </w:rPr>
                <w:t>. Paramą studijoms profesinių studijų studentams teikia aukštosios mokyklos iš joms paskirtų biudžeto asignavimų.</w:t>
              </w:r>
            </w:p>
            <w:p>
              <w:pPr>
                <w:rPr>
                  <w:sz w:val="2"/>
                  <w:szCs w:val="2"/>
                </w:rPr>
              </w:pPr>
            </w:p>
          </w:sdtContent>
        </w:sdt>
        <w:sdt>
          <w:sdtPr>
            <w:alias w:val="5 p."/>
            <w:tag w:val="part_eaf4a4e4b231412ab32e925eef283145"/>
            <w:lock w:val="sdtLocked"/>
            <w:richText/>
          </w:sdtPr>
          <w:sdtContent>
            <w:p>
              <w:pPr>
                <w:ind w:firstLine="567"/>
                <w:jc w:val="both"/>
                <w:rPr>
                  <w:color w:val="000000"/>
                  <w:lang w:eastAsia="lt-LT"/>
                </w:rPr>
              </w:pPr>
              <w:sdt>
                <w:sdtPr>
                  <w:alias w:val="Numeris"/>
                  <w:tag w:val="nr_eaf4a4e4b231412ab32e925eef283145"/>
                  <w:lock w:val="sdtLocked"/>
                  <w:richText/>
                </w:sdtPr>
                <w:sdtContent>
                  <w:r>
                    <w:rPr>
                      <w:color w:val="000000"/>
                      <w:lang w:eastAsia="lt-LT"/>
                    </w:rPr>
                    <w:t>5</w:t>
                  </w:r>
                </w:sdtContent>
              </w:sdt>
              <w:r>
                <w:rPr>
                  <w:color w:val="000000"/>
                  <w:lang w:eastAsia="lt-LT"/>
                </w:rPr>
                <w:t>. Parama studijoms doktorantams ir profesinių studijų studentams teikiama iki studijų pabaigos, bet ne ilgiau nei doktorantūros ar profesinių studijų trukmė. Doktorantams ir profesinių studijų studentams, išėjusiems akademinių atostogų, už šį laiką parama neteikiama.</w:t>
              </w:r>
            </w:p>
            <w:p>
              <w:pPr>
                <w:rPr>
                  <w:sz w:val="2"/>
                  <w:szCs w:val="2"/>
                </w:rPr>
              </w:pPr>
            </w:p>
          </w:sdtContent>
        </w:sdt>
        <w:sdt>
          <w:sdtPr>
            <w:alias w:val="6 p."/>
            <w:tag w:val="part_6929c5cbc1164282a70010e573936f7a"/>
            <w:lock w:val="sdtLocked"/>
            <w:richText/>
          </w:sdtPr>
          <w:sdtContent>
            <w:p>
              <w:pPr>
                <w:ind w:firstLine="567"/>
                <w:jc w:val="both"/>
                <w:rPr>
                  <w:color w:val="000000"/>
                  <w:lang w:eastAsia="lt-LT"/>
                </w:rPr>
              </w:pPr>
              <w:sdt>
                <w:sdtPr>
                  <w:alias w:val="Numeris"/>
                  <w:tag w:val="nr_6929c5cbc1164282a70010e573936f7a"/>
                  <w:lock w:val="sdtLocked"/>
                  <w:richText/>
                </w:sdtPr>
                <w:sdtContent>
                  <w:r>
                    <w:rPr>
                      <w:color w:val="000000"/>
                      <w:lang w:eastAsia="lt-LT"/>
                    </w:rPr>
                    <w:t>6</w:t>
                  </w:r>
                </w:sdtContent>
              </w:sdt>
              <w:r>
                <w:rPr>
                  <w:color w:val="000000"/>
                  <w:lang w:eastAsia="lt-LT"/>
                </w:rPr>
                <w:t>. Nevykdant doktoranto darbo plano doktorantui:</w:t>
              </w:r>
            </w:p>
            <w:p>
              <w:pPr>
                <w:rPr>
                  <w:sz w:val="2"/>
                  <w:szCs w:val="2"/>
                </w:rPr>
              </w:pPr>
            </w:p>
            <w:sdt>
              <w:sdtPr>
                <w:alias w:val="6.1 pp."/>
                <w:tag w:val="part_34bb29032abf4595b685c2a4225ff612"/>
                <w:lock w:val="sdtLocked"/>
                <w:richText/>
              </w:sdtPr>
              <w:sdtContent>
                <w:p>
                  <w:pPr>
                    <w:ind w:firstLine="567"/>
                    <w:jc w:val="both"/>
                    <w:rPr>
                      <w:color w:val="000000"/>
                      <w:lang w:eastAsia="lt-LT"/>
                    </w:rPr>
                  </w:pPr>
                  <w:sdt>
                    <w:sdtPr>
                      <w:alias w:val="Numeris"/>
                      <w:tag w:val="nr_34bb29032abf4595b685c2a4225ff612"/>
                      <w:lock w:val="sdtLocked"/>
                      <w:richText/>
                    </w:sdtPr>
                    <w:sdtContent>
                      <w:r>
                        <w:rPr>
                          <w:color w:val="000000"/>
                          <w:lang w:eastAsia="lt-LT"/>
                        </w:rPr>
                        <w:t>6.1</w:t>
                      </w:r>
                    </w:sdtContent>
                  </w:sdt>
                  <w:r>
                    <w:rPr>
                      <w:color w:val="000000"/>
                      <w:lang w:eastAsia="lt-LT"/>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p>
                  <w:pPr>
                    <w:rPr>
                      <w:sz w:val="2"/>
                      <w:szCs w:val="2"/>
                    </w:rPr>
                  </w:pPr>
                </w:p>
              </w:sdtContent>
            </w:sdt>
            <w:sdt>
              <w:sdtPr>
                <w:alias w:val="6.2 pp."/>
                <w:tag w:val="part_8788622164b148ec9f484c787f379c55"/>
                <w:lock w:val="sdtLocked"/>
                <w:richText/>
              </w:sdtPr>
              <w:sdtContent>
                <w:p>
                  <w:pPr>
                    <w:ind w:firstLine="567"/>
                    <w:jc w:val="both"/>
                    <w:rPr>
                      <w:color w:val="000000"/>
                      <w:lang w:eastAsia="lt-LT"/>
                    </w:rPr>
                  </w:pPr>
                  <w:sdt>
                    <w:sdtPr>
                      <w:alias w:val="Numeris"/>
                      <w:tag w:val="nr_8788622164b148ec9f484c787f379c55"/>
                      <w:lock w:val="sdtLocked"/>
                      <w:richText/>
                    </w:sdtPr>
                    <w:sdtContent>
                      <w:r>
                        <w:rPr>
                          <w:color w:val="000000"/>
                          <w:lang w:eastAsia="lt-LT"/>
                        </w:rPr>
                        <w:t>6.2</w:t>
                      </w:r>
                    </w:sdtContent>
                  </w:sdt>
                  <w:r>
                    <w:rPr>
                      <w:color w:val="000000"/>
                      <w:lang w:eastAsia="lt-LT"/>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p>
                  <w:pPr>
                    <w:rPr>
                      <w:sz w:val="2"/>
                      <w:szCs w:val="2"/>
                    </w:rPr>
                  </w:pPr>
                </w:p>
              </w:sdtContent>
            </w:sdt>
          </w:sdtContent>
        </w:sdt>
        <w:sdt>
          <w:sdtPr>
            <w:alias w:val="7 p."/>
            <w:tag w:val="part_ab46b57169dd4b82b87278f3931753ed"/>
            <w:lock w:val="sdtLocked"/>
            <w:richText/>
          </w:sdtPr>
          <w:sdtContent>
            <w:p>
              <w:pPr>
                <w:ind w:firstLine="567"/>
                <w:jc w:val="both"/>
                <w:rPr>
                  <w:color w:val="000000"/>
                  <w:lang w:eastAsia="lt-LT"/>
                </w:rPr>
              </w:pPr>
              <w:sdt>
                <w:sdtPr>
                  <w:alias w:val="Numeris"/>
                  <w:tag w:val="nr_ab46b57169dd4b82b87278f3931753ed"/>
                  <w:lock w:val="sdtLocked"/>
                  <w:richText/>
                </w:sdtPr>
                <w:sdtContent>
                  <w:r>
                    <w:rPr>
                      <w:color w:val="000000"/>
                      <w:lang w:eastAsia="lt-LT"/>
                    </w:rPr>
                    <w:t>7</w:t>
                  </w:r>
                </w:sdtContent>
              </w:sdt>
              <w:r>
                <w:rPr>
                  <w:color w:val="000000"/>
                  <w:lang w:eastAsia="lt-LT"/>
                </w:rPr>
                <w:t>. Nevykdant studijų programos reikalavimų profesinių studijų studentui, aukštoji mokykla per 5 darbo dienas nuo šios aplinkybės nustatymo dienos priima sprendimą sustabdyti paramos studijoms teikimą šiam profesinių studijų studentui. Nustačiusi, kad profesinių studijų studentas vėl vykdo studijų programos reikalavimus, aukštoji mokykla per 5 darbo dienas nuo šios aplinkybės nustatymo dienos priima sprendimą atnaujinti paramos studijoms teikimą šiam profesinių studijų studentui. Pedagogikos krypties profesinių studijų studentui, kuriam buvo sustabdytas paramos studijoms teikimas, baigus profesinių studijų programą ir įgijus joje nustatytą kvalifikaciją, per 10 darbo dienų nuo minėtos programos baigimo dienos išmokama visa neišmokėta paramos studijoms dalis.</w:t>
              </w:r>
            </w:p>
            <w:p>
              <w:pPr>
                <w:rPr>
                  <w:sz w:val="2"/>
                  <w:szCs w:val="2"/>
                </w:rPr>
              </w:pPr>
            </w:p>
          </w:sdtContent>
        </w:sdt>
        <w:sdt>
          <w:sdtPr>
            <w:alias w:val="pabaiga"/>
            <w:tag w:val="part_8e55f6cfbee743f8bbef9c52948a750d"/>
            <w:lock w:val="sdtLocked"/>
            <w:richText/>
          </w:sdtPr>
          <w:sdtContent>
            <w:p>
              <w:pPr>
                <w:ind w:firstLine="720"/>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81"/>
    <o:shapelayout v:ext="edit">
      <o:idmap v:ext="edit" data="1"/>
    </o:shapelayout>
  </w:shapeDefaults>
  <w:decimalSymbol w:val=","/>
  <w:listSeparator w:val=";"/>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4.png"/>
  <Relationship Id="rId15" Type="http://schemas.openxmlformats.org/officeDocument/2006/relationships/header" Target="header34.xml"/>
  <Relationship Id="rId16" Type="http://schemas.openxmlformats.org/officeDocument/2006/relationships/header" Target="header35.xml"/>
  <Relationship Id="rId17" Type="http://schemas.openxmlformats.org/officeDocument/2006/relationships/footer" Target="footer34.xml"/>
  <Relationship Id="rId18" Type="http://schemas.openxmlformats.org/officeDocument/2006/relationships/footer" Target="footer35.xml"/>
  <Relationship Id="rId19" Type="http://schemas.openxmlformats.org/officeDocument/2006/relationships/header" Target="header36.xml"/>
  <Relationship Id="rId2" Type="http://schemas.openxmlformats.org/officeDocument/2006/relationships/header" Target="header17.xml"/>
  <Relationship Id="rId20" Type="http://schemas.openxmlformats.org/officeDocument/2006/relationships/footer" Target="footer36.xml"/>
  <Relationship Id="rId21" Type="http://schemas.openxmlformats.org/officeDocument/2006/relationships/header" Target="header43.xml"/>
  <Relationship Id="rId22" Type="http://schemas.openxmlformats.org/officeDocument/2006/relationships/header" Target="header44.xml"/>
  <Relationship Id="rId23" Type="http://schemas.openxmlformats.org/officeDocument/2006/relationships/footer" Target="footer43.xml"/>
  <Relationship Id="rId24" Type="http://schemas.openxmlformats.org/officeDocument/2006/relationships/footer" Target="footer44.xml"/>
  <Relationship Id="rId25" Type="http://schemas.openxmlformats.org/officeDocument/2006/relationships/header" Target="header45.xml"/>
  <Relationship Id="rId26" Type="http://schemas.openxmlformats.org/officeDocument/2006/relationships/footer" Target="footer45.xml"/>
  <Relationship Id="rId27" Type="http://schemas.openxmlformats.org/officeDocument/2006/relationships/header" Target="header55.xml"/>
  <Relationship Id="rId28" Type="http://schemas.openxmlformats.org/officeDocument/2006/relationships/header" Target="header56.xml"/>
  <Relationship Id="rId29" Type="http://schemas.openxmlformats.org/officeDocument/2006/relationships/footer" Target="footer55.xml"/>
  <Relationship Id="rId3" Type="http://schemas.openxmlformats.org/officeDocument/2006/relationships/footer" Target="footer16.xml"/>
  <Relationship Id="rId30" Type="http://schemas.openxmlformats.org/officeDocument/2006/relationships/footer" Target="footer56.xml"/>
  <Relationship Id="rId31" Type="http://schemas.openxmlformats.org/officeDocument/2006/relationships/header" Target="header57.xml"/>
  <Relationship Id="rId32" Type="http://schemas.openxmlformats.org/officeDocument/2006/relationships/footer" Target="footer57.xml"/>
  <Relationship Id="rId33" Type="http://schemas.openxmlformats.org/officeDocument/2006/relationships/header" Target="header70.xml"/>
  <Relationship Id="rId34" Type="http://schemas.openxmlformats.org/officeDocument/2006/relationships/header" Target="header71.xml"/>
  <Relationship Id="rId35" Type="http://schemas.openxmlformats.org/officeDocument/2006/relationships/footer" Target="footer70.xml"/>
  <Relationship Id="rId36" Type="http://schemas.openxmlformats.org/officeDocument/2006/relationships/footer" Target="footer71.xml"/>
  <Relationship Id="rId37" Type="http://schemas.openxmlformats.org/officeDocument/2006/relationships/header" Target="header72.xml"/>
  <Relationship Id="rId38" Type="http://schemas.openxmlformats.org/officeDocument/2006/relationships/footer" Target="footer72.xml"/>
  <Relationship Id="rId39" Type="http://schemas.openxmlformats.org/officeDocument/2006/relationships/header" Target="header76.xml"/>
  <Relationship Id="rId4" Type="http://schemas.openxmlformats.org/officeDocument/2006/relationships/footer" Target="footer17.xml"/>
  <Relationship Id="rId40" Type="http://schemas.openxmlformats.org/officeDocument/2006/relationships/header" Target="header77.xml"/>
  <Relationship Id="rId41" Type="http://schemas.openxmlformats.org/officeDocument/2006/relationships/footer" Target="footer76.xml"/>
  <Relationship Id="rId42" Type="http://schemas.openxmlformats.org/officeDocument/2006/relationships/footer" Target="footer77.xml"/>
  <Relationship Id="rId43" Type="http://schemas.openxmlformats.org/officeDocument/2006/relationships/header" Target="header78.xml"/>
  <Relationship Id="rId44" Type="http://schemas.openxmlformats.org/officeDocument/2006/relationships/footer" Target="footer78.xml"/>
  <Relationship Id="rId45" Type="http://schemas.openxmlformats.org/officeDocument/2006/relationships/header" Target="header91.xml"/>
  <Relationship Id="rId46" Type="http://schemas.openxmlformats.org/officeDocument/2006/relationships/header" Target="header92.xml"/>
  <Relationship Id="rId47" Type="http://schemas.openxmlformats.org/officeDocument/2006/relationships/footer" Target="footer91.xml"/>
  <Relationship Id="rId48" Type="http://schemas.openxmlformats.org/officeDocument/2006/relationships/footer" Target="footer92.xml"/>
  <Relationship Id="rId49" Type="http://schemas.openxmlformats.org/officeDocument/2006/relationships/header" Target="header93.xml"/>
  <Relationship Id="rId5" Type="http://schemas.openxmlformats.org/officeDocument/2006/relationships/header" Target="header18.xml"/>
  <Relationship Id="rId50" Type="http://schemas.openxmlformats.org/officeDocument/2006/relationships/footer" Target="footer93.xml"/>
  <Relationship Id="rId51" Type="http://schemas.openxmlformats.org/officeDocument/2006/relationships/header" Target="header106.xml"/>
  <Relationship Id="rId52" Type="http://schemas.openxmlformats.org/officeDocument/2006/relationships/header" Target="header107.xml"/>
  <Relationship Id="rId53" Type="http://schemas.openxmlformats.org/officeDocument/2006/relationships/footer" Target="footer106.xml"/>
  <Relationship Id="rId54" Type="http://schemas.openxmlformats.org/officeDocument/2006/relationships/footer" Target="footer107.xml"/>
  <Relationship Id="rId55" Type="http://schemas.openxmlformats.org/officeDocument/2006/relationships/header" Target="header108.xml"/>
  <Relationship Id="rId56" Type="http://schemas.openxmlformats.org/officeDocument/2006/relationships/footer" Target="footer108.xml"/>
  <Relationship Id="rId57" Type="http://schemas.openxmlformats.org/officeDocument/2006/relationships/header" Target="header113.xml"/>
  <Relationship Id="rId58" Type="http://schemas.openxmlformats.org/officeDocument/2006/relationships/header" Target="header114.xml"/>
  <Relationship Id="rId59" Type="http://schemas.openxmlformats.org/officeDocument/2006/relationships/footer" Target="footer115.xml"/>
  <Relationship Id="rId6" Type="http://schemas.openxmlformats.org/officeDocument/2006/relationships/footer" Target="footer18.xml"/>
  <Relationship Id="rId60" Type="http://schemas.openxmlformats.org/officeDocument/2006/relationships/footer" Target="footer116.xml"/>
  <Relationship Id="rId61" Type="http://schemas.openxmlformats.org/officeDocument/2006/relationships/footer" Target="footer117.xml"/>
  <Relationship Id="rId62" Type="http://schemas.openxmlformats.org/officeDocument/2006/relationships/header" Target="header115.xml"/>
  <Relationship Id="rId63" Type="http://schemas.openxmlformats.org/officeDocument/2006/relationships/header" Target="header116.xml"/>
  <Relationship Id="rId64" Type="http://schemas.openxmlformats.org/officeDocument/2006/relationships/footer" Target="footer118.xml"/>
  <Relationship Id="rId65" Type="http://schemas.openxmlformats.org/officeDocument/2006/relationships/footer" Target="footer119.xml"/>
  <Relationship Id="rId66" Type="http://schemas.openxmlformats.org/officeDocument/2006/relationships/header" Target="header117.xml"/>
  <Relationship Id="rId67" Type="http://schemas.openxmlformats.org/officeDocument/2006/relationships/footer" Target="footer120.xml"/>
  <Relationship Id="rId68" Type="http://schemas.openxmlformats.org/officeDocument/2006/relationships/hyperlink" TargetMode="External" Target="https://www.e-tar.lt/portal/lt/legalAct/TAR.E356C85AC1C6"/>
  <Relationship Id="rId69"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c2bc39361f354292a47360a37397b015">
    <Part Type="preambule" DocPartId="2f7404f6733d407f9eab40cd63769f47" PartId="75756db7e41449de81e2a920ba448146"/>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4d0c8beef209458b996511ef73934994"/>
      <Part Type="papunktis" Nr="3.14" Abbr="3.14 pp." DocPartId="2fb834d32b3a4f98af1e7a2314f4a0e1" PartId="74a3b3d7dd8147ceb626d222d20e4b8b"/>
      <Part Type="papunktis" Nr="3.15" Abbr="3.15 pp." DocPartId="9fd3c96f53124a65af8d1ea0e8a3c305" PartId="9d1e021617de4e768fafe6ea2795a76f"/>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1063df25e26942fab8e78dbe97a180e6">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712af457c7b3482c88d789369da8ddd8"/>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7e0cf41e3d6b4c9cacab7026a5a75bdf"/>
      <Part Type="punktas" Nr="6" Abbr="6 p." DocPartId="a423a3d2384043e78506b6a63d2927be" PartId="c8df2324cb7942e1891c1e9f7b7a3f8f"/>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e586991fd3f24e4ea1b870c9c9b675d2"/>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c37ff6d02acb42e8b2f9c1740301f8b3">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ed70d6f4f9d415299d095efc0db0e31"/>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cce033c824b441da992125b54b31da64"/>
      <Part Type="punktas" Nr="6" Abbr="6 p." DocPartId="f5fdf9141e1f460cbd74d39ac16eb0b1" PartId="6fa7a274e9aa4335a2853b6d9bbb9433"/>
      <Part Type="punktas" Nr="7" Abbr="7 p." DocPartId="7413bf21c53f4f2d95e5a72afcda4a3a" PartId="a475e40d344f4180a59188bf043b97c3"/>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b4277ad37f7c4cfca257aff13b1bed68">
        <Part Type="papunktis" Nr="15.1" Abbr="15.1 pp." DocPartId="a99861a708514e9f982c931e229f9baf" PartId="b9e61522f43a43a0ac9b6bf261ef378a"/>
        <Part Type="papunktis" Nr="15.2" Abbr="15.2 pp." DocPartId="a46de8a96fc44527ae2bfb2bc0223ebe" PartId="2e8b1ae7c56a41119ce530f4bcd5503e"/>
        <Part Type="papunktis" Nr="15.3" Abbr="15.3 pp." DocPartId="e29f1b4ee77a413980f2b6d0b9fc8d65" PartId="bdcd2f69681e4cc2b0c0ea05b8238d3d"/>
        <Part Type="papunktis" Nr="15.4" Abbr="15.4 pp." DocPartId="fb4beef48fb5429ba86ca68ee722b135" PartId="78fac5c3c85b4e8db8d5ee299b536d84"/>
        <Part Type="papunktis" Nr="15.5" Abbr="15.5 pp." DocPartId="8a6ee9b806b14e1dbc1e116798efca5b" PartId="4dc0ac4c0ba445edbb86a72bf041b104"/>
        <Part Type="papunktis" Nr="15.6" Abbr="15.6 pp." DocPartId="ad84774746144c7591e79dd17b4d903c" PartId="c0ef870e5271448fa352b19bb6f18dcc"/>
        <Part Type="papunktis" Nr="15.7" Abbr="15.7 pp." DocPartId="3883dfaa654e47c09591c24de89c8b3b" PartId="1ebdd4ee73384e1c8fa3c9788a2380c0"/>
      </Part>
      <Part Type="punktas" Nr="16" Abbr="16 p." DocPartId="ca0b84df5e4540c5a89d33a8921de0d6" PartId="c208d98f7f1540738ce13630865a4ca2"/>
      <Part Type="punktas" Nr="17" Abbr="17 p." DocPartId="6a7bdcb9170f414fa37ea1ecca33752c" PartId="14feab94f63343de93b823d832fdb9e7"/>
      <Part Type="punktas" Nr="18" Abbr="18 p." DocPartId="38f6d89f29984f1ca8b845fe2d81abd1" PartId="74cc0e9476f2485786803bbc127da20b">
        <Part Type="papunktis" Nr="18.1" Abbr="18.1 pp." DocPartId="47cadacd0dad4a7293c5d40550cbba36" PartId="b405e9c3595d4f1d82389c7055894b93"/>
        <Part Type="papunktis" Nr="18.2" Abbr="18.2 pp." DocPartId="57dba59947844183ad509c8adbdfe2ed" PartId="cf8abb90bd0c4f1bb0e086bf9e7568ff"/>
        <Part Type="papunktis" Nr="18.3" Abbr="18.3 pp." DocPartId="9ecc1197a3084e88850c579ee35a71f1" PartId="c12691a4e1784823b19af25d357d71c3"/>
      </Part>
      <Part Type="punktas" Nr="19" Abbr="19 p." DocPartId="8bbdd9b8aa524ab6b227594c305687bd" PartId="02aa058b5a344f38b9fcd1e7f4cb2164">
        <Part Type="papunktis" Nr="19.1" Abbr="19.1 pp." DocPartId="10ae6aac284f46bdafcf45a6b46dd561" PartId="7d304ba6302d42caa0702b526156c304"/>
        <Part Type="papunktis" Nr="19.2" Abbr="19.2 pp." DocPartId="381371cf7c864021a2cc554a65890cd0" PartId="4c88c1e8b6a44e4f91beadcc1daa47b0"/>
        <Part Type="papunktis" Nr="19.3" Abbr="19.3 pp." DocPartId="cfe50e7247c84a878445f94dbbc959b6" PartId="1e973a40723f4e368121c82991f9aba9"/>
        <Part Type="papunktis" Nr="19.4" Abbr="19.4 pp." DocPartId="89b6b396e6e943f2b9e9912bb3c79a38" PartId="e807680238de4666851a3d03c9dd8d2e"/>
      </Part>
      <Part Type="punktas" Nr="20" Abbr="20 p." DocPartId="4d7d0db4934149b0830ad0a89bb2d61e" PartId="ef1b3c443bcd43dfb49fd6d47baeb155"/>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1087ed2f3a8f4994af12824b9470ca3a">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65d061eaf1a545c59fd343eec8d8c232">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07a680109dab48728ce4e3e3fee4f222">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2a4f18f5031d4384916cc01bb8e3251b">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IR STUDENTAMS, STUDIJUOJANTIEMS PAGAL PROFESINES STUDIJŲ PROGRAMAS, TVARKOS APRAŠAS" DocPartId="c07f8b5d1ea44da9b587b4832fbcac92" PartId="5a2632e981a54d66867d7905b7c4f734">
    <Part Type="punktas" Nr="1" Abbr="1 p." DocPartId="bc055662276741a381b05b72e7298537" PartId="05c8ffb0bdc24ed4b21b910e1bb05c0e"/>
    <Part Type="punktas" Nr="2" Abbr="2 p." DocPartId="1d122a367a8e456889812f06336bf029" PartId="549666a73652493a973d5e994730fe5d">
      <Part Type="papunktis" Nr="2.1" Abbr="2.1 pp." DocPartId="072f205ad7424fa78a2ad1ca69aa1927" PartId="8244026ebbb64ee1bf8cd062fe56906b"/>
      <Part Type="papunktis" Nr="2.2" Abbr="2.2 pp." DocPartId="44dba774d8124902ac535a430090b6b9" PartId="d58ac2abb07b453c81c80f44735652dd"/>
      <Part Type="papunktis" Nr="2.3" Abbr="2.3 pp." DocPartId="29b8a240bee24ca18de12c15d1bf8a12" PartId="17a491074fe44b8a87bf9c02e94b7ae6"/>
    </Part>
    <Part Type="punktas" Nr="3" Abbr="3 p." DocPartId="ee9f4e2ceb724bd585303e7012c3fbd5" PartId="26aeab04b17e40c9a51a52350ffcb0a4"/>
    <Part Type="punktas" Nr="4" Abbr="4 p." DocPartId="348a878c766a49e49119482eddba4658" PartId="74564c827b694a95823e3e5c3cd5be09"/>
    <Part Type="punktas" Nr="5" Abbr="5 p." DocPartId="8453891b13e24522b88f99f01b1aa66b" PartId="eaf4a4e4b231412ab32e925eef283145"/>
    <Part Type="punktas" Nr="6" Abbr="6 p." DocPartId="912d6aed052046d5ba06a649c3f9e579" PartId="6929c5cbc1164282a70010e573936f7a">
      <Part Type="papunktis" Nr="6.1" Abbr="6.1 pp." DocPartId="ca825c1240c0460282b8023cb3a21aa2" PartId="34bb29032abf4595b685c2a4225ff612"/>
      <Part Type="papunktis" Nr="6.2" Abbr="6.2 pp." DocPartId="e22e1b214a4049ed8c699c0847b93cab" PartId="8788622164b148ec9f484c787f379c55"/>
    </Part>
    <Part Type="punktas" Nr="7" Abbr="7 p." DocPartId="76a94d2a3f2d4a20afaf13f4107fde2d" PartId="ab46b57169dd4b82b87278f3931753ed"/>
    <Part Type="pabaiga" DocPartId="168aa2fbdc64446c95e252d4b8b645f8" PartId="8e55f6cfbee743f8bbef9c52948a750d"/>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s>
</file>

<file path=customXml/itemProps1.xml><?xml version="1.0" encoding="utf-8"?>
<ds:datastoreItem xmlns:ds="http://schemas.openxmlformats.org/officeDocument/2006/customXml" ds:itemID="{31317AF5-4E1D-4088-8B9A-A3B3697ADC65}">
  <ds:schemaRefs>
    <ds:schemaRef ds:uri="http://lrs.lt/TAIS/DocParts"/>
  </ds:schemaRefs>
</ds:datastoreItem>
</file>

<file path=docProps/app.xml><?xml version="1.0" encoding="utf-8"?>
<Properties xmlns="http://schemas.openxmlformats.org/officeDocument/2006/extended-properties">
  <Template>Normal.dotm</Template>
  <TotalTime>131</TotalTime>
  <Pages>55</Pages>
  <Words>15911</Words>
  <Characters>114882</Characters>
  <Application>Microsoft Office Word</Application>
  <DocSecurity>0</DocSecurity>
  <Lines>957</Lines>
  <Paragraphs>261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130532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2024-08-08T07:08:00Z</dcterms:modified>
  <revision>39</revision>
</coreProperties>
</file>