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387ac4c8ddd43c5a3ff0898d5d8c596"/>
        <w:lock w:val="sdtLocked"/>
        <w:richText/>
      </w:sdtPr>
      <w:sdtContent>
        <w:p>
          <w:pPr>
            <w:jc w:val="both"/>
            <w:rPr>
              <w:rFonts w:ascii="Arial" w:hAnsi="Arial"/>
            </w:rPr>
          </w:pPr>
          <w:r>
            <w:rPr>
              <w:rFonts w:ascii="Arial" w:hAnsi="Arial"/>
              <w:b/>
              <w:i/>
            </w:rPr>
            <w:t>Suvestinė redakcija nuo 2018-05-08 iki 2018-12-20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rPr>
              <w:lang w:eastAsia="lt-LT"/>
            </w:rPr>
          </w:pPr>
          <w:r>
            <w:rPr>
              <w:lang w:eastAsia="lt-LT"/>
            </w:rPr>
            <w:tab/>
          </w:r>
        </w:p>
        <w:p>
          <w:pPr>
            <w:ind w:firstLine="62"/>
            <w:jc w:val="center"/>
            <w:rPr>
              <w:lang w:eastAsia="lt-LT"/>
            </w:rPr>
          </w:pPr>
          <w:r>
            <w:rPr>
              <w:lang w:eastAsia="lt-LT"/>
            </w:rPr>
            <w:t>2017 m. kovo 1 d. Nr. 149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b5e8dd0978944140afc9a6f8c0af4066"/>
            <w:lock w:val="sdtLocked"/>
            <w:richText/>
          </w:sdtPr>
          <w:sdtContent>
            <w:p>
              <w:pPr>
                <w:widowControl w:val="0"/>
                <w:ind w:firstLine="720"/>
                <w:jc w:val="both"/>
              </w:pPr>
              <w:r>
                <w:rPr>
                  <w:lang w:eastAsia="lt-LT"/>
                </w:rPr>
                <w:t xml:space="preserve">Vadovaudamasi Lietuvos Respublikos mokslo ir studijų įstatymo 42 straipsnio 1 dalimi, 44 straipsnio 1 dalimi, 52 straipsnio 10 dalimi, 53 straipsnio 8, 13 dalimis, 75 straipsnio 2, 3, 4 dalimis, 77 straipsnio 7, 13, 14 dalimis, 79 straipsnio 1 dalimi ir 83 straipsnio 4 dalimi,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fa7a34dd3ec04e19b26d45584dbd80bc"/>
                        <w:lock w:val="sdtLocked"/>
                        <w:richText/>
                      </w:sdtPr>
                      <w:sdtContent>
                        <w:p>
                          <w:pPr>
                            <w:spacing w:line="276" w:lineRule="auto"/>
                            <w:ind w:firstLine="720"/>
                            <w:jc w:val="both"/>
                            <w:rPr>
                              <w:szCs w:val="24"/>
                              <w:lang w:eastAsia="lt-LT"/>
                            </w:rPr>
                          </w:pPr>
                          <w:sdt>
                            <w:sdtPr>
                              <w:alias w:val="Numeris"/>
                              <w:tag w:val="nr_fa7a34dd3ec04e19b26d45584dbd80bc"/>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ir mokslo ministro (toliau – ministras) universitetams ir institutams patvirtintais norminiais etatais ir jų verte;</w:t>
                          </w:r>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5c806a69f7447797dcee515eb72a44"/>
                <w:lock w:val="sdtLocked"/>
                <w:richText/>
              </w:sdtPr>
              <w:sdtContent>
                <w:p>
                  <w:pPr>
                    <w:spacing w:line="276" w:lineRule="auto"/>
                    <w:ind w:firstLine="720"/>
                    <w:jc w:val="both"/>
                    <w:rPr>
                      <w:szCs w:val="24"/>
                      <w:lang w:eastAsia="lt-LT"/>
                    </w:rPr>
                  </w:pPr>
                  <w:sdt>
                    <w:sdtPr>
                      <w:alias w:val="Numeris"/>
                      <w:tag w:val="nr_735c806a69f7447797dcee515eb72a44"/>
                      <w:lock w:val="sdtLocked"/>
                      <w:richText/>
                    </w:sdtPr>
                    <w:sdtContent>
                      <w:r>
                        <w:rPr>
                          <w:szCs w:val="24"/>
                          <w:lang w:eastAsia="lt-LT"/>
                        </w:rPr>
                        <w:t>2.1</w:t>
                      </w:r>
                    </w:sdtContent>
                  </w:sdt>
                  <w:r>
                    <w:rPr>
                      <w:szCs w:val="24"/>
                      <w:lang w:eastAsia="lt-LT"/>
                    </w:rPr>
                    <w:t>. švietimo ir mokslo ministrą nustatyti pedagogikos krypties profesinių studijų vykdymo reikalavimus;</w:t>
                  </w:r>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7cd8ad466334413081e6456273bcd88a"/>
                <w:lock w:val="sdtLocked"/>
                <w:richText/>
              </w:sdtPr>
              <w:sdtContent>
                <w:p>
                  <w:pPr>
                    <w:ind w:firstLine="709"/>
                    <w:jc w:val="both"/>
                    <w:rPr>
                      <w:lang w:eastAsia="lt-LT"/>
                    </w:rPr>
                  </w:pPr>
                  <w:sdt>
                    <w:sdtPr>
                      <w:alias w:val="Numeris"/>
                      <w:tag w:val="nr_7cd8ad466334413081e6456273bcd88a"/>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fa456caf4e254a58a61b851111c7a638"/>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fa456caf4e254a58a61b851111c7a638"/>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9ff26a5426d84ea780180513f3bbb84e"/>
                    <w:lock w:val="sdtLocked"/>
                    <w:richText/>
                  </w:sdtPr>
                  <w:sdtContent>
                    <w:p>
                      <w:pPr>
                        <w:tabs>
                          <w:tab w:val="center" w:pos="4153"/>
                          <w:tab w:val="right" w:pos="8306"/>
                        </w:tabs>
                        <w:spacing w:line="360" w:lineRule="atLeast"/>
                        <w:ind w:firstLine="720"/>
                        <w:jc w:val="both"/>
                        <w:rPr>
                          <w:lang w:eastAsia="lt-LT"/>
                        </w:rPr>
                      </w:pPr>
                      <w:sdt>
                        <w:sdtPr>
                          <w:alias w:val="Numeris"/>
                          <w:tag w:val="nr_9ff26a5426d84ea780180513f3bbb84e"/>
                          <w:lock w:val="sdtLocked"/>
                          <w:richText/>
                        </w:sdtPr>
                        <w:sdtContent>
                          <w:r>
                            <w:rPr>
                              <w:szCs w:val="24"/>
                              <w:lang w:eastAsia="lt-LT"/>
                            </w:rPr>
                            <w:t>4.3</w:t>
                          </w:r>
                        </w:sdtContent>
                      </w:sdt>
                      <w:r>
                        <w:rPr>
                          <w:szCs w:val="24"/>
                          <w:lang w:eastAsia="lt-LT"/>
                        </w:rPr>
                        <w:t>. bazinės išlaidos akademinių darbuotojų darbo užmokesčiui apskaičiuojamos remiantis Lietuvos Respublikos Seimo patvirtintu pareiginės algos baziniu dydžiu (toliau – bazinis dydis): 6,07 bazinio dydžio (universitetinėms studijoms) arba 5,17 bazinio dydžio (koleginėms studijoms) dauginama iš 12 mėnesių ir dalijama iš vienam akademiniam darbuotojui tenkančio norminio studentų skaičiaus, kuris lygus 20;</w:t>
                      </w:r>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6f786f8474b54deab8f7f6ac911d5a05"/>
                    <w:lock w:val="sdtLocked"/>
                    <w:richText/>
                  </w:sdtPr>
                  <w:sdtContent>
                    <w:p>
                      <w:pPr>
                        <w:spacing w:line="360" w:lineRule="atLeast"/>
                        <w:ind w:firstLine="720"/>
                        <w:jc w:val="both"/>
                        <w:rPr>
                          <w:szCs w:val="24"/>
                          <w:lang w:eastAsia="lt-LT"/>
                        </w:rPr>
                      </w:pPr>
                      <w:sdt>
                        <w:sdtPr>
                          <w:alias w:val="Numeris"/>
                          <w:tag w:val="nr_6f786f8474b54deab8f7f6ac911d5a05"/>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3,2 BSI.</w:t>
                      </w:r>
                    </w:p>
                  </w:sdtContent>
                </w:sdt>
              </w:sdtContent>
            </w:sdt>
            <w:sdt>
              <w:sdtPr>
                <w:alias w:val="5 p."/>
                <w:tag w:val="part_6decd78dcba84a5ca0e6bc6b1b429349"/>
                <w:lock w:val="sdtLocked"/>
                <w:richText/>
              </w:sdtPr>
              <w:sdtContent>
                <w:p>
                  <w:pPr>
                    <w:spacing w:line="360" w:lineRule="atLeast"/>
                    <w:ind w:firstLine="720"/>
                    <w:jc w:val="both"/>
                    <w:rPr>
                      <w:szCs w:val="24"/>
                      <w:lang w:eastAsia="lt-LT"/>
                    </w:rPr>
                  </w:pPr>
                  <w:sdt>
                    <w:sdtPr>
                      <w:alias w:val="Numeris"/>
                      <w:tag w:val="nr_6decd78dcba84a5ca0e6bc6b1b429349"/>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3,1 BSI</w:t>
                  </w:r>
                  <w:r>
                    <w:rPr>
                      <w:szCs w:val="24"/>
                      <w:lang w:eastAsia="lt-LT"/>
                    </w:rPr>
                    <w:t xml:space="preserve">. </w:t>
                  </w:r>
                </w:p>
              </w:sdtContent>
            </w:sdt>
            <w:sdt>
              <w:sdtPr>
                <w:alias w:val="6 p."/>
                <w:tag w:val="part_ac530c527f4c4cbdb2ddefd7821d09fb"/>
                <w:lock w:val="sdtLocked"/>
                <w:richText/>
              </w:sdtPr>
              <w:sdtContent>
                <w:p>
                  <w:pPr>
                    <w:spacing w:line="360" w:lineRule="atLeast"/>
                    <w:ind w:firstLine="720"/>
                    <w:jc w:val="both"/>
                    <w:rPr>
                      <w:szCs w:val="24"/>
                      <w:lang w:eastAsia="lt-LT"/>
                    </w:rPr>
                  </w:pPr>
                  <w:sdt>
                    <w:sdtPr>
                      <w:alias w:val="Numeris"/>
                      <w:tag w:val="nr_ac530c527f4c4cbdb2ddefd7821d09fb"/>
                      <w:lock w:val="sdtLocked"/>
                      <w:richText/>
                    </w:sdtPr>
                    <w:sdtContent>
                      <w:r>
                        <w:rPr>
                          <w:szCs w:val="24"/>
                          <w:lang w:eastAsia="lt-LT"/>
                        </w:rPr>
                        <w:t>6</w:t>
                      </w:r>
                    </w:sdtContent>
                  </w:sdt>
                  <w:r>
                    <w:rPr>
                      <w:szCs w:val="24"/>
                      <w:lang w:eastAsia="lt-LT"/>
                    </w:rPr>
                    <w:t xml:space="preserve">.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7,62 </w:t>
                  </w:r>
                  <w:r>
                    <w:rPr>
                      <w:color w:val="000000"/>
                      <w:szCs w:val="24"/>
                      <w:lang w:eastAsia="lt-LT"/>
                    </w:rPr>
                    <w:t>bazinio dydžio</w:t>
                  </w:r>
                  <w:r>
                    <w:rPr>
                      <w:szCs w:val="24"/>
                      <w:lang w:eastAsia="lt-LT"/>
                    </w:rPr>
                    <w:t xml:space="preserve">, rezidentūros atveju – 19,86 </w:t>
                  </w:r>
                  <w:r>
                    <w:rPr>
                      <w:color w:val="000000"/>
                      <w:szCs w:val="24"/>
                      <w:lang w:eastAsia="lt-LT"/>
                    </w:rPr>
                    <w:t>bazinio dydžio</w:t>
                  </w:r>
                  <w:r>
                    <w:rPr>
                      <w:szCs w:val="24"/>
                      <w:lang w:eastAsia="lt-LT"/>
                    </w:rPr>
                    <w:t xml:space="preserve">. </w:t>
                  </w:r>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1f5d86b7aec5467482696f93bf08d381"/>
                    <w:lock w:val="sdtLocked"/>
                    <w:richText/>
                  </w:sdtPr>
                  <w:sdtContent>
                    <w:p>
                      <w:pPr>
                        <w:spacing w:line="360" w:lineRule="atLeast"/>
                        <w:ind w:firstLine="720"/>
                        <w:jc w:val="both"/>
                        <w:rPr>
                          <w:szCs w:val="24"/>
                          <w:lang w:eastAsia="lt-LT"/>
                        </w:rPr>
                      </w:pPr>
                      <w:sdt>
                        <w:sdtPr>
                          <w:alias w:val="Numeris"/>
                          <w:tag w:val="nr_1f5d86b7aec5467482696f93bf08d381"/>
                          <w:lock w:val="sdtLocked"/>
                          <w:richText/>
                        </w:sdtPr>
                        <w:sdtContent>
                          <w:r>
                            <w:rPr>
                              <w:szCs w:val="24"/>
                              <w:lang w:eastAsia="lt-LT"/>
                            </w:rPr>
                            <w:t>7.2</w:t>
                          </w:r>
                        </w:sdtContent>
                      </w:sdt>
                      <w:r>
                        <w:rPr>
                          <w:szCs w:val="24"/>
                          <w:lang w:eastAsia="lt-LT"/>
                        </w:rPr>
                        <w:t xml:space="preserve">. išlaidos akademinių darbuotojų darbo užmokesčiui apskaičiuojamos 8,08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d4fbb1a97ec34bcf9c53b69d51a495dd"/>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d4fbb1a97ec34bcf9c53b69d51a495dd"/>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istorijos, archeologijos,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41efa0a7a7f044f29c24cb4fd3146bc9"/>
            <w:lock w:val="sdtLocked"/>
            <w:richText/>
          </w:sdtPr>
          <w:sdtContent>
            <w:p>
              <w:pPr>
                <w:tabs>
                  <w:tab w:val="left" w:pos="6237"/>
                  <w:tab w:val="right" w:pos="8306"/>
                </w:tabs>
                <w:jc w:val="center"/>
                <w:rPr>
                  <w:lang w:eastAsia="lt-LT"/>
                </w:rPr>
              </w:pPr>
              <w:r>
                <w:rPr>
                  <w:color w:val="000000"/>
                </w:rPr>
                <w:t>––––––––––––––––––––</w:t>
              </w:r>
            </w:p>
          </w:sdtContent>
        </w:sdt>
      </w:sdtContent>
    </w:sdt>
    <w:sdt>
      <w:sdtPr>
        <w:alias w:val="patvirtinta"/>
        <w:tag w:val="part_b733ecbb7c6c456881a9c5593048acad"/>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733ecbb7c6c456881a9c5593048aca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6df19eaf5d5b48ca8d9bc57c59d9d176"/>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6df19eaf5d5b48ca8d9bc57c59d9d176"/>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6ffae62b634148b2d282b81449f04a"/>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c06ffae62b634148b2d282b81449f04a"/>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ed70d6f4f9d415299d095efc0db0e3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d70d6f4f9d415299d095efc0db0e31"/>
                              <w:lock w:val="sdtLocked"/>
                              <w:richText/>
                            </w:sdtPr>
                            <w:sdtContent>
                              <w:r>
                                <w:rPr>
                                  <w:color w:val="000000"/>
                                  <w:lang w:eastAsia="lt-LT"/>
                                </w:rPr>
                                <w:t>4.1.1</w:t>
                              </w:r>
                            </w:sdtContent>
                          </w:sdt>
                          <w:r>
                            <w:rPr>
                              <w:color w:val="000000"/>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ir mokslo ministro (toliau – ministras) tvirtinamame kasmetinio universitetų ir institutų MTEP ir meno veiklos vertinimo reglamente nustatyti mokslo (meno) darbai;</w:t>
                          </w:r>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b4277ad37f7c4cfca257aff13b1bed6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277ad37f7c4cfca257aff13b1bed68"/>
                      <w:lock w:val="sdtLocked"/>
                      <w:richText/>
                    </w:sdtPr>
                    <w:sdtContent>
                      <w:r>
                        <w:rPr>
                          <w:color w:val="000000"/>
                          <w:lang w:eastAsia="lt-LT"/>
                        </w:rPr>
                        <w:t>15</w:t>
                      </w:r>
                    </w:sdtContent>
                  </w:sdt>
                  <w:r>
                    <w:rPr>
                      <w:color w:val="000000"/>
                      <w:lang w:eastAsia="lt-LT"/>
                    </w:rPr>
                    <w:t>. Lėšos MTEP ir menui mokslo sritims ir menui padalijamos procentais taip:</w:t>
                  </w:r>
                </w:p>
                <w:sdt>
                  <w:sdtPr>
                    <w:alias w:val="15.1 pp."/>
                    <w:tag w:val="part_b9e61522f43a43a0ac9b6bf261ef37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e61522f43a43a0ac9b6bf261ef378a"/>
                          <w:lock w:val="sdtLocked"/>
                          <w:richText/>
                        </w:sdtPr>
                        <w:sdtContent>
                          <w:r>
                            <w:rPr>
                              <w:color w:val="000000"/>
                              <w:lang w:eastAsia="lt-LT"/>
                            </w:rPr>
                            <w:t>15.1</w:t>
                          </w:r>
                        </w:sdtContent>
                      </w:sdt>
                      <w:r>
                        <w:rPr>
                          <w:color w:val="000000"/>
                          <w:lang w:eastAsia="lt-LT"/>
                        </w:rPr>
                        <w:t>. humanitarinių mokslų sričiai – 14;</w:t>
                      </w:r>
                    </w:p>
                  </w:sdtContent>
                </w:sdt>
                <w:sdt>
                  <w:sdtPr>
                    <w:alias w:val="15.2 pp."/>
                    <w:tag w:val="part_2e8b1ae7c56a41119ce530f4bcd5503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8b1ae7c56a41119ce530f4bcd5503e"/>
                          <w:lock w:val="sdtLocked"/>
                          <w:richText/>
                        </w:sdtPr>
                        <w:sdtContent>
                          <w:r>
                            <w:rPr>
                              <w:color w:val="000000"/>
                              <w:lang w:eastAsia="lt-LT"/>
                            </w:rPr>
                            <w:t>15.2</w:t>
                          </w:r>
                        </w:sdtContent>
                      </w:sdt>
                      <w:r>
                        <w:rPr>
                          <w:color w:val="000000"/>
                          <w:lang w:eastAsia="lt-LT"/>
                        </w:rPr>
                        <w:t>. socialinių mokslų sričiai – 11;</w:t>
                      </w:r>
                    </w:p>
                  </w:sdtContent>
                </w:sdt>
                <w:sdt>
                  <w:sdtPr>
                    <w:alias w:val="15.3 pp."/>
                    <w:tag w:val="part_bdcd2f69681e4cc2b0c0ea05b8238d3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cd2f69681e4cc2b0c0ea05b8238d3d"/>
                          <w:lock w:val="sdtLocked"/>
                          <w:richText/>
                        </w:sdtPr>
                        <w:sdtContent>
                          <w:r>
                            <w:rPr>
                              <w:color w:val="000000"/>
                              <w:lang w:eastAsia="lt-LT"/>
                            </w:rPr>
                            <w:t>15.3</w:t>
                          </w:r>
                        </w:sdtContent>
                      </w:sdt>
                      <w:r>
                        <w:rPr>
                          <w:color w:val="000000"/>
                          <w:lang w:eastAsia="lt-LT"/>
                        </w:rPr>
                        <w:t>. fizinių mokslų sričiai – 25;</w:t>
                      </w:r>
                    </w:p>
                  </w:sdtContent>
                </w:sdt>
                <w:sdt>
                  <w:sdtPr>
                    <w:alias w:val="15.4 pp."/>
                    <w:tag w:val="part_78fac5c3c85b4e8db8d5ee299b536d8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8fac5c3c85b4e8db8d5ee299b536d84"/>
                          <w:lock w:val="sdtLocked"/>
                          <w:richText/>
                        </w:sdtPr>
                        <w:sdtContent>
                          <w:r>
                            <w:rPr>
                              <w:color w:val="000000"/>
                              <w:lang w:eastAsia="lt-LT"/>
                            </w:rPr>
                            <w:t>15.4</w:t>
                          </w:r>
                        </w:sdtContent>
                      </w:sdt>
                      <w:r>
                        <w:rPr>
                          <w:color w:val="000000"/>
                          <w:lang w:eastAsia="lt-LT"/>
                        </w:rPr>
                        <w:t>. biomedicinos mokslų sričiai – 19;</w:t>
                      </w:r>
                    </w:p>
                  </w:sdtContent>
                </w:sdt>
                <w:sdt>
                  <w:sdtPr>
                    <w:alias w:val="15.5 pp."/>
                    <w:tag w:val="part_4dc0ac4c0ba445edbb86a72bf041b1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dc0ac4c0ba445edbb86a72bf041b104"/>
                          <w:lock w:val="sdtLocked"/>
                          <w:richText/>
                        </w:sdtPr>
                        <w:sdtContent>
                          <w:r>
                            <w:rPr>
                              <w:color w:val="000000"/>
                              <w:lang w:eastAsia="lt-LT"/>
                            </w:rPr>
                            <w:t>15.5</w:t>
                          </w:r>
                        </w:sdtContent>
                      </w:sdt>
                      <w:r>
                        <w:rPr>
                          <w:color w:val="000000"/>
                          <w:lang w:eastAsia="lt-LT"/>
                        </w:rPr>
                        <w:t>. žemės ūkio mokslų sričiai – 6;</w:t>
                      </w:r>
                    </w:p>
                  </w:sdtContent>
                </w:sdt>
                <w:sdt>
                  <w:sdtPr>
                    <w:alias w:val="15.6 pp."/>
                    <w:tag w:val="part_c0ef870e5271448fa352b19bb6f18dc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0ef870e5271448fa352b19bb6f18dcc"/>
                          <w:lock w:val="sdtLocked"/>
                          <w:richText/>
                        </w:sdtPr>
                        <w:sdtContent>
                          <w:r>
                            <w:rPr>
                              <w:color w:val="000000"/>
                              <w:lang w:eastAsia="lt-LT"/>
                            </w:rPr>
                            <w:t>15.6</w:t>
                          </w:r>
                        </w:sdtContent>
                      </w:sdt>
                      <w:r>
                        <w:rPr>
                          <w:color w:val="000000"/>
                          <w:lang w:eastAsia="lt-LT"/>
                        </w:rPr>
                        <w:t>. technologijos mokslų sričiai – 21;</w:t>
                      </w:r>
                    </w:p>
                  </w:sdtContent>
                </w:sdt>
                <w:sdt>
                  <w:sdtPr>
                    <w:alias w:val="15.7 pp."/>
                    <w:tag w:val="part_1ebdd4ee73384e1c8fa3c9788a2380c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bdd4ee73384e1c8fa3c9788a2380c0"/>
                          <w:lock w:val="sdtLocked"/>
                          <w:richText/>
                        </w:sdtPr>
                        <w:sdtContent>
                          <w:r>
                            <w:rPr>
                              <w:color w:val="000000"/>
                              <w:lang w:eastAsia="lt-LT"/>
                            </w:rPr>
                            <w:t>15.7</w:t>
                          </w:r>
                        </w:sdtContent>
                      </w:sdt>
                      <w:r>
                        <w:rPr>
                          <w:color w:val="000000"/>
                          <w:lang w:eastAsia="lt-LT"/>
                        </w:rPr>
                        <w:t>. menui – 4.</w:t>
                      </w:r>
                    </w:p>
                  </w:sdtContent>
                </w:sdt>
              </w:sdtContent>
            </w:sdt>
            <w:sdt>
              <w:sdtPr>
                <w:alias w:val="16 p."/>
                <w:tag w:val="part_c208d98f7f1540738ce13630865a4ca2"/>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208d98f7f1540738ce13630865a4ca2"/>
                      <w:lock w:val="sdtLocked"/>
                      <w:richText/>
                    </w:sdtPr>
                    <w:sdtContent>
                      <w:r>
                        <w:rPr>
                          <w:color w:val="000000"/>
                          <w:lang w:eastAsia="lt-LT"/>
                        </w:rPr>
                        <w:t>16</w:t>
                      </w:r>
                    </w:sdtContent>
                  </w:sdt>
                  <w:r>
                    <w:rPr>
                      <w:color w:val="000000"/>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suminiams įverčiams.</w:t>
                  </w:r>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74cc0e9476f2485786803bbc127da20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4cc0e9476f2485786803bbc127da20b"/>
                      <w:lock w:val="sdtLocked"/>
                      <w:richText/>
                    </w:sdtPr>
                    <w:sdtContent>
                      <w:r>
                        <w:rPr>
                          <w:color w:val="000000"/>
                          <w:lang w:eastAsia="lt-LT"/>
                        </w:rPr>
                        <w:t>18</w:t>
                      </w:r>
                    </w:sdtContent>
                  </w:sdt>
                  <w:r>
                    <w:rPr>
                      <w:color w:val="000000"/>
                      <w:lang w:eastAsia="lt-LT"/>
                    </w:rPr>
                    <w:t>. Pagal universitetų ir institutų gautas programų lėšas paskirstomų likusių lėšų MTEP ir menui suma sudaro 17 procentų visų universitetų ir institutų gautų programų lėšų sumos su sąlyga, kad skirstoma suma neviršija tokios pagal tų metų kasmetinio vertinimo rezultatus skirstomos likusių lėšų MTEP ir menui dalies procentais:</w:t>
                  </w:r>
                </w:p>
                <w:sdt>
                  <w:sdtPr>
                    <w:alias w:val="18.1 pp."/>
                    <w:tag w:val="part_b405e9c3595d4f1d82389c7055894b9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05e9c3595d4f1d82389c7055894b93"/>
                          <w:lock w:val="sdtLocked"/>
                          <w:richText/>
                        </w:sdtPr>
                        <w:sdtContent>
                          <w:r>
                            <w:rPr>
                              <w:color w:val="000000"/>
                              <w:lang w:eastAsia="lt-LT"/>
                            </w:rPr>
                            <w:t>18.1</w:t>
                          </w:r>
                        </w:sdtContent>
                      </w:sdt>
                      <w:r>
                        <w:rPr>
                          <w:color w:val="000000"/>
                          <w:lang w:eastAsia="lt-LT"/>
                        </w:rPr>
                        <w:t>. humanitarinių mokslų srityje – 5;</w:t>
                      </w:r>
                    </w:p>
                  </w:sdtContent>
                </w:sdt>
                <w:sdt>
                  <w:sdtPr>
                    <w:alias w:val="18.2 pp."/>
                    <w:tag w:val="part_cf8abb90bd0c4f1bb0e086bf9e7568f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f8abb90bd0c4f1bb0e086bf9e7568ff"/>
                          <w:lock w:val="sdtLocked"/>
                          <w:richText/>
                        </w:sdtPr>
                        <w:sdtContent>
                          <w:r>
                            <w:rPr>
                              <w:color w:val="000000"/>
                              <w:lang w:eastAsia="lt-LT"/>
                            </w:rPr>
                            <w:t>18.2</w:t>
                          </w:r>
                        </w:sdtContent>
                      </w:sdt>
                      <w:r>
                        <w:rPr>
                          <w:color w:val="000000"/>
                          <w:lang w:eastAsia="lt-LT"/>
                        </w:rPr>
                        <w:t>. fizinių, biomedicinos ir žemės ūkio mokslų srityse – 15;</w:t>
                      </w:r>
                    </w:p>
                  </w:sdtContent>
                </w:sdt>
                <w:sdt>
                  <w:sdtPr>
                    <w:alias w:val="18.3 pp."/>
                    <w:tag w:val="part_c12691a4e1784823b19af25d357d71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12691a4e1784823b19af25d357d71c3"/>
                          <w:lock w:val="sdtLocked"/>
                          <w:richText/>
                        </w:sdtPr>
                        <w:sdtContent>
                          <w:r>
                            <w:rPr>
                              <w:color w:val="000000"/>
                              <w:lang w:eastAsia="lt-LT"/>
                            </w:rPr>
                            <w:t>18.3</w:t>
                          </w:r>
                        </w:sdtContent>
                      </w:sdt>
                      <w:r>
                        <w:rPr>
                          <w:color w:val="000000"/>
                          <w:lang w:eastAsia="lt-LT"/>
                        </w:rPr>
                        <w:t>. socialinių ir technologijos mokslų srityse – 20.</w:t>
                      </w:r>
                    </w:p>
                  </w:sdtContent>
                </w:sdt>
              </w:sdtContent>
            </w:sdt>
            <w:sdt>
              <w:sdtPr>
                <w:alias w:val="19 p."/>
                <w:tag w:val="part_02aa058b5a344f38b9fcd1e7f4cb21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2aa058b5a344f38b9fcd1e7f4cb2164"/>
                      <w:lock w:val="sdtLocked"/>
                      <w:richText/>
                    </w:sdtPr>
                    <w:sdtContent>
                      <w:r>
                        <w:rPr>
                          <w:color w:val="000000"/>
                          <w:lang w:eastAsia="lt-LT"/>
                        </w:rPr>
                        <w:t>19</w:t>
                      </w:r>
                    </w:sdtContent>
                  </w:sdt>
                  <w:r>
                    <w:rPr>
                      <w:color w:val="000000"/>
                      <w:lang w:eastAsia="lt-LT"/>
                    </w:rPr>
                    <w:t>. Pagal universitetų ir institutų gautas užsakymų lėšas paskirstomų likusių lėšų MTEP ir menui suma sudaro 17 procentų visų universitetų ir institutų gautų užsakymų lėšų sumos su sąlyga, kad skirstoma suma neviršija tokios pagal tų metų kasmetinio vertinimo rezultatus skirstomos likusių lėšų MTEP ir menui dalies procentais:</w:t>
                  </w:r>
                </w:p>
                <w:sdt>
                  <w:sdtPr>
                    <w:alias w:val="19.1 pp."/>
                    <w:tag w:val="part_7d304ba6302d42caa0702b526156c3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d304ba6302d42caa0702b526156c304"/>
                          <w:lock w:val="sdtLocked"/>
                          <w:richText/>
                        </w:sdtPr>
                        <w:sdtContent>
                          <w:r>
                            <w:rPr>
                              <w:color w:val="000000"/>
                              <w:lang w:eastAsia="lt-LT"/>
                            </w:rPr>
                            <w:t>19.1</w:t>
                          </w:r>
                        </w:sdtContent>
                      </w:sdt>
                      <w:r>
                        <w:rPr>
                          <w:color w:val="000000"/>
                          <w:lang w:eastAsia="lt-LT"/>
                        </w:rPr>
                        <w:t>. humanitarinių ir socialinių mokslų srityse ir menuose – 10;</w:t>
                      </w:r>
                    </w:p>
                  </w:sdtContent>
                </w:sdt>
                <w:sdt>
                  <w:sdtPr>
                    <w:alias w:val="19.2 pp."/>
                    <w:tag w:val="part_4c88c1e8b6a44e4f91beadcc1daa47b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c88c1e8b6a44e4f91beadcc1daa47b0"/>
                          <w:lock w:val="sdtLocked"/>
                          <w:richText/>
                        </w:sdtPr>
                        <w:sdtContent>
                          <w:r>
                            <w:rPr>
                              <w:color w:val="000000"/>
                              <w:lang w:eastAsia="lt-LT"/>
                            </w:rPr>
                            <w:t>19.2</w:t>
                          </w:r>
                        </w:sdtContent>
                      </w:sdt>
                      <w:r>
                        <w:rPr>
                          <w:color w:val="000000"/>
                          <w:lang w:eastAsia="lt-LT"/>
                        </w:rPr>
                        <w:t>. fizinių ir biomedicinos mokslų srityse – 25;</w:t>
                      </w:r>
                    </w:p>
                  </w:sdtContent>
                </w:sdt>
                <w:sdt>
                  <w:sdtPr>
                    <w:alias w:val="19.3 pp."/>
                    <w:tag w:val="part_1e973a40723f4e368121c82991f9aba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973a40723f4e368121c82991f9aba9"/>
                          <w:lock w:val="sdtLocked"/>
                          <w:richText/>
                        </w:sdtPr>
                        <w:sdtContent>
                          <w:r>
                            <w:rPr>
                              <w:color w:val="000000"/>
                              <w:lang w:eastAsia="lt-LT"/>
                            </w:rPr>
                            <w:t>19.3</w:t>
                          </w:r>
                        </w:sdtContent>
                      </w:sdt>
                      <w:r>
                        <w:rPr>
                          <w:color w:val="000000"/>
                          <w:lang w:eastAsia="lt-LT"/>
                        </w:rPr>
                        <w:t>. žemės ūkio mokslų srityje – 35;</w:t>
                      </w:r>
                    </w:p>
                  </w:sdtContent>
                </w:sdt>
                <w:sdt>
                  <w:sdtPr>
                    <w:alias w:val="19.4 pp."/>
                    <w:tag w:val="part_e807680238de4666851a3d03c9dd8d2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807680238de4666851a3d03c9dd8d2e"/>
                          <w:lock w:val="sdtLocked"/>
                          <w:richText/>
                        </w:sdtPr>
                        <w:sdtContent>
                          <w:r>
                            <w:rPr>
                              <w:color w:val="000000"/>
                              <w:lang w:eastAsia="lt-LT"/>
                            </w:rPr>
                            <w:t>19.4</w:t>
                          </w:r>
                        </w:sdtContent>
                      </w:sdt>
                      <w:r>
                        <w:rPr>
                          <w:color w:val="000000"/>
                          <w:lang w:eastAsia="lt-LT"/>
                        </w:rPr>
                        <w:t>. technologijos mokslų srityje – 30.</w:t>
                      </w:r>
                    </w:p>
                  </w:sdtContent>
                </w:sdt>
              </w:sdtContent>
            </w:sdt>
            <w:sdt>
              <w:sdtPr>
                <w:alias w:val="20 p."/>
                <w:tag w:val="part_ef1b3c443bcd43dfb49fd6d47baeb155"/>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f1b3c443bcd43dfb49fd6d47baeb155"/>
                      <w:lock w:val="sdtLocked"/>
                      <w:richText/>
                    </w:sdtPr>
                    <w:sdtContent>
                      <w:r>
                        <w:rPr>
                          <w:color w:val="000000"/>
                          <w:lang w:eastAsia="lt-LT"/>
                        </w:rPr>
                        <w:t>20</w:t>
                      </w:r>
                    </w:sdtContent>
                  </w:sdt>
                  <w:r>
                    <w:rPr>
                      <w:color w:val="000000"/>
                      <w:lang w:eastAsia="lt-LT"/>
                    </w:rPr>
                    <w:t>. Pagal Aprašo 18 ir 19 punktų nuostatas nepaskirstytos likusios lėšos MTEP ir menui skirstomos pagal universitetų ir institutų mokslo (meno) darbų kasmetinio vertinimo įverčius.</w:t>
                  </w:r>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1087ed2f3a8f4994af12824b9470ca3a"/>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1087ed2f3a8f4994af12824b9470ca3a"/>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38786d2f66d8408aad1f86660b3d038f"/>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38786d2f66d8408aad1f86660b3d038f"/>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027006260dcf4bf8b58b0c2d5295cce4"/>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027006260dcf4bf8b58b0c2d5295cce4"/>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e072d47c06e045bd993a9afacc1408ea"/>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497"/>
    <o:shapelayout v:ext="edit">
      <o:idmap v:ext="edit" data="1"/>
    </o:shapelayout>
  </w:shapeDefaults>
  <w:decimalSymbol w:val=","/>
  <w:listSeparator w:val=";"/>
  <w14:docId w14:val="4FF7F4CF"/>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header" Target="header16.xml"/>
  <Relationship Id="rId16" Type="http://schemas.openxmlformats.org/officeDocument/2006/relationships/header" Target="header17.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18.xml"/>
  <Relationship Id="rId2" Type="http://schemas.openxmlformats.org/officeDocument/2006/relationships/header" Target="header8.xml"/>
  <Relationship Id="rId20" Type="http://schemas.openxmlformats.org/officeDocument/2006/relationships/footer" Target="footer18.xml"/>
  <Relationship Id="rId21" Type="http://schemas.openxmlformats.org/officeDocument/2006/relationships/header" Target="header22.xml"/>
  <Relationship Id="rId22" Type="http://schemas.openxmlformats.org/officeDocument/2006/relationships/header" Target="header23.xml"/>
  <Relationship Id="rId23" Type="http://schemas.openxmlformats.org/officeDocument/2006/relationships/footer" Target="footer22.xml"/>
  <Relationship Id="rId24" Type="http://schemas.openxmlformats.org/officeDocument/2006/relationships/footer" Target="footer23.xml"/>
  <Relationship Id="rId25" Type="http://schemas.openxmlformats.org/officeDocument/2006/relationships/header" Target="header24.xml"/>
  <Relationship Id="rId26" Type="http://schemas.openxmlformats.org/officeDocument/2006/relationships/footer" Target="footer24.xml"/>
  <Relationship Id="rId27" Type="http://schemas.openxmlformats.org/officeDocument/2006/relationships/header" Target="header31.xml"/>
  <Relationship Id="rId28" Type="http://schemas.openxmlformats.org/officeDocument/2006/relationships/header" Target="header32.xml"/>
  <Relationship Id="rId29" Type="http://schemas.openxmlformats.org/officeDocument/2006/relationships/footer" Target="footer31.xml"/>
  <Relationship Id="rId3" Type="http://schemas.openxmlformats.org/officeDocument/2006/relationships/footer" Target="footer7.xml"/>
  <Relationship Id="rId30" Type="http://schemas.openxmlformats.org/officeDocument/2006/relationships/footer" Target="footer32.xml"/>
  <Relationship Id="rId31" Type="http://schemas.openxmlformats.org/officeDocument/2006/relationships/header" Target="header33.xml"/>
  <Relationship Id="rId32" Type="http://schemas.openxmlformats.org/officeDocument/2006/relationships/footer" Target="footer33.xml"/>
  <Relationship Id="rId33" Type="http://schemas.openxmlformats.org/officeDocument/2006/relationships/header" Target="header37.xml"/>
  <Relationship Id="rId34" Type="http://schemas.openxmlformats.org/officeDocument/2006/relationships/header" Target="header38.xml"/>
  <Relationship Id="rId35" Type="http://schemas.openxmlformats.org/officeDocument/2006/relationships/footer" Target="footer37.xml"/>
  <Relationship Id="rId36" Type="http://schemas.openxmlformats.org/officeDocument/2006/relationships/footer" Target="footer38.xml"/>
  <Relationship Id="rId37" Type="http://schemas.openxmlformats.org/officeDocument/2006/relationships/header" Target="header39.xml"/>
  <Relationship Id="rId38" Type="http://schemas.openxmlformats.org/officeDocument/2006/relationships/footer" Target="footer39.xml"/>
  <Relationship Id="rId39" Type="http://schemas.openxmlformats.org/officeDocument/2006/relationships/header" Target="header46.xml"/>
  <Relationship Id="rId4" Type="http://schemas.openxmlformats.org/officeDocument/2006/relationships/footer" Target="footer8.xml"/>
  <Relationship Id="rId40" Type="http://schemas.openxmlformats.org/officeDocument/2006/relationships/header" Target="header47.xml"/>
  <Relationship Id="rId41" Type="http://schemas.openxmlformats.org/officeDocument/2006/relationships/footer" Target="footer46.xml"/>
  <Relationship Id="rId42" Type="http://schemas.openxmlformats.org/officeDocument/2006/relationships/footer" Target="footer47.xml"/>
  <Relationship Id="rId43" Type="http://schemas.openxmlformats.org/officeDocument/2006/relationships/header" Target="header48.xml"/>
  <Relationship Id="rId44" Type="http://schemas.openxmlformats.org/officeDocument/2006/relationships/footer" Target="footer48.xml"/>
  <Relationship Id="rId45" Type="http://schemas.openxmlformats.org/officeDocument/2006/relationships/header" Target="header52.xml"/>
  <Relationship Id="rId46" Type="http://schemas.openxmlformats.org/officeDocument/2006/relationships/header" Target="header53.xml"/>
  <Relationship Id="rId47" Type="http://schemas.openxmlformats.org/officeDocument/2006/relationships/footer" Target="footer52.xml"/>
  <Relationship Id="rId48" Type="http://schemas.openxmlformats.org/officeDocument/2006/relationships/footer" Target="footer53.xml"/>
  <Relationship Id="rId49" Type="http://schemas.openxmlformats.org/officeDocument/2006/relationships/header" Target="header54.xml"/>
  <Relationship Id="rId5" Type="http://schemas.openxmlformats.org/officeDocument/2006/relationships/header" Target="header9.xml"/>
  <Relationship Id="rId50" Type="http://schemas.openxmlformats.org/officeDocument/2006/relationships/footer" Target="footer54.xml"/>
  <Relationship Id="rId51" Type="http://schemas.openxmlformats.org/officeDocument/2006/relationships/header" Target="header61.xml"/>
  <Relationship Id="rId52" Type="http://schemas.openxmlformats.org/officeDocument/2006/relationships/header" Target="header62.xml"/>
  <Relationship Id="rId53" Type="http://schemas.openxmlformats.org/officeDocument/2006/relationships/footer" Target="footer61.xml"/>
  <Relationship Id="rId54" Type="http://schemas.openxmlformats.org/officeDocument/2006/relationships/footer" Target="footer62.xml"/>
  <Relationship Id="rId55" Type="http://schemas.openxmlformats.org/officeDocument/2006/relationships/header" Target="header63.xml"/>
  <Relationship Id="rId56" Type="http://schemas.openxmlformats.org/officeDocument/2006/relationships/footer" Target="footer63.xml"/>
  <Relationship Id="rId57" Type="http://schemas.openxmlformats.org/officeDocument/2006/relationships/customXml" Target="../customXml/item1.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a387ac4c8ddd43c5a3ff0898d5d8c596">
    <Part Type="preambule" DocPartId="2f7404f6733d407f9eab40cd63769f47" PartId="b5e8dd0978944140afc9a6f8c0af4066"/>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fa7a34dd3ec04e19b26d45584dbd80bc"/>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Part Type="punktas" Nr="2" Abbr="2 p." DocPartId="11eea2e6429345fba917419e89064a21" PartId="823a124cb20047e2a5f61acb3c41e8fb">
      <Part Type="papunktis" Nr="2.1" Abbr="2.1 pp." DocPartId="e6ec7e3c0cc8462490ed85e1d7acb1b8" PartId="735c806a69f7447797dcee515eb72a44"/>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7cd8ad466334413081e6456273bcd88a"/>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fa456caf4e254a58a61b851111c7a638">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9ff26a5426d84ea780180513f3bbb84e"/>
        <Part Type="papunktis" Nr="4.4" Abbr="4.4 pp." DocPartId="3c5f45cc2d894db2bf6349e027a5f540" PartId="716c24de351d45a5a31940c3cfd2c669"/>
        <Part Type="papunktis" Nr="4.5" Abbr="4.5 pp." DocPartId="57f38810a9ca469aa2dd2de3ba984144" PartId="6f786f8474b54deab8f7f6ac911d5a05"/>
      </Part>
      <Part Type="punktas" Nr="5" Abbr="5 p." DocPartId="a8ccba99cc3d4052b75fe0b5201f5b23" PartId="6decd78dcba84a5ca0e6bc6b1b429349"/>
      <Part Type="punktas" Nr="6" Abbr="6 p." DocPartId="a423a3d2384043e78506b6a63d2927be" PartId="ac530c527f4c4cbdb2ddefd7821d09fb"/>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1f5d86b7aec5467482696f93bf08d381"/>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d4fbb1a97ec34bcf9c53b69d51a495dd">
    <Part Type="pabaiga" DocPartId="ad427b93a59f48d39797391d1a9ed15b" PartId="41efa0a7a7f044f29c24cb4fd3146bc9"/>
  </Part>
  <Part Type="patvirtinta" Title="STUDIJŲ PROGRAMOS IR STUDIJŲ FORMOS KEITIMO, IŠLAIKANT VALSTYBĖS FINANSAVIMĄ, ATVEJŲ BEI TVARKOS APRAŠAS" DocPartId="176200f7c63f40dda578383c3e0c0e18" PartId="b733ecbb7c6c456881a9c5593048aca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6df19eaf5d5b48ca8d9bc57c59d9d176">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c06ffae62b634148b2d282b81449f04a">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ed70d6f4f9d415299d095efc0db0e31"/>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b4277ad37f7c4cfca257aff13b1bed68">
        <Part Type="papunktis" Nr="15.1" Abbr="15.1 pp." DocPartId="a99861a708514e9f982c931e229f9baf" PartId="b9e61522f43a43a0ac9b6bf261ef378a"/>
        <Part Type="papunktis" Nr="15.2" Abbr="15.2 pp." DocPartId="a46de8a96fc44527ae2bfb2bc0223ebe" PartId="2e8b1ae7c56a41119ce530f4bcd5503e"/>
        <Part Type="papunktis" Nr="15.3" Abbr="15.3 pp." DocPartId="e29f1b4ee77a413980f2b6d0b9fc8d65" PartId="bdcd2f69681e4cc2b0c0ea05b8238d3d"/>
        <Part Type="papunktis" Nr="15.4" Abbr="15.4 pp." DocPartId="fb4beef48fb5429ba86ca68ee722b135" PartId="78fac5c3c85b4e8db8d5ee299b536d84"/>
        <Part Type="papunktis" Nr="15.5" Abbr="15.5 pp." DocPartId="8a6ee9b806b14e1dbc1e116798efca5b" PartId="4dc0ac4c0ba445edbb86a72bf041b104"/>
        <Part Type="papunktis" Nr="15.6" Abbr="15.6 pp." DocPartId="ad84774746144c7591e79dd17b4d903c" PartId="c0ef870e5271448fa352b19bb6f18dcc"/>
        <Part Type="papunktis" Nr="15.7" Abbr="15.7 pp." DocPartId="3883dfaa654e47c09591c24de89c8b3b" PartId="1ebdd4ee73384e1c8fa3c9788a2380c0"/>
      </Part>
      <Part Type="punktas" Nr="16" Abbr="16 p." DocPartId="ca0b84df5e4540c5a89d33a8921de0d6" PartId="c208d98f7f1540738ce13630865a4ca2"/>
      <Part Type="punktas" Nr="17" Abbr="17 p." DocPartId="6a7bdcb9170f414fa37ea1ecca33752c" PartId="14feab94f63343de93b823d832fdb9e7"/>
      <Part Type="punktas" Nr="18" Abbr="18 p." DocPartId="38f6d89f29984f1ca8b845fe2d81abd1" PartId="74cc0e9476f2485786803bbc127da20b">
        <Part Type="papunktis" Nr="18.1" Abbr="18.1 pp." DocPartId="47cadacd0dad4a7293c5d40550cbba36" PartId="b405e9c3595d4f1d82389c7055894b93"/>
        <Part Type="papunktis" Nr="18.2" Abbr="18.2 pp." DocPartId="57dba59947844183ad509c8adbdfe2ed" PartId="cf8abb90bd0c4f1bb0e086bf9e7568ff"/>
        <Part Type="papunktis" Nr="18.3" Abbr="18.3 pp." DocPartId="9ecc1197a3084e88850c579ee35a71f1" PartId="c12691a4e1784823b19af25d357d71c3"/>
      </Part>
      <Part Type="punktas" Nr="19" Abbr="19 p." DocPartId="8bbdd9b8aa524ab6b227594c305687bd" PartId="02aa058b5a344f38b9fcd1e7f4cb2164">
        <Part Type="papunktis" Nr="19.1" Abbr="19.1 pp." DocPartId="10ae6aac284f46bdafcf45a6b46dd561" PartId="7d304ba6302d42caa0702b526156c304"/>
        <Part Type="papunktis" Nr="19.2" Abbr="19.2 pp." DocPartId="381371cf7c864021a2cc554a65890cd0" PartId="4c88c1e8b6a44e4f91beadcc1daa47b0"/>
        <Part Type="papunktis" Nr="19.3" Abbr="19.3 pp." DocPartId="cfe50e7247c84a878445f94dbbc959b6" PartId="1e973a40723f4e368121c82991f9aba9"/>
        <Part Type="papunktis" Nr="19.4" Abbr="19.4 pp." DocPartId="89b6b396e6e943f2b9e9912bb3c79a38" PartId="e807680238de4666851a3d03c9dd8d2e"/>
      </Part>
      <Part Type="punktas" Nr="20" Abbr="20 p." DocPartId="4d7d0db4934149b0830ad0a89bb2d61e" PartId="ef1b3c443bcd43dfb49fd6d47baeb155"/>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1087ed2f3a8f4994af12824b9470ca3a">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38786d2f66d8408aad1f86660b3d038f">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027006260dcf4bf8b58b0c2d5295cce4">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e072d47c06e045bd993a9afacc1408ea"/>
  </Part>
</Parts>
</file>

<file path=customXml/itemProps1.xml><?xml version="1.0" encoding="utf-8"?>
<ds:datastoreItem xmlns:ds="http://schemas.openxmlformats.org/officeDocument/2006/customXml" ds:itemID="{1F6F7687-D9A4-480E-AE65-C4B59F6D8FE4}">
  <ds:schemaRefs>
    <ds:schemaRef ds:uri="http://lrs.lt/TAIS/DocParts"/>
  </ds:schemaRefs>
</ds:datastoreItem>
</file>

<file path=docProps/app.xml><?xml version="1.0" encoding="utf-8"?>
<Properties xmlns="http://schemas.openxmlformats.org/officeDocument/2006/extended-properties">
  <Template>Normal.dotm</Template>
  <TotalTime>82</TotalTime>
  <Pages>40</Pages>
  <Words>11953</Words>
  <Characters>87150</Characters>
  <Application>Microsoft Office Word</Application>
  <DocSecurity>0</DocSecurity>
  <Lines>726</Lines>
  <Paragraphs>197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98906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2024-08-07T10:52:00Z</dcterms:modified>
  <revision>23</revision>
</coreProperties>
</file>